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6823E" w14:textId="77777777" w:rsidR="007B3093" w:rsidRDefault="00000000">
      <w:r>
        <w:rPr>
          <w:noProof/>
          <w:lang w:val="en-US"/>
        </w:rPr>
        <w:drawing>
          <wp:anchor distT="0" distB="0" distL="114300" distR="114300" simplePos="0" relativeHeight="251660288" behindDoc="1" locked="0" layoutInCell="1" allowOverlap="1" wp14:anchorId="458E160D" wp14:editId="76F0CC35">
            <wp:simplePos x="0" y="0"/>
            <wp:positionH relativeFrom="page">
              <wp:posOffset>-15240</wp:posOffset>
            </wp:positionH>
            <wp:positionV relativeFrom="paragraph">
              <wp:posOffset>-1147445</wp:posOffset>
            </wp:positionV>
            <wp:extent cx="7576820" cy="10774680"/>
            <wp:effectExtent l="0" t="0" r="5080" b="7620"/>
            <wp:wrapNone/>
            <wp:docPr id="13" name="Imagen 13" descr="portada_documento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ada_documentos_01"/>
                    <pic:cNvPicPr>
                      <a:picLocks noChangeAspect="1" noChangeArrowheads="1"/>
                    </pic:cNvPicPr>
                  </pic:nvPicPr>
                  <pic:blipFill rotWithShape="1">
                    <a:blip r:embed="rId8">
                      <a:extLst>
                        <a:ext uri="{28A0092B-C50C-407E-A947-70E740481C1C}">
                          <a14:useLocalDpi xmlns:a14="http://schemas.microsoft.com/office/drawing/2010/main" val="0"/>
                        </a:ext>
                      </a:extLst>
                    </a:blip>
                    <a:srcRect t="24162"/>
                    <a:stretch/>
                  </pic:blipFill>
                  <pic:spPr bwMode="auto">
                    <a:xfrm>
                      <a:off x="0" y="0"/>
                      <a:ext cx="7576820" cy="1077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F52FA" w14:textId="77777777" w:rsidR="007B3093" w:rsidRDefault="007B3093">
      <w:pPr>
        <w:ind w:left="708" w:hanging="708"/>
      </w:pPr>
    </w:p>
    <w:p w14:paraId="49BF121E" w14:textId="77777777" w:rsidR="007B3093" w:rsidRDefault="00000000">
      <w:pPr>
        <w:spacing w:after="0" w:line="360" w:lineRule="auto"/>
      </w:pPr>
      <w:r>
        <w:rPr>
          <w:noProof/>
          <w:lang w:val="en-US"/>
        </w:rPr>
        <mc:AlternateContent>
          <mc:Choice Requires="wps">
            <w:drawing>
              <wp:anchor distT="0" distB="0" distL="114300" distR="114300" simplePos="0" relativeHeight="251664384" behindDoc="0" locked="0" layoutInCell="1" allowOverlap="1" wp14:anchorId="0ED70524" wp14:editId="69ED0187">
                <wp:simplePos x="0" y="0"/>
                <wp:positionH relativeFrom="column">
                  <wp:posOffset>1457325</wp:posOffset>
                </wp:positionH>
                <wp:positionV relativeFrom="paragraph">
                  <wp:posOffset>119380</wp:posOffset>
                </wp:positionV>
                <wp:extent cx="2720340" cy="1935480"/>
                <wp:effectExtent l="0" t="0" r="3810" b="0"/>
                <wp:wrapNone/>
                <wp:docPr id="3" name="object 2"/>
                <wp:cNvGraphicFramePr/>
                <a:graphic xmlns:a="http://schemas.openxmlformats.org/drawingml/2006/main">
                  <a:graphicData uri="http://schemas.microsoft.com/office/word/2010/wordprocessingShape">
                    <wps:wsp>
                      <wps:cNvSpPr/>
                      <wps:spPr>
                        <a:xfrm>
                          <a:off x="0" y="0"/>
                          <a:ext cx="2720340" cy="1935480"/>
                        </a:xfrm>
                        <a:prstGeom prst="rect">
                          <a:avLst/>
                        </a:prstGeom>
                        <a:blipFill>
                          <a:blip r:embed="rId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2" o:spid="_x0000_s1026" style="position:absolute;margin-left:114.75pt;margin-top:9.4pt;width:214.2pt;height:15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" stroked="f">
                <v:fill r:id="rId10" o:title="" recolor="t" rotate="t" type="frame"/>
                <v:textbox inset="0,0,0,0"/>
              </v:rect>
            </w:pict>
          </mc:Fallback>
        </mc:AlternateContent>
      </w:r>
    </w:p>
    <w:p w14:paraId="4226E5CF" w14:textId="77777777" w:rsidR="007B3093" w:rsidRDefault="007B3093">
      <w:pPr>
        <w:spacing w:after="0" w:line="360" w:lineRule="auto"/>
      </w:pPr>
    </w:p>
    <w:p w14:paraId="694B1907" w14:textId="77777777" w:rsidR="007B3093" w:rsidRDefault="007B3093">
      <w:pPr>
        <w:spacing w:after="0" w:line="360" w:lineRule="auto"/>
      </w:pPr>
    </w:p>
    <w:p w14:paraId="010C11CA" w14:textId="77777777" w:rsidR="007B3093" w:rsidRDefault="007B3093">
      <w:pPr>
        <w:spacing w:after="0" w:line="360" w:lineRule="auto"/>
      </w:pPr>
    </w:p>
    <w:p w14:paraId="4713299B" w14:textId="77777777" w:rsidR="007B3093" w:rsidRDefault="007B3093">
      <w:pPr>
        <w:spacing w:after="0" w:line="360" w:lineRule="auto"/>
      </w:pPr>
    </w:p>
    <w:p w14:paraId="452FF421" w14:textId="77777777" w:rsidR="007B3093" w:rsidRDefault="007B3093">
      <w:pPr>
        <w:spacing w:after="0" w:line="360" w:lineRule="auto"/>
      </w:pPr>
    </w:p>
    <w:p w14:paraId="5BB56C9B" w14:textId="77777777" w:rsidR="007B3093" w:rsidRDefault="007B3093">
      <w:pPr>
        <w:spacing w:after="0" w:line="360" w:lineRule="auto"/>
      </w:pPr>
    </w:p>
    <w:p w14:paraId="5A144F3F" w14:textId="77777777" w:rsidR="007B3093" w:rsidRDefault="00000000">
      <w:pPr>
        <w:spacing w:after="0" w:line="360" w:lineRule="auto"/>
      </w:pPr>
      <w:r>
        <w:rPr>
          <w:noProof/>
          <w:lang w:val="en-US"/>
        </w:rPr>
        <mc:AlternateContent>
          <mc:Choice Requires="wps">
            <w:drawing>
              <wp:anchor distT="0" distB="0" distL="114300" distR="114300" simplePos="0" relativeHeight="251662336" behindDoc="0" locked="0" layoutInCell="1" allowOverlap="1" wp14:anchorId="446094E0" wp14:editId="483C2061">
                <wp:simplePos x="0" y="0"/>
                <wp:positionH relativeFrom="column">
                  <wp:posOffset>247620</wp:posOffset>
                </wp:positionH>
                <wp:positionV relativeFrom="paragraph">
                  <wp:posOffset>1695095</wp:posOffset>
                </wp:positionV>
                <wp:extent cx="5486400" cy="0"/>
                <wp:effectExtent l="10160" t="6985" r="8890" b="12065"/>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6" o:spid="_x0000_s1026" type="#_x0000_t32" style="position:absolute;margin-left:19.5pt;margin-top:133.45pt;width:6in;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RlKAIAAEw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" strokecolor="white"/>
            </w:pict>
          </mc:Fallback>
        </mc:AlternateContent>
      </w:r>
      <w:r>
        <w:rPr>
          <w:noProof/>
          <w:lang w:val="en-US"/>
        </w:rPr>
        <mc:AlternateContent>
          <mc:Choice Requires="wps">
            <w:drawing>
              <wp:anchor distT="0" distB="0" distL="114300" distR="114300" simplePos="0" relativeHeight="251659264" behindDoc="0" locked="0" layoutInCell="1" allowOverlap="1" wp14:anchorId="45B2FC42" wp14:editId="7E8453B4">
                <wp:simplePos x="0" y="0"/>
                <wp:positionH relativeFrom="margin">
                  <wp:align>left</wp:align>
                </wp:positionH>
                <wp:positionV relativeFrom="paragraph">
                  <wp:posOffset>257810</wp:posOffset>
                </wp:positionV>
                <wp:extent cx="5986780" cy="1668780"/>
                <wp:effectExtent l="0" t="0" r="0" b="7620"/>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023C0" w14:textId="77777777" w:rsidR="007B3093" w:rsidRDefault="007B3093">
                            <w:pPr>
                              <w:jc w:val="center"/>
                              <w:rPr>
                                <w:rFonts w:ascii="Arial" w:hAnsi="Arial" w:cs="Arial"/>
                                <w:b/>
                                <w:color w:val="FFFFFF"/>
                                <w:sz w:val="48"/>
                                <w:szCs w:val="36"/>
                              </w:rPr>
                            </w:pPr>
                          </w:p>
                          <w:p w14:paraId="2198497B" w14:textId="77777777" w:rsidR="007B3093" w:rsidRDefault="00000000">
                            <w:pPr>
                              <w:jc w:val="center"/>
                              <w:rPr>
                                <w:rFonts w:ascii="Arial" w:hAnsi="Arial" w:cs="Arial"/>
                                <w:b/>
                                <w:color w:val="FFFFFF"/>
                                <w:sz w:val="48"/>
                                <w:szCs w:val="36"/>
                              </w:rPr>
                            </w:pPr>
                            <w:r>
                              <w:rPr>
                                <w:rFonts w:ascii="Arial" w:hAnsi="Arial" w:cs="Arial"/>
                                <w:b/>
                                <w:color w:val="FFFFFF"/>
                                <w:sz w:val="48"/>
                                <w:szCs w:val="36"/>
                              </w:rPr>
                              <w:t>Fortalecimiento Institucional de la Procuraduría General del Estado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FC42" id="_x0000_t202" coordsize="21600,21600" o:spt="202" path="m,l,21600r21600,l21600,xe">
                <v:stroke joinstyle="miter"/>
                <v:path gradientshapeok="t" o:connecttype="rect"/>
              </v:shapetype>
              <v:shape id="Cuadro de texto 14" o:spid="_x0000_s1026" type="#_x0000_t202" style="position:absolute;margin-left:0;margin-top:20.3pt;width:471.4pt;height:131.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" filled="f" stroked="f">
                <v:textbox>
                  <w:txbxContent>
                    <w:p w14:paraId="12F023C0" w14:textId="77777777" w:rsidR="007B3093" w:rsidRDefault="007B3093">
                      <w:pPr>
                        <w:jc w:val="center"/>
                        <w:rPr>
                          <w:rFonts w:ascii="Arial" w:hAnsi="Arial" w:cs="Arial"/>
                          <w:b/>
                          <w:color w:val="FFFFFF"/>
                          <w:sz w:val="48"/>
                          <w:szCs w:val="36"/>
                        </w:rPr>
                      </w:pPr>
                    </w:p>
                    <w:p w14:paraId="2198497B" w14:textId="77777777" w:rsidR="007B3093" w:rsidRDefault="00000000">
                      <w:pPr>
                        <w:jc w:val="center"/>
                        <w:rPr>
                          <w:rFonts w:ascii="Arial" w:hAnsi="Arial" w:cs="Arial"/>
                          <w:b/>
                          <w:color w:val="FFFFFF"/>
                          <w:sz w:val="48"/>
                          <w:szCs w:val="36"/>
                        </w:rPr>
                      </w:pPr>
                      <w:r>
                        <w:rPr>
                          <w:rFonts w:ascii="Arial" w:hAnsi="Arial" w:cs="Arial"/>
                          <w:b/>
                          <w:color w:val="FFFFFF"/>
                          <w:sz w:val="48"/>
                          <w:szCs w:val="36"/>
                        </w:rPr>
                        <w:t>Fortalecimiento Institucional de la Procuraduría General del Estado</w:t>
                      </w:r>
                    </w:p>
                  </w:txbxContent>
                </v:textbox>
                <w10:wrap type="square" anchorx="margin"/>
              </v:shape>
            </w:pict>
          </mc:Fallback>
        </mc:AlternateContent>
      </w:r>
    </w:p>
    <w:p w14:paraId="58311507" w14:textId="77777777" w:rsidR="007B3093" w:rsidRDefault="007B3093">
      <w:pPr>
        <w:spacing w:after="0" w:line="360" w:lineRule="auto"/>
      </w:pPr>
    </w:p>
    <w:p w14:paraId="6E009205" w14:textId="77777777" w:rsidR="007B3093" w:rsidRDefault="007B3093">
      <w:pPr>
        <w:spacing w:after="0" w:line="360" w:lineRule="auto"/>
      </w:pPr>
    </w:p>
    <w:p w14:paraId="26EEB9E9" w14:textId="77777777" w:rsidR="007B3093" w:rsidRDefault="007B3093">
      <w:pPr>
        <w:spacing w:after="0" w:line="360" w:lineRule="auto"/>
      </w:pPr>
    </w:p>
    <w:p w14:paraId="2F5EEF4B" w14:textId="77777777" w:rsidR="007B3093" w:rsidRDefault="007B3093">
      <w:pPr>
        <w:spacing w:after="0" w:line="360" w:lineRule="auto"/>
      </w:pPr>
    </w:p>
    <w:p w14:paraId="680EED4E" w14:textId="77777777" w:rsidR="007B3093" w:rsidRDefault="007B3093">
      <w:pPr>
        <w:spacing w:after="0" w:line="360" w:lineRule="auto"/>
      </w:pPr>
    </w:p>
    <w:p w14:paraId="1FB2BA1B" w14:textId="77777777" w:rsidR="007B3093" w:rsidRDefault="007B3093">
      <w:pPr>
        <w:spacing w:after="0" w:line="360" w:lineRule="auto"/>
      </w:pPr>
    </w:p>
    <w:p w14:paraId="269A5F73" w14:textId="77777777" w:rsidR="007B3093" w:rsidRDefault="007B3093">
      <w:pPr>
        <w:spacing w:after="0" w:line="360" w:lineRule="auto"/>
      </w:pPr>
    </w:p>
    <w:p w14:paraId="0B4C76C1" w14:textId="77777777" w:rsidR="007B3093" w:rsidRDefault="007B3093">
      <w:pPr>
        <w:spacing w:after="0" w:line="360" w:lineRule="auto"/>
      </w:pPr>
    </w:p>
    <w:p w14:paraId="0F747187" w14:textId="77777777" w:rsidR="007B3093" w:rsidRDefault="007B3093">
      <w:pPr>
        <w:spacing w:after="0" w:line="360" w:lineRule="auto"/>
      </w:pPr>
    </w:p>
    <w:p w14:paraId="0134105A" w14:textId="77777777" w:rsidR="007B3093" w:rsidRDefault="007B3093">
      <w:pPr>
        <w:spacing w:after="0" w:line="360" w:lineRule="auto"/>
      </w:pPr>
    </w:p>
    <w:p w14:paraId="45640B09" w14:textId="77777777" w:rsidR="007B3093" w:rsidRDefault="007B3093">
      <w:pPr>
        <w:spacing w:after="0" w:line="360" w:lineRule="auto"/>
      </w:pPr>
    </w:p>
    <w:p w14:paraId="2A0836E8" w14:textId="77777777" w:rsidR="007B3093" w:rsidRDefault="007B3093">
      <w:pPr>
        <w:spacing w:after="0" w:line="360" w:lineRule="auto"/>
      </w:pPr>
    </w:p>
    <w:p w14:paraId="182F3109" w14:textId="77777777" w:rsidR="007B3093" w:rsidRDefault="007B3093">
      <w:pPr>
        <w:spacing w:after="0" w:line="360" w:lineRule="auto"/>
      </w:pPr>
    </w:p>
    <w:p w14:paraId="6578D612" w14:textId="77777777" w:rsidR="007B3093" w:rsidRDefault="007B3093">
      <w:pPr>
        <w:spacing w:after="0" w:line="360" w:lineRule="auto"/>
      </w:pPr>
    </w:p>
    <w:p w14:paraId="67B96C65" w14:textId="77777777" w:rsidR="007B3093" w:rsidRDefault="007B3093">
      <w:pPr>
        <w:spacing w:after="0" w:line="360" w:lineRule="auto"/>
      </w:pPr>
    </w:p>
    <w:p w14:paraId="4F804232" w14:textId="77777777" w:rsidR="007B3093" w:rsidRDefault="00000000">
      <w:pPr>
        <w:spacing w:after="0" w:line="360" w:lineRule="auto"/>
      </w:pPr>
      <w:r>
        <w:rPr>
          <w:noProof/>
          <w:lang w:val="en-US"/>
        </w:rPr>
        <mc:AlternateContent>
          <mc:Choice Requires="wps">
            <w:drawing>
              <wp:anchor distT="0" distB="0" distL="114300" distR="114300" simplePos="0" relativeHeight="251661312" behindDoc="0" locked="0" layoutInCell="1" allowOverlap="1" wp14:anchorId="358C1787" wp14:editId="5A6F68B0">
                <wp:simplePos x="0" y="0"/>
                <wp:positionH relativeFrom="column">
                  <wp:posOffset>3682365</wp:posOffset>
                </wp:positionH>
                <wp:positionV relativeFrom="paragraph">
                  <wp:posOffset>9525</wp:posOffset>
                </wp:positionV>
                <wp:extent cx="2680970" cy="469265"/>
                <wp:effectExtent l="0" t="0" r="0" b="6985"/>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4A191" w14:textId="77777777" w:rsidR="007B3093" w:rsidRDefault="00000000">
                            <w:pPr>
                              <w:jc w:val="center"/>
                              <w:rPr>
                                <w:rFonts w:ascii="Arial" w:hAnsi="Arial" w:cs="Arial"/>
                                <w:color w:val="FFFFFF"/>
                                <w:sz w:val="36"/>
                                <w:szCs w:val="36"/>
                                <w:lang w:val="es-ES"/>
                              </w:rPr>
                            </w:pPr>
                            <w:r>
                              <w:rPr>
                                <w:rFonts w:ascii="Arial" w:hAnsi="Arial" w:cs="Arial"/>
                                <w:color w:val="FFFFFF"/>
                                <w:sz w:val="36"/>
                                <w:szCs w:val="36"/>
                                <w:lang w:val="es-ES"/>
                              </w:rPr>
                              <w:t>Abril /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C1787" id="Cuadro de texto 15" o:spid="_x0000_s1027" type="#_x0000_t202" style="position:absolute;margin-left:289.95pt;margin-top:.75pt;width:211.1pt;height:3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" filled="f" stroked="f">
                <v:textbox>
                  <w:txbxContent>
                    <w:p w14:paraId="59E4A191" w14:textId="77777777" w:rsidR="007B3093" w:rsidRDefault="00000000">
                      <w:pPr>
                        <w:jc w:val="center"/>
                        <w:rPr>
                          <w:rFonts w:ascii="Arial" w:hAnsi="Arial" w:cs="Arial"/>
                          <w:color w:val="FFFFFF"/>
                          <w:sz w:val="36"/>
                          <w:szCs w:val="36"/>
                          <w:lang w:val="es-ES"/>
                        </w:rPr>
                      </w:pPr>
                      <w:r>
                        <w:rPr>
                          <w:rFonts w:ascii="Arial" w:hAnsi="Arial" w:cs="Arial"/>
                          <w:color w:val="FFFFFF"/>
                          <w:sz w:val="36"/>
                          <w:szCs w:val="36"/>
                          <w:lang w:val="es-ES"/>
                        </w:rPr>
                        <w:t>Abril / 2025</w:t>
                      </w:r>
                    </w:p>
                  </w:txbxContent>
                </v:textbox>
                <w10:wrap type="square"/>
              </v:shape>
            </w:pict>
          </mc:Fallback>
        </mc:AlternateContent>
      </w:r>
    </w:p>
    <w:p w14:paraId="06785A66" w14:textId="77777777" w:rsidR="007B3093" w:rsidRDefault="007B3093">
      <w:pPr>
        <w:spacing w:after="0" w:line="360" w:lineRule="auto"/>
      </w:pPr>
    </w:p>
    <w:sdt>
      <w:sdtPr>
        <w:rPr>
          <w:rFonts w:asciiTheme="minorHAnsi" w:eastAsiaTheme="minorHAnsi" w:hAnsiTheme="minorHAnsi" w:cstheme="minorBidi"/>
          <w:color w:val="auto"/>
          <w:sz w:val="22"/>
          <w:szCs w:val="22"/>
          <w:lang w:val="es-ES" w:eastAsia="en-US"/>
        </w:rPr>
        <w:id w:val="300967187"/>
        <w:docPartObj>
          <w:docPartGallery w:val="Table of Contents"/>
          <w:docPartUnique/>
        </w:docPartObj>
      </w:sdtPr>
      <w:sdtEndPr>
        <w:rPr>
          <w:b/>
          <w:bCs/>
        </w:rPr>
      </w:sdtEndPr>
      <w:sdtContent>
        <w:p w14:paraId="5230B38D" w14:textId="77777777" w:rsidR="007B3093" w:rsidRDefault="00000000">
          <w:pPr>
            <w:pStyle w:val="TtuloTDC"/>
            <w:jc w:val="center"/>
          </w:pPr>
          <w:r>
            <w:rPr>
              <w:lang w:val="es-ES"/>
            </w:rPr>
            <w:t>Tabla de contenido</w:t>
          </w:r>
        </w:p>
        <w:p w14:paraId="3165006A" w14:textId="77777777" w:rsidR="007B3093" w:rsidRDefault="00000000">
          <w:pPr>
            <w:pStyle w:val="TDC2"/>
            <w:tabs>
              <w:tab w:val="left" w:pos="720"/>
              <w:tab w:val="right" w:leader="dot" w:pos="8494"/>
            </w:tabs>
            <w:rPr>
              <w:rFonts w:eastAsiaTheme="minorEastAsia"/>
              <w:noProof/>
              <w:kern w:val="2"/>
              <w:sz w:val="24"/>
              <w:szCs w:val="24"/>
              <w:lang w:eastAsia="es-EC"/>
              <w14:ligatures w14:val="standardContextual"/>
            </w:rPr>
          </w:pPr>
          <w:r>
            <w:fldChar w:fldCharType="begin"/>
          </w:r>
          <w:r>
            <w:instrText xml:space="preserve"> TOC \o "1-3" \h \z \u </w:instrText>
          </w:r>
          <w:r>
            <w:fldChar w:fldCharType="separate"/>
          </w:r>
          <w:hyperlink w:anchor="_Toc195010036" w:history="1">
            <w:r w:rsidR="007B3093">
              <w:rPr>
                <w:rStyle w:val="Hipervnculo"/>
                <w:rFonts w:cstheme="minorHAnsi"/>
                <w:b/>
                <w:noProof/>
                <w:lang w:eastAsia="es-EC"/>
              </w:rPr>
              <w:t>1.</w:t>
            </w:r>
            <w:r w:rsidR="007B3093">
              <w:rPr>
                <w:rFonts w:eastAsiaTheme="minorEastAsia"/>
                <w:noProof/>
                <w:kern w:val="2"/>
                <w:sz w:val="24"/>
                <w:szCs w:val="24"/>
                <w:lang w:eastAsia="es-EC"/>
                <w14:ligatures w14:val="standardContextual"/>
              </w:rPr>
              <w:tab/>
            </w:r>
            <w:r w:rsidR="007B3093">
              <w:rPr>
                <w:rStyle w:val="Hipervnculo"/>
                <w:rFonts w:cstheme="minorHAnsi"/>
                <w:b/>
                <w:noProof/>
                <w:lang w:eastAsia="es-EC"/>
              </w:rPr>
              <w:t>DATOS INICIALES DEL PROYECTO</w:t>
            </w:r>
            <w:r w:rsidR="007B3093">
              <w:rPr>
                <w:noProof/>
                <w:webHidden/>
              </w:rPr>
              <w:tab/>
            </w:r>
            <w:r w:rsidR="007B3093">
              <w:rPr>
                <w:noProof/>
                <w:webHidden/>
              </w:rPr>
              <w:fldChar w:fldCharType="begin"/>
            </w:r>
            <w:r w:rsidR="007B3093">
              <w:rPr>
                <w:noProof/>
                <w:webHidden/>
              </w:rPr>
              <w:instrText xml:space="preserve"> PAGEREF _Toc195010036 \h </w:instrText>
            </w:r>
            <w:r w:rsidR="007B3093">
              <w:rPr>
                <w:noProof/>
                <w:webHidden/>
              </w:rPr>
            </w:r>
            <w:r w:rsidR="007B3093">
              <w:rPr>
                <w:noProof/>
                <w:webHidden/>
              </w:rPr>
              <w:fldChar w:fldCharType="separate"/>
            </w:r>
            <w:r w:rsidR="007B3093">
              <w:rPr>
                <w:noProof/>
                <w:webHidden/>
              </w:rPr>
              <w:t>5</w:t>
            </w:r>
            <w:r w:rsidR="007B3093">
              <w:rPr>
                <w:noProof/>
                <w:webHidden/>
              </w:rPr>
              <w:fldChar w:fldCharType="end"/>
            </w:r>
          </w:hyperlink>
        </w:p>
        <w:p w14:paraId="0ACDB455"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37" w:history="1">
            <w:r>
              <w:rPr>
                <w:rStyle w:val="Hipervnculo"/>
                <w:rFonts w:cstheme="minorHAnsi"/>
                <w:b/>
                <w:noProof/>
                <w:lang w:eastAsia="es-EC"/>
              </w:rPr>
              <w:t>1.1.</w:t>
            </w:r>
            <w:r>
              <w:rPr>
                <w:rFonts w:eastAsiaTheme="minorEastAsia"/>
                <w:noProof/>
                <w:kern w:val="2"/>
                <w:sz w:val="24"/>
                <w:szCs w:val="24"/>
                <w:lang w:eastAsia="es-EC"/>
                <w14:ligatures w14:val="standardContextual"/>
              </w:rPr>
              <w:tab/>
            </w:r>
            <w:r>
              <w:rPr>
                <w:rStyle w:val="Hipervnculo"/>
                <w:rFonts w:cstheme="minorHAnsi"/>
                <w:b/>
                <w:noProof/>
                <w:lang w:eastAsia="es-EC"/>
              </w:rPr>
              <w:t>Tipo de solicitud de dictamen:</w:t>
            </w:r>
            <w:r>
              <w:rPr>
                <w:noProof/>
                <w:webHidden/>
              </w:rPr>
              <w:tab/>
            </w:r>
            <w:r>
              <w:rPr>
                <w:noProof/>
                <w:webHidden/>
              </w:rPr>
              <w:fldChar w:fldCharType="begin"/>
            </w:r>
            <w:r>
              <w:rPr>
                <w:noProof/>
                <w:webHidden/>
              </w:rPr>
              <w:instrText xml:space="preserve"> PAGEREF _Toc195010037 \h </w:instrText>
            </w:r>
            <w:r>
              <w:rPr>
                <w:noProof/>
                <w:webHidden/>
              </w:rPr>
            </w:r>
            <w:r>
              <w:rPr>
                <w:noProof/>
                <w:webHidden/>
              </w:rPr>
              <w:fldChar w:fldCharType="separate"/>
            </w:r>
            <w:r>
              <w:rPr>
                <w:noProof/>
                <w:webHidden/>
              </w:rPr>
              <w:t>5</w:t>
            </w:r>
            <w:r>
              <w:rPr>
                <w:noProof/>
                <w:webHidden/>
              </w:rPr>
              <w:fldChar w:fldCharType="end"/>
            </w:r>
          </w:hyperlink>
        </w:p>
        <w:p w14:paraId="108BE1D8"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38" w:history="1">
            <w:r>
              <w:rPr>
                <w:rStyle w:val="Hipervnculo"/>
                <w:rFonts w:cstheme="minorHAnsi"/>
                <w:b/>
                <w:noProof/>
                <w:lang w:eastAsia="es-EC"/>
              </w:rPr>
              <w:t>1.2.</w:t>
            </w:r>
            <w:r>
              <w:rPr>
                <w:rFonts w:eastAsiaTheme="minorEastAsia"/>
                <w:noProof/>
                <w:kern w:val="2"/>
                <w:sz w:val="24"/>
                <w:szCs w:val="24"/>
                <w:lang w:eastAsia="es-EC"/>
                <w14:ligatures w14:val="standardContextual"/>
              </w:rPr>
              <w:tab/>
            </w:r>
            <w:r>
              <w:rPr>
                <w:rStyle w:val="Hipervnculo"/>
                <w:rFonts w:cstheme="minorHAnsi"/>
                <w:b/>
                <w:noProof/>
                <w:lang w:eastAsia="es-EC"/>
              </w:rPr>
              <w:t>Nombre Proyecto:</w:t>
            </w:r>
            <w:r>
              <w:rPr>
                <w:noProof/>
                <w:webHidden/>
              </w:rPr>
              <w:tab/>
            </w:r>
            <w:r>
              <w:rPr>
                <w:noProof/>
                <w:webHidden/>
              </w:rPr>
              <w:fldChar w:fldCharType="begin"/>
            </w:r>
            <w:r>
              <w:rPr>
                <w:noProof/>
                <w:webHidden/>
              </w:rPr>
              <w:instrText xml:space="preserve"> PAGEREF _Toc195010038 \h </w:instrText>
            </w:r>
            <w:r>
              <w:rPr>
                <w:noProof/>
                <w:webHidden/>
              </w:rPr>
            </w:r>
            <w:r>
              <w:rPr>
                <w:noProof/>
                <w:webHidden/>
              </w:rPr>
              <w:fldChar w:fldCharType="separate"/>
            </w:r>
            <w:r>
              <w:rPr>
                <w:noProof/>
                <w:webHidden/>
              </w:rPr>
              <w:t>5</w:t>
            </w:r>
            <w:r>
              <w:rPr>
                <w:noProof/>
                <w:webHidden/>
              </w:rPr>
              <w:fldChar w:fldCharType="end"/>
            </w:r>
          </w:hyperlink>
        </w:p>
        <w:p w14:paraId="6163E173"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39" w:history="1">
            <w:r>
              <w:rPr>
                <w:rStyle w:val="Hipervnculo"/>
                <w:rFonts w:cstheme="minorHAnsi"/>
                <w:b/>
                <w:noProof/>
                <w:lang w:eastAsia="es-EC"/>
              </w:rPr>
              <w:t>1.3.</w:t>
            </w:r>
            <w:r>
              <w:rPr>
                <w:rFonts w:eastAsiaTheme="minorEastAsia"/>
                <w:noProof/>
                <w:kern w:val="2"/>
                <w:sz w:val="24"/>
                <w:szCs w:val="24"/>
                <w:lang w:eastAsia="es-EC"/>
                <w14:ligatures w14:val="standardContextual"/>
              </w:rPr>
              <w:tab/>
            </w:r>
            <w:r>
              <w:rPr>
                <w:rStyle w:val="Hipervnculo"/>
                <w:rFonts w:cstheme="minorHAnsi"/>
                <w:b/>
                <w:noProof/>
                <w:lang w:eastAsia="es-EC"/>
              </w:rPr>
              <w:t>Entidad (UDAF):</w:t>
            </w:r>
            <w:r>
              <w:rPr>
                <w:noProof/>
                <w:webHidden/>
              </w:rPr>
              <w:tab/>
            </w:r>
            <w:r>
              <w:rPr>
                <w:noProof/>
                <w:webHidden/>
              </w:rPr>
              <w:fldChar w:fldCharType="begin"/>
            </w:r>
            <w:r>
              <w:rPr>
                <w:noProof/>
                <w:webHidden/>
              </w:rPr>
              <w:instrText xml:space="preserve"> PAGEREF _Toc195010039 \h </w:instrText>
            </w:r>
            <w:r>
              <w:rPr>
                <w:noProof/>
                <w:webHidden/>
              </w:rPr>
            </w:r>
            <w:r>
              <w:rPr>
                <w:noProof/>
                <w:webHidden/>
              </w:rPr>
              <w:fldChar w:fldCharType="separate"/>
            </w:r>
            <w:r>
              <w:rPr>
                <w:noProof/>
                <w:webHidden/>
              </w:rPr>
              <w:t>5</w:t>
            </w:r>
            <w:r>
              <w:rPr>
                <w:noProof/>
                <w:webHidden/>
              </w:rPr>
              <w:fldChar w:fldCharType="end"/>
            </w:r>
          </w:hyperlink>
        </w:p>
        <w:p w14:paraId="4FCCEBA4"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40" w:history="1">
            <w:r>
              <w:rPr>
                <w:rStyle w:val="Hipervnculo"/>
                <w:b/>
                <w:noProof/>
              </w:rPr>
              <w:t>1.4.</w:t>
            </w:r>
            <w:r>
              <w:rPr>
                <w:rFonts w:eastAsiaTheme="minorEastAsia"/>
                <w:noProof/>
                <w:kern w:val="2"/>
                <w:sz w:val="24"/>
                <w:szCs w:val="24"/>
                <w:lang w:eastAsia="es-EC"/>
                <w14:ligatures w14:val="standardContextual"/>
              </w:rPr>
              <w:tab/>
            </w:r>
            <w:r>
              <w:rPr>
                <w:rStyle w:val="Hipervnculo"/>
                <w:rFonts w:cstheme="minorHAnsi"/>
                <w:b/>
                <w:noProof/>
                <w:lang w:eastAsia="es-EC"/>
              </w:rPr>
              <w:t>Entidad operativa desconcentrada (EOD):</w:t>
            </w:r>
            <w:r>
              <w:rPr>
                <w:noProof/>
                <w:webHidden/>
              </w:rPr>
              <w:tab/>
            </w:r>
            <w:r>
              <w:rPr>
                <w:noProof/>
                <w:webHidden/>
              </w:rPr>
              <w:fldChar w:fldCharType="begin"/>
            </w:r>
            <w:r>
              <w:rPr>
                <w:noProof/>
                <w:webHidden/>
              </w:rPr>
              <w:instrText xml:space="preserve"> PAGEREF _Toc195010040 \h </w:instrText>
            </w:r>
            <w:r>
              <w:rPr>
                <w:noProof/>
                <w:webHidden/>
              </w:rPr>
            </w:r>
            <w:r>
              <w:rPr>
                <w:noProof/>
                <w:webHidden/>
              </w:rPr>
              <w:fldChar w:fldCharType="separate"/>
            </w:r>
            <w:r>
              <w:rPr>
                <w:noProof/>
                <w:webHidden/>
              </w:rPr>
              <w:t>5</w:t>
            </w:r>
            <w:r>
              <w:rPr>
                <w:noProof/>
                <w:webHidden/>
              </w:rPr>
              <w:fldChar w:fldCharType="end"/>
            </w:r>
          </w:hyperlink>
        </w:p>
        <w:p w14:paraId="0378DDE1"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41" w:history="1">
            <w:r>
              <w:rPr>
                <w:rStyle w:val="Hipervnculo"/>
                <w:rFonts w:cstheme="minorHAnsi"/>
                <w:b/>
                <w:noProof/>
                <w:lang w:eastAsia="es-EC"/>
              </w:rPr>
              <w:t>1.5.</w:t>
            </w:r>
            <w:r>
              <w:rPr>
                <w:rFonts w:eastAsiaTheme="minorEastAsia"/>
                <w:noProof/>
                <w:kern w:val="2"/>
                <w:sz w:val="24"/>
                <w:szCs w:val="24"/>
                <w:lang w:eastAsia="es-EC"/>
                <w14:ligatures w14:val="standardContextual"/>
              </w:rPr>
              <w:tab/>
            </w:r>
            <w:r>
              <w:rPr>
                <w:rStyle w:val="Hipervnculo"/>
                <w:rFonts w:cstheme="minorHAnsi"/>
                <w:b/>
                <w:noProof/>
                <w:lang w:eastAsia="es-EC"/>
              </w:rPr>
              <w:t>Gabinete Sectorial:</w:t>
            </w:r>
            <w:r>
              <w:rPr>
                <w:noProof/>
                <w:webHidden/>
              </w:rPr>
              <w:tab/>
            </w:r>
            <w:r>
              <w:rPr>
                <w:noProof/>
                <w:webHidden/>
              </w:rPr>
              <w:fldChar w:fldCharType="begin"/>
            </w:r>
            <w:r>
              <w:rPr>
                <w:noProof/>
                <w:webHidden/>
              </w:rPr>
              <w:instrText xml:space="preserve"> PAGEREF _Toc195010041 \h </w:instrText>
            </w:r>
            <w:r>
              <w:rPr>
                <w:noProof/>
                <w:webHidden/>
              </w:rPr>
            </w:r>
            <w:r>
              <w:rPr>
                <w:noProof/>
                <w:webHidden/>
              </w:rPr>
              <w:fldChar w:fldCharType="separate"/>
            </w:r>
            <w:r>
              <w:rPr>
                <w:noProof/>
                <w:webHidden/>
              </w:rPr>
              <w:t>5</w:t>
            </w:r>
            <w:r>
              <w:rPr>
                <w:noProof/>
                <w:webHidden/>
              </w:rPr>
              <w:fldChar w:fldCharType="end"/>
            </w:r>
          </w:hyperlink>
        </w:p>
        <w:p w14:paraId="4EE4B869"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42" w:history="1">
            <w:r>
              <w:rPr>
                <w:rStyle w:val="Hipervnculo"/>
                <w:rFonts w:cstheme="minorHAnsi"/>
                <w:b/>
                <w:noProof/>
                <w:lang w:eastAsia="es-EC"/>
              </w:rPr>
              <w:t>1.6.</w:t>
            </w:r>
            <w:r>
              <w:rPr>
                <w:rFonts w:eastAsiaTheme="minorEastAsia"/>
                <w:noProof/>
                <w:kern w:val="2"/>
                <w:sz w:val="24"/>
                <w:szCs w:val="24"/>
                <w:lang w:eastAsia="es-EC"/>
                <w14:ligatures w14:val="standardContextual"/>
              </w:rPr>
              <w:tab/>
            </w:r>
            <w:r>
              <w:rPr>
                <w:rStyle w:val="Hipervnculo"/>
                <w:rFonts w:cstheme="minorHAnsi"/>
                <w:b/>
                <w:noProof/>
                <w:lang w:eastAsia="es-EC"/>
              </w:rPr>
              <w:t>Sector, subsector y tipo de inversión:</w:t>
            </w:r>
            <w:r>
              <w:rPr>
                <w:noProof/>
                <w:webHidden/>
              </w:rPr>
              <w:tab/>
            </w:r>
            <w:r>
              <w:rPr>
                <w:noProof/>
                <w:webHidden/>
              </w:rPr>
              <w:fldChar w:fldCharType="begin"/>
            </w:r>
            <w:r>
              <w:rPr>
                <w:noProof/>
                <w:webHidden/>
              </w:rPr>
              <w:instrText xml:space="preserve"> PAGEREF _Toc195010042 \h </w:instrText>
            </w:r>
            <w:r>
              <w:rPr>
                <w:noProof/>
                <w:webHidden/>
              </w:rPr>
            </w:r>
            <w:r>
              <w:rPr>
                <w:noProof/>
                <w:webHidden/>
              </w:rPr>
              <w:fldChar w:fldCharType="separate"/>
            </w:r>
            <w:r>
              <w:rPr>
                <w:noProof/>
                <w:webHidden/>
              </w:rPr>
              <w:t>5</w:t>
            </w:r>
            <w:r>
              <w:rPr>
                <w:noProof/>
                <w:webHidden/>
              </w:rPr>
              <w:fldChar w:fldCharType="end"/>
            </w:r>
          </w:hyperlink>
        </w:p>
        <w:p w14:paraId="37836C69"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43" w:history="1">
            <w:r>
              <w:rPr>
                <w:rStyle w:val="Hipervnculo"/>
                <w:rFonts w:cstheme="minorHAnsi"/>
                <w:b/>
                <w:noProof/>
                <w:lang w:eastAsia="es-EC"/>
              </w:rPr>
              <w:t>1.7.</w:t>
            </w:r>
            <w:r>
              <w:rPr>
                <w:rFonts w:eastAsiaTheme="minorEastAsia"/>
                <w:noProof/>
                <w:kern w:val="2"/>
                <w:sz w:val="24"/>
                <w:szCs w:val="24"/>
                <w:lang w:eastAsia="es-EC"/>
                <w14:ligatures w14:val="standardContextual"/>
              </w:rPr>
              <w:tab/>
            </w:r>
            <w:r>
              <w:rPr>
                <w:rStyle w:val="Hipervnculo"/>
                <w:rFonts w:cstheme="minorHAnsi"/>
                <w:b/>
                <w:noProof/>
                <w:lang w:eastAsia="es-EC"/>
              </w:rPr>
              <w:t>Plazo de ejecución:</w:t>
            </w:r>
            <w:r>
              <w:rPr>
                <w:noProof/>
                <w:webHidden/>
              </w:rPr>
              <w:tab/>
            </w:r>
            <w:r>
              <w:rPr>
                <w:noProof/>
                <w:webHidden/>
              </w:rPr>
              <w:fldChar w:fldCharType="begin"/>
            </w:r>
            <w:r>
              <w:rPr>
                <w:noProof/>
                <w:webHidden/>
              </w:rPr>
              <w:instrText xml:space="preserve"> PAGEREF _Toc195010043 \h </w:instrText>
            </w:r>
            <w:r>
              <w:rPr>
                <w:noProof/>
                <w:webHidden/>
              </w:rPr>
            </w:r>
            <w:r>
              <w:rPr>
                <w:noProof/>
                <w:webHidden/>
              </w:rPr>
              <w:fldChar w:fldCharType="separate"/>
            </w:r>
            <w:r>
              <w:rPr>
                <w:noProof/>
                <w:webHidden/>
              </w:rPr>
              <w:t>5</w:t>
            </w:r>
            <w:r>
              <w:rPr>
                <w:noProof/>
                <w:webHidden/>
              </w:rPr>
              <w:fldChar w:fldCharType="end"/>
            </w:r>
          </w:hyperlink>
        </w:p>
        <w:p w14:paraId="47E2D0EF"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44" w:history="1">
            <w:r>
              <w:rPr>
                <w:rStyle w:val="Hipervnculo"/>
                <w:rFonts w:cstheme="minorHAnsi"/>
                <w:b/>
                <w:noProof/>
                <w:lang w:eastAsia="es-EC"/>
              </w:rPr>
              <w:t>1.8.</w:t>
            </w:r>
            <w:r>
              <w:rPr>
                <w:rFonts w:eastAsiaTheme="minorEastAsia"/>
                <w:noProof/>
                <w:kern w:val="2"/>
                <w:sz w:val="24"/>
                <w:szCs w:val="24"/>
                <w:lang w:eastAsia="es-EC"/>
                <w14:ligatures w14:val="standardContextual"/>
              </w:rPr>
              <w:tab/>
            </w:r>
            <w:r>
              <w:rPr>
                <w:rStyle w:val="Hipervnculo"/>
                <w:rFonts w:cstheme="minorHAnsi"/>
                <w:b/>
                <w:noProof/>
                <w:lang w:eastAsia="es-EC"/>
              </w:rPr>
              <w:t>Monto Total:</w:t>
            </w:r>
            <w:r>
              <w:rPr>
                <w:noProof/>
                <w:webHidden/>
              </w:rPr>
              <w:tab/>
            </w:r>
            <w:r>
              <w:rPr>
                <w:noProof/>
                <w:webHidden/>
              </w:rPr>
              <w:fldChar w:fldCharType="begin"/>
            </w:r>
            <w:r>
              <w:rPr>
                <w:noProof/>
                <w:webHidden/>
              </w:rPr>
              <w:instrText xml:space="preserve"> PAGEREF _Toc195010044 \h </w:instrText>
            </w:r>
            <w:r>
              <w:rPr>
                <w:noProof/>
                <w:webHidden/>
              </w:rPr>
            </w:r>
            <w:r>
              <w:rPr>
                <w:noProof/>
                <w:webHidden/>
              </w:rPr>
              <w:fldChar w:fldCharType="separate"/>
            </w:r>
            <w:r>
              <w:rPr>
                <w:noProof/>
                <w:webHidden/>
              </w:rPr>
              <w:t>5</w:t>
            </w:r>
            <w:r>
              <w:rPr>
                <w:noProof/>
                <w:webHidden/>
              </w:rPr>
              <w:fldChar w:fldCharType="end"/>
            </w:r>
          </w:hyperlink>
        </w:p>
        <w:p w14:paraId="63764407" w14:textId="77777777" w:rsidR="007B3093" w:rsidRDefault="007B3093">
          <w:pPr>
            <w:pStyle w:val="TDC2"/>
            <w:tabs>
              <w:tab w:val="left" w:pos="720"/>
              <w:tab w:val="right" w:leader="dot" w:pos="8494"/>
            </w:tabs>
            <w:rPr>
              <w:rFonts w:eastAsiaTheme="minorEastAsia"/>
              <w:noProof/>
              <w:kern w:val="2"/>
              <w:sz w:val="24"/>
              <w:szCs w:val="24"/>
              <w:lang w:eastAsia="es-EC"/>
              <w14:ligatures w14:val="standardContextual"/>
            </w:rPr>
          </w:pPr>
          <w:hyperlink w:anchor="_Toc195010045" w:history="1">
            <w:r>
              <w:rPr>
                <w:rStyle w:val="Hipervnculo"/>
                <w:rFonts w:cstheme="minorHAnsi"/>
                <w:b/>
                <w:noProof/>
                <w:lang w:eastAsia="es-EC"/>
              </w:rPr>
              <w:t>2.</w:t>
            </w:r>
            <w:r>
              <w:rPr>
                <w:rFonts w:eastAsiaTheme="minorEastAsia"/>
                <w:noProof/>
                <w:kern w:val="2"/>
                <w:sz w:val="24"/>
                <w:szCs w:val="24"/>
                <w:lang w:eastAsia="es-EC"/>
                <w14:ligatures w14:val="standardContextual"/>
              </w:rPr>
              <w:tab/>
            </w:r>
            <w:r>
              <w:rPr>
                <w:rStyle w:val="Hipervnculo"/>
                <w:rFonts w:cstheme="minorHAnsi"/>
                <w:b/>
                <w:noProof/>
                <w:lang w:eastAsia="es-EC"/>
              </w:rPr>
              <w:t>DIAGNÓSTICO Y PROBLEMA</w:t>
            </w:r>
            <w:r>
              <w:rPr>
                <w:noProof/>
                <w:webHidden/>
              </w:rPr>
              <w:tab/>
            </w:r>
            <w:r>
              <w:rPr>
                <w:noProof/>
                <w:webHidden/>
              </w:rPr>
              <w:fldChar w:fldCharType="begin"/>
            </w:r>
            <w:r>
              <w:rPr>
                <w:noProof/>
                <w:webHidden/>
              </w:rPr>
              <w:instrText xml:space="preserve"> PAGEREF _Toc195010045 \h </w:instrText>
            </w:r>
            <w:r>
              <w:rPr>
                <w:noProof/>
                <w:webHidden/>
              </w:rPr>
            </w:r>
            <w:r>
              <w:rPr>
                <w:noProof/>
                <w:webHidden/>
              </w:rPr>
              <w:fldChar w:fldCharType="separate"/>
            </w:r>
            <w:r>
              <w:rPr>
                <w:noProof/>
                <w:webHidden/>
              </w:rPr>
              <w:t>7</w:t>
            </w:r>
            <w:r>
              <w:rPr>
                <w:noProof/>
                <w:webHidden/>
              </w:rPr>
              <w:fldChar w:fldCharType="end"/>
            </w:r>
          </w:hyperlink>
        </w:p>
        <w:p w14:paraId="4B1CAD43"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46" w:history="1">
            <w:r>
              <w:rPr>
                <w:rStyle w:val="Hipervnculo"/>
                <w:rFonts w:cstheme="minorHAnsi"/>
                <w:b/>
                <w:noProof/>
                <w:lang w:eastAsia="es-EC"/>
              </w:rPr>
              <w:t>2.1.</w:t>
            </w:r>
            <w:r>
              <w:rPr>
                <w:rFonts w:eastAsiaTheme="minorEastAsia"/>
                <w:noProof/>
                <w:kern w:val="2"/>
                <w:sz w:val="24"/>
                <w:szCs w:val="24"/>
                <w:lang w:eastAsia="es-EC"/>
                <w14:ligatures w14:val="standardContextual"/>
              </w:rPr>
              <w:tab/>
            </w:r>
            <w:r>
              <w:rPr>
                <w:rStyle w:val="Hipervnculo"/>
                <w:rFonts w:cstheme="minorHAnsi"/>
                <w:b/>
                <w:noProof/>
                <w:lang w:eastAsia="es-EC"/>
              </w:rPr>
              <w:t>Descripción de la situación del sector, área o zona de intervención y de influencia para el desarrollo del proyecto.</w:t>
            </w:r>
            <w:r>
              <w:rPr>
                <w:noProof/>
                <w:webHidden/>
              </w:rPr>
              <w:tab/>
            </w:r>
            <w:r>
              <w:rPr>
                <w:noProof/>
                <w:webHidden/>
              </w:rPr>
              <w:fldChar w:fldCharType="begin"/>
            </w:r>
            <w:r>
              <w:rPr>
                <w:noProof/>
                <w:webHidden/>
              </w:rPr>
              <w:instrText xml:space="preserve"> PAGEREF _Toc195010046 \h </w:instrText>
            </w:r>
            <w:r>
              <w:rPr>
                <w:noProof/>
                <w:webHidden/>
              </w:rPr>
            </w:r>
            <w:r>
              <w:rPr>
                <w:noProof/>
                <w:webHidden/>
              </w:rPr>
              <w:fldChar w:fldCharType="separate"/>
            </w:r>
            <w:r>
              <w:rPr>
                <w:noProof/>
                <w:webHidden/>
              </w:rPr>
              <w:t>7</w:t>
            </w:r>
            <w:r>
              <w:rPr>
                <w:noProof/>
                <w:webHidden/>
              </w:rPr>
              <w:fldChar w:fldCharType="end"/>
            </w:r>
          </w:hyperlink>
        </w:p>
        <w:p w14:paraId="262FD2AF"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47" w:history="1">
            <w:r>
              <w:rPr>
                <w:rStyle w:val="Hipervnculo"/>
                <w:rFonts w:cstheme="minorHAnsi"/>
                <w:b/>
                <w:noProof/>
                <w:lang w:eastAsia="es-EC"/>
              </w:rPr>
              <w:t>2.2</w:t>
            </w:r>
            <w:r>
              <w:rPr>
                <w:rFonts w:eastAsiaTheme="minorEastAsia"/>
                <w:noProof/>
                <w:kern w:val="2"/>
                <w:sz w:val="24"/>
                <w:szCs w:val="24"/>
                <w:lang w:eastAsia="es-EC"/>
                <w14:ligatures w14:val="standardContextual"/>
              </w:rPr>
              <w:tab/>
            </w:r>
            <w:r>
              <w:rPr>
                <w:rStyle w:val="Hipervnculo"/>
                <w:rFonts w:cstheme="minorHAnsi"/>
                <w:b/>
                <w:noProof/>
                <w:lang w:eastAsia="es-EC"/>
              </w:rPr>
              <w:t>Identificación, descripción y diagnóstico del problema</w:t>
            </w:r>
            <w:r>
              <w:rPr>
                <w:noProof/>
                <w:webHidden/>
              </w:rPr>
              <w:tab/>
            </w:r>
            <w:r>
              <w:rPr>
                <w:noProof/>
                <w:webHidden/>
              </w:rPr>
              <w:fldChar w:fldCharType="begin"/>
            </w:r>
            <w:r>
              <w:rPr>
                <w:noProof/>
                <w:webHidden/>
              </w:rPr>
              <w:instrText xml:space="preserve"> PAGEREF _Toc195010047 \h </w:instrText>
            </w:r>
            <w:r>
              <w:rPr>
                <w:noProof/>
                <w:webHidden/>
              </w:rPr>
            </w:r>
            <w:r>
              <w:rPr>
                <w:noProof/>
                <w:webHidden/>
              </w:rPr>
              <w:fldChar w:fldCharType="separate"/>
            </w:r>
            <w:r>
              <w:rPr>
                <w:noProof/>
                <w:webHidden/>
              </w:rPr>
              <w:t>12</w:t>
            </w:r>
            <w:r>
              <w:rPr>
                <w:noProof/>
                <w:webHidden/>
              </w:rPr>
              <w:fldChar w:fldCharType="end"/>
            </w:r>
          </w:hyperlink>
        </w:p>
        <w:p w14:paraId="13B25A45"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48" w:history="1">
            <w:r>
              <w:rPr>
                <w:rStyle w:val="Hipervnculo"/>
                <w:rFonts w:cstheme="minorHAnsi"/>
                <w:b/>
                <w:noProof/>
                <w:lang w:eastAsia="es-EC"/>
              </w:rPr>
              <w:t>2.3</w:t>
            </w:r>
            <w:r>
              <w:rPr>
                <w:rFonts w:eastAsiaTheme="minorEastAsia"/>
                <w:noProof/>
                <w:kern w:val="2"/>
                <w:sz w:val="24"/>
                <w:szCs w:val="24"/>
                <w:lang w:eastAsia="es-EC"/>
                <w14:ligatures w14:val="standardContextual"/>
              </w:rPr>
              <w:tab/>
            </w:r>
            <w:r>
              <w:rPr>
                <w:rStyle w:val="Hipervnculo"/>
                <w:rFonts w:cstheme="minorHAnsi"/>
                <w:b/>
                <w:noProof/>
                <w:lang w:eastAsia="es-EC"/>
              </w:rPr>
              <w:t>Línea base del proyecto</w:t>
            </w:r>
            <w:r>
              <w:rPr>
                <w:noProof/>
                <w:webHidden/>
              </w:rPr>
              <w:tab/>
            </w:r>
            <w:r>
              <w:rPr>
                <w:noProof/>
                <w:webHidden/>
              </w:rPr>
              <w:fldChar w:fldCharType="begin"/>
            </w:r>
            <w:r>
              <w:rPr>
                <w:noProof/>
                <w:webHidden/>
              </w:rPr>
              <w:instrText xml:space="preserve"> PAGEREF _Toc195010048 \h </w:instrText>
            </w:r>
            <w:r>
              <w:rPr>
                <w:noProof/>
                <w:webHidden/>
              </w:rPr>
            </w:r>
            <w:r>
              <w:rPr>
                <w:noProof/>
                <w:webHidden/>
              </w:rPr>
              <w:fldChar w:fldCharType="separate"/>
            </w:r>
            <w:r>
              <w:rPr>
                <w:noProof/>
                <w:webHidden/>
              </w:rPr>
              <w:t>18</w:t>
            </w:r>
            <w:r>
              <w:rPr>
                <w:noProof/>
                <w:webHidden/>
              </w:rPr>
              <w:fldChar w:fldCharType="end"/>
            </w:r>
          </w:hyperlink>
        </w:p>
        <w:p w14:paraId="3C3DC29D"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49" w:history="1">
            <w:r>
              <w:rPr>
                <w:rStyle w:val="Hipervnculo"/>
                <w:rFonts w:cstheme="minorHAnsi"/>
                <w:b/>
                <w:noProof/>
                <w:lang w:eastAsia="es-EC"/>
              </w:rPr>
              <w:t>2.4</w:t>
            </w:r>
            <w:r>
              <w:rPr>
                <w:rFonts w:eastAsiaTheme="minorEastAsia"/>
                <w:noProof/>
                <w:kern w:val="2"/>
                <w:sz w:val="24"/>
                <w:szCs w:val="24"/>
                <w:lang w:eastAsia="es-EC"/>
                <w14:ligatures w14:val="standardContextual"/>
              </w:rPr>
              <w:tab/>
            </w:r>
            <w:r>
              <w:rPr>
                <w:rStyle w:val="Hipervnculo"/>
                <w:rFonts w:cstheme="minorHAnsi"/>
                <w:b/>
                <w:noProof/>
                <w:lang w:eastAsia="es-EC"/>
              </w:rPr>
              <w:t>Situación actual del proyecto</w:t>
            </w:r>
            <w:r>
              <w:rPr>
                <w:noProof/>
                <w:webHidden/>
              </w:rPr>
              <w:tab/>
            </w:r>
            <w:r>
              <w:rPr>
                <w:noProof/>
                <w:webHidden/>
              </w:rPr>
              <w:fldChar w:fldCharType="begin"/>
            </w:r>
            <w:r>
              <w:rPr>
                <w:noProof/>
                <w:webHidden/>
              </w:rPr>
              <w:instrText xml:space="preserve"> PAGEREF _Toc195010049 \h </w:instrText>
            </w:r>
            <w:r>
              <w:rPr>
                <w:noProof/>
                <w:webHidden/>
              </w:rPr>
            </w:r>
            <w:r>
              <w:rPr>
                <w:noProof/>
                <w:webHidden/>
              </w:rPr>
              <w:fldChar w:fldCharType="separate"/>
            </w:r>
            <w:r>
              <w:rPr>
                <w:noProof/>
                <w:webHidden/>
              </w:rPr>
              <w:t>20</w:t>
            </w:r>
            <w:r>
              <w:rPr>
                <w:noProof/>
                <w:webHidden/>
              </w:rPr>
              <w:fldChar w:fldCharType="end"/>
            </w:r>
          </w:hyperlink>
        </w:p>
        <w:p w14:paraId="285FC7B2"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50" w:history="1">
            <w:r>
              <w:rPr>
                <w:rStyle w:val="Hipervnculo"/>
                <w:rFonts w:cstheme="minorHAnsi"/>
                <w:b/>
                <w:noProof/>
                <w:lang w:eastAsia="es-EC"/>
              </w:rPr>
              <w:t>2.5</w:t>
            </w:r>
            <w:r>
              <w:rPr>
                <w:rFonts w:eastAsiaTheme="minorEastAsia"/>
                <w:noProof/>
                <w:kern w:val="2"/>
                <w:sz w:val="24"/>
                <w:szCs w:val="24"/>
                <w:lang w:eastAsia="es-EC"/>
                <w14:ligatures w14:val="standardContextual"/>
              </w:rPr>
              <w:tab/>
            </w:r>
            <w:r>
              <w:rPr>
                <w:rStyle w:val="Hipervnculo"/>
                <w:rFonts w:cstheme="minorHAnsi"/>
                <w:b/>
                <w:noProof/>
                <w:lang w:eastAsia="es-EC"/>
              </w:rPr>
              <w:t>Análisis de oferta y demanda</w:t>
            </w:r>
            <w:r>
              <w:rPr>
                <w:noProof/>
                <w:webHidden/>
              </w:rPr>
              <w:tab/>
            </w:r>
            <w:r>
              <w:rPr>
                <w:noProof/>
                <w:webHidden/>
              </w:rPr>
              <w:fldChar w:fldCharType="begin"/>
            </w:r>
            <w:r>
              <w:rPr>
                <w:noProof/>
                <w:webHidden/>
              </w:rPr>
              <w:instrText xml:space="preserve"> PAGEREF _Toc195010050 \h </w:instrText>
            </w:r>
            <w:r>
              <w:rPr>
                <w:noProof/>
                <w:webHidden/>
              </w:rPr>
            </w:r>
            <w:r>
              <w:rPr>
                <w:noProof/>
                <w:webHidden/>
              </w:rPr>
              <w:fldChar w:fldCharType="separate"/>
            </w:r>
            <w:r>
              <w:rPr>
                <w:noProof/>
                <w:webHidden/>
              </w:rPr>
              <w:t>25</w:t>
            </w:r>
            <w:r>
              <w:rPr>
                <w:noProof/>
                <w:webHidden/>
              </w:rPr>
              <w:fldChar w:fldCharType="end"/>
            </w:r>
          </w:hyperlink>
        </w:p>
        <w:p w14:paraId="7D7CB627"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51" w:history="1">
            <w:r>
              <w:rPr>
                <w:rStyle w:val="Hipervnculo"/>
                <w:rFonts w:cstheme="minorHAnsi"/>
                <w:b/>
                <w:noProof/>
                <w:lang w:eastAsia="es-EC"/>
              </w:rPr>
              <w:t>2.5.1</w:t>
            </w:r>
            <w:r>
              <w:rPr>
                <w:rFonts w:eastAsiaTheme="minorEastAsia"/>
                <w:noProof/>
                <w:kern w:val="2"/>
                <w:sz w:val="24"/>
                <w:szCs w:val="24"/>
                <w:lang w:eastAsia="es-EC"/>
                <w14:ligatures w14:val="standardContextual"/>
              </w:rPr>
              <w:tab/>
            </w:r>
            <w:r>
              <w:rPr>
                <w:rStyle w:val="Hipervnculo"/>
                <w:rFonts w:cstheme="minorHAnsi"/>
                <w:b/>
                <w:noProof/>
                <w:lang w:eastAsia="es-EC"/>
              </w:rPr>
              <w:t>Oferta</w:t>
            </w:r>
            <w:r>
              <w:rPr>
                <w:noProof/>
                <w:webHidden/>
              </w:rPr>
              <w:tab/>
            </w:r>
            <w:r>
              <w:rPr>
                <w:noProof/>
                <w:webHidden/>
              </w:rPr>
              <w:fldChar w:fldCharType="begin"/>
            </w:r>
            <w:r>
              <w:rPr>
                <w:noProof/>
                <w:webHidden/>
              </w:rPr>
              <w:instrText xml:space="preserve"> PAGEREF _Toc195010051 \h </w:instrText>
            </w:r>
            <w:r>
              <w:rPr>
                <w:noProof/>
                <w:webHidden/>
              </w:rPr>
            </w:r>
            <w:r>
              <w:rPr>
                <w:noProof/>
                <w:webHidden/>
              </w:rPr>
              <w:fldChar w:fldCharType="separate"/>
            </w:r>
            <w:r>
              <w:rPr>
                <w:noProof/>
                <w:webHidden/>
              </w:rPr>
              <w:t>25</w:t>
            </w:r>
            <w:r>
              <w:rPr>
                <w:noProof/>
                <w:webHidden/>
              </w:rPr>
              <w:fldChar w:fldCharType="end"/>
            </w:r>
          </w:hyperlink>
        </w:p>
        <w:p w14:paraId="3464E2BD"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52" w:history="1">
            <w:r>
              <w:rPr>
                <w:rStyle w:val="Hipervnculo"/>
                <w:rFonts w:cstheme="minorHAnsi"/>
                <w:b/>
                <w:noProof/>
                <w:lang w:eastAsia="es-EC"/>
              </w:rPr>
              <w:t>2.5.2</w:t>
            </w:r>
            <w:r>
              <w:rPr>
                <w:rFonts w:eastAsiaTheme="minorEastAsia"/>
                <w:noProof/>
                <w:kern w:val="2"/>
                <w:sz w:val="24"/>
                <w:szCs w:val="24"/>
                <w:lang w:eastAsia="es-EC"/>
                <w14:ligatures w14:val="standardContextual"/>
              </w:rPr>
              <w:tab/>
            </w:r>
            <w:r>
              <w:rPr>
                <w:rStyle w:val="Hipervnculo"/>
                <w:rFonts w:cstheme="minorHAnsi"/>
                <w:b/>
                <w:noProof/>
                <w:lang w:eastAsia="es-EC"/>
              </w:rPr>
              <w:t>Demanda</w:t>
            </w:r>
            <w:r>
              <w:rPr>
                <w:noProof/>
                <w:webHidden/>
              </w:rPr>
              <w:tab/>
            </w:r>
            <w:r>
              <w:rPr>
                <w:noProof/>
                <w:webHidden/>
              </w:rPr>
              <w:fldChar w:fldCharType="begin"/>
            </w:r>
            <w:r>
              <w:rPr>
                <w:noProof/>
                <w:webHidden/>
              </w:rPr>
              <w:instrText xml:space="preserve"> PAGEREF _Toc195010052 \h </w:instrText>
            </w:r>
            <w:r>
              <w:rPr>
                <w:noProof/>
                <w:webHidden/>
              </w:rPr>
            </w:r>
            <w:r>
              <w:rPr>
                <w:noProof/>
                <w:webHidden/>
              </w:rPr>
              <w:fldChar w:fldCharType="separate"/>
            </w:r>
            <w:r>
              <w:rPr>
                <w:noProof/>
                <w:webHidden/>
              </w:rPr>
              <w:t>27</w:t>
            </w:r>
            <w:r>
              <w:rPr>
                <w:noProof/>
                <w:webHidden/>
              </w:rPr>
              <w:fldChar w:fldCharType="end"/>
            </w:r>
          </w:hyperlink>
        </w:p>
        <w:p w14:paraId="1D5B4E25"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53" w:history="1">
            <w:r>
              <w:rPr>
                <w:rStyle w:val="Hipervnculo"/>
                <w:rFonts w:cstheme="minorHAnsi"/>
                <w:b/>
                <w:noProof/>
                <w:lang w:eastAsia="es-EC"/>
              </w:rPr>
              <w:t>2.5.3</w:t>
            </w:r>
            <w:r>
              <w:rPr>
                <w:rFonts w:eastAsiaTheme="minorEastAsia"/>
                <w:noProof/>
                <w:kern w:val="2"/>
                <w:sz w:val="24"/>
                <w:szCs w:val="24"/>
                <w:lang w:eastAsia="es-EC"/>
                <w14:ligatures w14:val="standardContextual"/>
              </w:rPr>
              <w:tab/>
            </w:r>
            <w:r>
              <w:rPr>
                <w:rStyle w:val="Hipervnculo"/>
                <w:rFonts w:cstheme="minorHAnsi"/>
                <w:b/>
                <w:noProof/>
                <w:lang w:eastAsia="es-EC"/>
              </w:rPr>
              <w:t>Estimación del Déficit o Demanda Insatisfecha (oferta – demanda)</w:t>
            </w:r>
            <w:r>
              <w:rPr>
                <w:noProof/>
                <w:webHidden/>
              </w:rPr>
              <w:tab/>
            </w:r>
            <w:r>
              <w:rPr>
                <w:noProof/>
                <w:webHidden/>
              </w:rPr>
              <w:fldChar w:fldCharType="begin"/>
            </w:r>
            <w:r>
              <w:rPr>
                <w:noProof/>
                <w:webHidden/>
              </w:rPr>
              <w:instrText xml:space="preserve"> PAGEREF _Toc195010053 \h </w:instrText>
            </w:r>
            <w:r>
              <w:rPr>
                <w:noProof/>
                <w:webHidden/>
              </w:rPr>
            </w:r>
            <w:r>
              <w:rPr>
                <w:noProof/>
                <w:webHidden/>
              </w:rPr>
              <w:fldChar w:fldCharType="separate"/>
            </w:r>
            <w:r>
              <w:rPr>
                <w:noProof/>
                <w:webHidden/>
              </w:rPr>
              <w:t>30</w:t>
            </w:r>
            <w:r>
              <w:rPr>
                <w:noProof/>
                <w:webHidden/>
              </w:rPr>
              <w:fldChar w:fldCharType="end"/>
            </w:r>
          </w:hyperlink>
        </w:p>
        <w:p w14:paraId="52D1A0FB"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54" w:history="1">
            <w:r>
              <w:rPr>
                <w:rStyle w:val="Hipervnculo"/>
                <w:rFonts w:cstheme="minorHAnsi"/>
                <w:b/>
                <w:noProof/>
                <w:lang w:eastAsia="es-EC"/>
              </w:rPr>
              <w:t>2.6</w:t>
            </w:r>
            <w:r>
              <w:rPr>
                <w:rFonts w:eastAsiaTheme="minorEastAsia"/>
                <w:noProof/>
                <w:kern w:val="2"/>
                <w:sz w:val="24"/>
                <w:szCs w:val="24"/>
                <w:lang w:eastAsia="es-EC"/>
                <w14:ligatures w14:val="standardContextual"/>
              </w:rPr>
              <w:tab/>
            </w:r>
            <w:r>
              <w:rPr>
                <w:rStyle w:val="Hipervnculo"/>
                <w:rFonts w:cstheme="minorHAnsi"/>
                <w:b/>
                <w:noProof/>
                <w:lang w:eastAsia="es-EC"/>
              </w:rPr>
              <w:t>Identificación y caracterización de la población objetivo</w:t>
            </w:r>
            <w:r>
              <w:rPr>
                <w:noProof/>
                <w:webHidden/>
              </w:rPr>
              <w:tab/>
            </w:r>
            <w:r>
              <w:rPr>
                <w:noProof/>
                <w:webHidden/>
              </w:rPr>
              <w:fldChar w:fldCharType="begin"/>
            </w:r>
            <w:r>
              <w:rPr>
                <w:noProof/>
                <w:webHidden/>
              </w:rPr>
              <w:instrText xml:space="preserve"> PAGEREF _Toc195010054 \h </w:instrText>
            </w:r>
            <w:r>
              <w:rPr>
                <w:noProof/>
                <w:webHidden/>
              </w:rPr>
            </w:r>
            <w:r>
              <w:rPr>
                <w:noProof/>
                <w:webHidden/>
              </w:rPr>
              <w:fldChar w:fldCharType="separate"/>
            </w:r>
            <w:r>
              <w:rPr>
                <w:noProof/>
                <w:webHidden/>
              </w:rPr>
              <w:t>30</w:t>
            </w:r>
            <w:r>
              <w:rPr>
                <w:noProof/>
                <w:webHidden/>
              </w:rPr>
              <w:fldChar w:fldCharType="end"/>
            </w:r>
          </w:hyperlink>
        </w:p>
        <w:p w14:paraId="4F199839"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55" w:history="1">
            <w:r>
              <w:rPr>
                <w:rStyle w:val="Hipervnculo"/>
                <w:rFonts w:cstheme="minorHAnsi"/>
                <w:b/>
                <w:noProof/>
              </w:rPr>
              <w:t>2.6.1</w:t>
            </w:r>
            <w:r>
              <w:rPr>
                <w:rFonts w:eastAsiaTheme="minorEastAsia"/>
                <w:noProof/>
                <w:kern w:val="2"/>
                <w:sz w:val="24"/>
                <w:szCs w:val="24"/>
                <w:lang w:eastAsia="es-EC"/>
                <w14:ligatures w14:val="standardContextual"/>
              </w:rPr>
              <w:tab/>
            </w:r>
            <w:r>
              <w:rPr>
                <w:rStyle w:val="Hipervnculo"/>
                <w:rFonts w:cstheme="minorHAnsi"/>
                <w:b/>
                <w:noProof/>
                <w:lang w:eastAsia="es-EC"/>
              </w:rPr>
              <w:t>Ubicación Geográfica e impacto territorial.</w:t>
            </w:r>
            <w:r>
              <w:rPr>
                <w:noProof/>
                <w:webHidden/>
              </w:rPr>
              <w:tab/>
            </w:r>
            <w:r>
              <w:rPr>
                <w:noProof/>
                <w:webHidden/>
              </w:rPr>
              <w:fldChar w:fldCharType="begin"/>
            </w:r>
            <w:r>
              <w:rPr>
                <w:noProof/>
                <w:webHidden/>
              </w:rPr>
              <w:instrText xml:space="preserve"> PAGEREF _Toc195010055 \h </w:instrText>
            </w:r>
            <w:r>
              <w:rPr>
                <w:noProof/>
                <w:webHidden/>
              </w:rPr>
            </w:r>
            <w:r>
              <w:rPr>
                <w:noProof/>
                <w:webHidden/>
              </w:rPr>
              <w:fldChar w:fldCharType="separate"/>
            </w:r>
            <w:r>
              <w:rPr>
                <w:noProof/>
                <w:webHidden/>
              </w:rPr>
              <w:t>31</w:t>
            </w:r>
            <w:r>
              <w:rPr>
                <w:noProof/>
                <w:webHidden/>
              </w:rPr>
              <w:fldChar w:fldCharType="end"/>
            </w:r>
          </w:hyperlink>
        </w:p>
        <w:p w14:paraId="23F190C9" w14:textId="77777777" w:rsidR="007B3093" w:rsidRDefault="007B3093">
          <w:pPr>
            <w:pStyle w:val="TDC2"/>
            <w:tabs>
              <w:tab w:val="left" w:pos="720"/>
              <w:tab w:val="right" w:leader="dot" w:pos="8494"/>
            </w:tabs>
            <w:rPr>
              <w:rFonts w:eastAsiaTheme="minorEastAsia"/>
              <w:noProof/>
              <w:kern w:val="2"/>
              <w:sz w:val="24"/>
              <w:szCs w:val="24"/>
              <w:lang w:eastAsia="es-EC"/>
              <w14:ligatures w14:val="standardContextual"/>
            </w:rPr>
          </w:pPr>
          <w:hyperlink w:anchor="_Toc195010056" w:history="1">
            <w:r>
              <w:rPr>
                <w:rStyle w:val="Hipervnculo"/>
                <w:rFonts w:cstheme="minorHAnsi"/>
                <w:b/>
                <w:noProof/>
                <w:lang w:eastAsia="es-EC"/>
              </w:rPr>
              <w:t>3</w:t>
            </w:r>
            <w:r>
              <w:rPr>
                <w:rFonts w:eastAsiaTheme="minorEastAsia"/>
                <w:noProof/>
                <w:kern w:val="2"/>
                <w:sz w:val="24"/>
                <w:szCs w:val="24"/>
                <w:lang w:eastAsia="es-EC"/>
                <w14:ligatures w14:val="standardContextual"/>
              </w:rPr>
              <w:tab/>
            </w:r>
            <w:r>
              <w:rPr>
                <w:rStyle w:val="Hipervnculo"/>
                <w:rFonts w:cstheme="minorHAnsi"/>
                <w:b/>
                <w:noProof/>
                <w:lang w:eastAsia="es-EC"/>
              </w:rPr>
              <w:t>ARTICULACIÓN CON LA PLANIFICACIÓN</w:t>
            </w:r>
            <w:r>
              <w:rPr>
                <w:noProof/>
                <w:webHidden/>
              </w:rPr>
              <w:tab/>
            </w:r>
            <w:r>
              <w:rPr>
                <w:noProof/>
                <w:webHidden/>
              </w:rPr>
              <w:fldChar w:fldCharType="begin"/>
            </w:r>
            <w:r>
              <w:rPr>
                <w:noProof/>
                <w:webHidden/>
              </w:rPr>
              <w:instrText xml:space="preserve"> PAGEREF _Toc195010056 \h </w:instrText>
            </w:r>
            <w:r>
              <w:rPr>
                <w:noProof/>
                <w:webHidden/>
              </w:rPr>
            </w:r>
            <w:r>
              <w:rPr>
                <w:noProof/>
                <w:webHidden/>
              </w:rPr>
              <w:fldChar w:fldCharType="separate"/>
            </w:r>
            <w:r>
              <w:rPr>
                <w:noProof/>
                <w:webHidden/>
              </w:rPr>
              <w:t>33</w:t>
            </w:r>
            <w:r>
              <w:rPr>
                <w:noProof/>
                <w:webHidden/>
              </w:rPr>
              <w:fldChar w:fldCharType="end"/>
            </w:r>
          </w:hyperlink>
        </w:p>
        <w:p w14:paraId="054C2CD7"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57" w:history="1">
            <w:r>
              <w:rPr>
                <w:rStyle w:val="Hipervnculo"/>
                <w:rFonts w:cstheme="minorHAnsi"/>
                <w:b/>
                <w:noProof/>
                <w:lang w:eastAsia="es-EC"/>
              </w:rPr>
              <w:t>3.2</w:t>
            </w:r>
            <w:r>
              <w:rPr>
                <w:rFonts w:eastAsiaTheme="minorEastAsia"/>
                <w:noProof/>
                <w:kern w:val="2"/>
                <w:sz w:val="24"/>
                <w:szCs w:val="24"/>
                <w:lang w:eastAsia="es-EC"/>
                <w14:ligatures w14:val="standardContextual"/>
              </w:rPr>
              <w:tab/>
            </w:r>
            <w:r>
              <w:rPr>
                <w:rStyle w:val="Hipervnculo"/>
                <w:rFonts w:cstheme="minorHAnsi"/>
                <w:b/>
                <w:noProof/>
                <w:lang w:eastAsia="es-EC"/>
              </w:rPr>
              <w:t>Alineación objetivo estratégico institucional.</w:t>
            </w:r>
            <w:r>
              <w:rPr>
                <w:noProof/>
                <w:webHidden/>
              </w:rPr>
              <w:tab/>
            </w:r>
            <w:r>
              <w:rPr>
                <w:noProof/>
                <w:webHidden/>
              </w:rPr>
              <w:fldChar w:fldCharType="begin"/>
            </w:r>
            <w:r>
              <w:rPr>
                <w:noProof/>
                <w:webHidden/>
              </w:rPr>
              <w:instrText xml:space="preserve"> PAGEREF _Toc195010057 \h </w:instrText>
            </w:r>
            <w:r>
              <w:rPr>
                <w:noProof/>
                <w:webHidden/>
              </w:rPr>
            </w:r>
            <w:r>
              <w:rPr>
                <w:noProof/>
                <w:webHidden/>
              </w:rPr>
              <w:fldChar w:fldCharType="separate"/>
            </w:r>
            <w:r>
              <w:rPr>
                <w:noProof/>
                <w:webHidden/>
              </w:rPr>
              <w:t>33</w:t>
            </w:r>
            <w:r>
              <w:rPr>
                <w:noProof/>
                <w:webHidden/>
              </w:rPr>
              <w:fldChar w:fldCharType="end"/>
            </w:r>
          </w:hyperlink>
        </w:p>
        <w:p w14:paraId="5660E1F6"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58" w:history="1">
            <w:r>
              <w:rPr>
                <w:rStyle w:val="Hipervnculo"/>
                <w:rFonts w:cstheme="minorHAnsi"/>
                <w:b/>
                <w:noProof/>
                <w:lang w:eastAsia="es-EC"/>
              </w:rPr>
              <w:t>3.3</w:t>
            </w:r>
            <w:r>
              <w:rPr>
                <w:rFonts w:eastAsiaTheme="minorEastAsia"/>
                <w:noProof/>
                <w:kern w:val="2"/>
                <w:sz w:val="24"/>
                <w:szCs w:val="24"/>
                <w:lang w:eastAsia="es-EC"/>
                <w14:ligatures w14:val="standardContextual"/>
              </w:rPr>
              <w:tab/>
            </w:r>
            <w:r>
              <w:rPr>
                <w:rStyle w:val="Hipervnculo"/>
                <w:rFonts w:cstheme="minorHAnsi"/>
                <w:b/>
                <w:noProof/>
                <w:lang w:eastAsia="es-EC"/>
              </w:rPr>
              <w:t>Contribución del proyecto a la meta del Plan Nacional de Desarrollo</w:t>
            </w:r>
            <w:r>
              <w:rPr>
                <w:noProof/>
                <w:webHidden/>
              </w:rPr>
              <w:tab/>
            </w:r>
            <w:r>
              <w:rPr>
                <w:noProof/>
                <w:webHidden/>
              </w:rPr>
              <w:fldChar w:fldCharType="begin"/>
            </w:r>
            <w:r>
              <w:rPr>
                <w:noProof/>
                <w:webHidden/>
              </w:rPr>
              <w:instrText xml:space="preserve"> PAGEREF _Toc195010058 \h </w:instrText>
            </w:r>
            <w:r>
              <w:rPr>
                <w:noProof/>
                <w:webHidden/>
              </w:rPr>
            </w:r>
            <w:r>
              <w:rPr>
                <w:noProof/>
                <w:webHidden/>
              </w:rPr>
              <w:fldChar w:fldCharType="separate"/>
            </w:r>
            <w:r>
              <w:rPr>
                <w:noProof/>
                <w:webHidden/>
              </w:rPr>
              <w:t>33</w:t>
            </w:r>
            <w:r>
              <w:rPr>
                <w:noProof/>
                <w:webHidden/>
              </w:rPr>
              <w:fldChar w:fldCharType="end"/>
            </w:r>
          </w:hyperlink>
        </w:p>
        <w:p w14:paraId="5DC97A80" w14:textId="77777777" w:rsidR="007B3093" w:rsidRDefault="007B3093">
          <w:pPr>
            <w:pStyle w:val="TDC2"/>
            <w:tabs>
              <w:tab w:val="left" w:pos="720"/>
              <w:tab w:val="right" w:leader="dot" w:pos="8494"/>
            </w:tabs>
            <w:rPr>
              <w:rFonts w:eastAsiaTheme="minorEastAsia"/>
              <w:noProof/>
              <w:kern w:val="2"/>
              <w:sz w:val="24"/>
              <w:szCs w:val="24"/>
              <w:lang w:eastAsia="es-EC"/>
              <w14:ligatures w14:val="standardContextual"/>
            </w:rPr>
          </w:pPr>
          <w:hyperlink w:anchor="_Toc195010059" w:history="1">
            <w:r>
              <w:rPr>
                <w:rStyle w:val="Hipervnculo"/>
                <w:rFonts w:cstheme="minorHAnsi"/>
                <w:b/>
                <w:noProof/>
                <w:lang w:eastAsia="es-EC"/>
              </w:rPr>
              <w:t>4</w:t>
            </w:r>
            <w:r>
              <w:rPr>
                <w:rFonts w:eastAsiaTheme="minorEastAsia"/>
                <w:noProof/>
                <w:kern w:val="2"/>
                <w:sz w:val="24"/>
                <w:szCs w:val="24"/>
                <w:lang w:eastAsia="es-EC"/>
                <w14:ligatures w14:val="standardContextual"/>
              </w:rPr>
              <w:tab/>
            </w:r>
            <w:r>
              <w:rPr>
                <w:rStyle w:val="Hipervnculo"/>
                <w:rFonts w:cstheme="minorHAnsi"/>
                <w:b/>
                <w:noProof/>
                <w:lang w:eastAsia="es-EC"/>
              </w:rPr>
              <w:t>MATRIZ DE MARCO LÓGICO</w:t>
            </w:r>
            <w:r>
              <w:rPr>
                <w:noProof/>
                <w:webHidden/>
              </w:rPr>
              <w:tab/>
            </w:r>
            <w:r>
              <w:rPr>
                <w:noProof/>
                <w:webHidden/>
              </w:rPr>
              <w:fldChar w:fldCharType="begin"/>
            </w:r>
            <w:r>
              <w:rPr>
                <w:noProof/>
                <w:webHidden/>
              </w:rPr>
              <w:instrText xml:space="preserve"> PAGEREF _Toc195010059 \h </w:instrText>
            </w:r>
            <w:r>
              <w:rPr>
                <w:noProof/>
                <w:webHidden/>
              </w:rPr>
            </w:r>
            <w:r>
              <w:rPr>
                <w:noProof/>
                <w:webHidden/>
              </w:rPr>
              <w:fldChar w:fldCharType="separate"/>
            </w:r>
            <w:r>
              <w:rPr>
                <w:noProof/>
                <w:webHidden/>
              </w:rPr>
              <w:t>34</w:t>
            </w:r>
            <w:r>
              <w:rPr>
                <w:noProof/>
                <w:webHidden/>
              </w:rPr>
              <w:fldChar w:fldCharType="end"/>
            </w:r>
          </w:hyperlink>
        </w:p>
        <w:p w14:paraId="156D5C11"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60" w:history="1">
            <w:r>
              <w:rPr>
                <w:rStyle w:val="Hipervnculo"/>
                <w:rFonts w:cstheme="minorHAnsi"/>
                <w:b/>
                <w:noProof/>
                <w:lang w:eastAsia="es-EC"/>
              </w:rPr>
              <w:t>4.1</w:t>
            </w:r>
            <w:r>
              <w:rPr>
                <w:rFonts w:eastAsiaTheme="minorEastAsia"/>
                <w:noProof/>
                <w:kern w:val="2"/>
                <w:sz w:val="24"/>
                <w:szCs w:val="24"/>
                <w:lang w:eastAsia="es-EC"/>
                <w14:ligatures w14:val="standardContextual"/>
              </w:rPr>
              <w:tab/>
            </w:r>
            <w:r>
              <w:rPr>
                <w:rStyle w:val="Hipervnculo"/>
                <w:rFonts w:cstheme="minorHAnsi"/>
                <w:b/>
                <w:noProof/>
                <w:lang w:eastAsia="es-EC"/>
              </w:rPr>
              <w:t>Objetivo general y objetivos específico</w:t>
            </w:r>
            <w:r>
              <w:rPr>
                <w:noProof/>
                <w:webHidden/>
              </w:rPr>
              <w:tab/>
            </w:r>
            <w:r>
              <w:rPr>
                <w:noProof/>
                <w:webHidden/>
              </w:rPr>
              <w:fldChar w:fldCharType="begin"/>
            </w:r>
            <w:r>
              <w:rPr>
                <w:noProof/>
                <w:webHidden/>
              </w:rPr>
              <w:instrText xml:space="preserve"> PAGEREF _Toc195010060 \h </w:instrText>
            </w:r>
            <w:r>
              <w:rPr>
                <w:noProof/>
                <w:webHidden/>
              </w:rPr>
            </w:r>
            <w:r>
              <w:rPr>
                <w:noProof/>
                <w:webHidden/>
              </w:rPr>
              <w:fldChar w:fldCharType="separate"/>
            </w:r>
            <w:r>
              <w:rPr>
                <w:noProof/>
                <w:webHidden/>
              </w:rPr>
              <w:t>34</w:t>
            </w:r>
            <w:r>
              <w:rPr>
                <w:noProof/>
                <w:webHidden/>
              </w:rPr>
              <w:fldChar w:fldCharType="end"/>
            </w:r>
          </w:hyperlink>
        </w:p>
        <w:p w14:paraId="1F71AA4E"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61" w:history="1">
            <w:r>
              <w:rPr>
                <w:rStyle w:val="Hipervnculo"/>
                <w:rFonts w:cstheme="minorHAnsi"/>
                <w:b/>
                <w:noProof/>
                <w:lang w:eastAsia="es-EC"/>
              </w:rPr>
              <w:t>4.2</w:t>
            </w:r>
            <w:r>
              <w:rPr>
                <w:rFonts w:eastAsiaTheme="minorEastAsia"/>
                <w:noProof/>
                <w:kern w:val="2"/>
                <w:sz w:val="24"/>
                <w:szCs w:val="24"/>
                <w:lang w:eastAsia="es-EC"/>
                <w14:ligatures w14:val="standardContextual"/>
              </w:rPr>
              <w:tab/>
            </w:r>
            <w:r>
              <w:rPr>
                <w:rStyle w:val="Hipervnculo"/>
                <w:rFonts w:cstheme="minorHAnsi"/>
                <w:b/>
                <w:noProof/>
                <w:lang w:eastAsia="es-EC"/>
              </w:rPr>
              <w:t>Indicadores de resultado</w:t>
            </w:r>
            <w:r>
              <w:rPr>
                <w:noProof/>
                <w:webHidden/>
              </w:rPr>
              <w:tab/>
            </w:r>
            <w:r>
              <w:rPr>
                <w:noProof/>
                <w:webHidden/>
              </w:rPr>
              <w:fldChar w:fldCharType="begin"/>
            </w:r>
            <w:r>
              <w:rPr>
                <w:noProof/>
                <w:webHidden/>
              </w:rPr>
              <w:instrText xml:space="preserve"> PAGEREF _Toc195010061 \h </w:instrText>
            </w:r>
            <w:r>
              <w:rPr>
                <w:noProof/>
                <w:webHidden/>
              </w:rPr>
            </w:r>
            <w:r>
              <w:rPr>
                <w:noProof/>
                <w:webHidden/>
              </w:rPr>
              <w:fldChar w:fldCharType="separate"/>
            </w:r>
            <w:r>
              <w:rPr>
                <w:noProof/>
                <w:webHidden/>
              </w:rPr>
              <w:t>34</w:t>
            </w:r>
            <w:r>
              <w:rPr>
                <w:noProof/>
                <w:webHidden/>
              </w:rPr>
              <w:fldChar w:fldCharType="end"/>
            </w:r>
          </w:hyperlink>
        </w:p>
        <w:p w14:paraId="669F39AA"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62" w:history="1">
            <w:r>
              <w:rPr>
                <w:rStyle w:val="Hipervnculo"/>
                <w:rFonts w:cstheme="minorHAnsi"/>
                <w:b/>
                <w:noProof/>
                <w:lang w:eastAsia="es-EC"/>
              </w:rPr>
              <w:t>4.3</w:t>
            </w:r>
            <w:r>
              <w:rPr>
                <w:rFonts w:eastAsiaTheme="minorEastAsia"/>
                <w:noProof/>
                <w:kern w:val="2"/>
                <w:sz w:val="24"/>
                <w:szCs w:val="24"/>
                <w:lang w:eastAsia="es-EC"/>
                <w14:ligatures w14:val="standardContextual"/>
              </w:rPr>
              <w:tab/>
            </w:r>
            <w:r>
              <w:rPr>
                <w:rStyle w:val="Hipervnculo"/>
                <w:rFonts w:cstheme="minorHAnsi"/>
                <w:b/>
                <w:noProof/>
                <w:lang w:eastAsia="es-EC"/>
              </w:rPr>
              <w:t>Marco Lógico</w:t>
            </w:r>
            <w:r>
              <w:rPr>
                <w:noProof/>
                <w:webHidden/>
              </w:rPr>
              <w:tab/>
            </w:r>
            <w:r>
              <w:rPr>
                <w:noProof/>
                <w:webHidden/>
              </w:rPr>
              <w:fldChar w:fldCharType="begin"/>
            </w:r>
            <w:r>
              <w:rPr>
                <w:noProof/>
                <w:webHidden/>
              </w:rPr>
              <w:instrText xml:space="preserve"> PAGEREF _Toc195010062 \h </w:instrText>
            </w:r>
            <w:r>
              <w:rPr>
                <w:noProof/>
                <w:webHidden/>
              </w:rPr>
            </w:r>
            <w:r>
              <w:rPr>
                <w:noProof/>
                <w:webHidden/>
              </w:rPr>
              <w:fldChar w:fldCharType="separate"/>
            </w:r>
            <w:r>
              <w:rPr>
                <w:noProof/>
                <w:webHidden/>
              </w:rPr>
              <w:t>34</w:t>
            </w:r>
            <w:r>
              <w:rPr>
                <w:noProof/>
                <w:webHidden/>
              </w:rPr>
              <w:fldChar w:fldCharType="end"/>
            </w:r>
          </w:hyperlink>
        </w:p>
        <w:p w14:paraId="05742BF8"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63" w:history="1">
            <w:r>
              <w:rPr>
                <w:rStyle w:val="Hipervnculo"/>
                <w:rFonts w:cstheme="minorHAnsi"/>
                <w:b/>
                <w:noProof/>
                <w:lang w:eastAsia="es-EC"/>
              </w:rPr>
              <w:t>4.3.1</w:t>
            </w:r>
            <w:r>
              <w:rPr>
                <w:rFonts w:eastAsiaTheme="minorEastAsia"/>
                <w:noProof/>
                <w:kern w:val="2"/>
                <w:sz w:val="24"/>
                <w:szCs w:val="24"/>
                <w:lang w:eastAsia="es-EC"/>
                <w14:ligatures w14:val="standardContextual"/>
              </w:rPr>
              <w:tab/>
            </w:r>
            <w:r>
              <w:rPr>
                <w:rStyle w:val="Hipervnculo"/>
                <w:rFonts w:cstheme="minorHAnsi"/>
                <w:b/>
                <w:noProof/>
                <w:lang w:eastAsia="es-EC"/>
              </w:rPr>
              <w:t>Anualización de las metas de los indicadores del propósito</w:t>
            </w:r>
            <w:r>
              <w:rPr>
                <w:noProof/>
                <w:webHidden/>
              </w:rPr>
              <w:tab/>
            </w:r>
            <w:r>
              <w:rPr>
                <w:noProof/>
                <w:webHidden/>
              </w:rPr>
              <w:fldChar w:fldCharType="begin"/>
            </w:r>
            <w:r>
              <w:rPr>
                <w:noProof/>
                <w:webHidden/>
              </w:rPr>
              <w:instrText xml:space="preserve"> PAGEREF _Toc195010063 \h </w:instrText>
            </w:r>
            <w:r>
              <w:rPr>
                <w:noProof/>
                <w:webHidden/>
              </w:rPr>
            </w:r>
            <w:r>
              <w:rPr>
                <w:noProof/>
                <w:webHidden/>
              </w:rPr>
              <w:fldChar w:fldCharType="separate"/>
            </w:r>
            <w:r>
              <w:rPr>
                <w:noProof/>
                <w:webHidden/>
              </w:rPr>
              <w:t>37</w:t>
            </w:r>
            <w:r>
              <w:rPr>
                <w:noProof/>
                <w:webHidden/>
              </w:rPr>
              <w:fldChar w:fldCharType="end"/>
            </w:r>
          </w:hyperlink>
        </w:p>
        <w:p w14:paraId="54C76A36" w14:textId="77777777" w:rsidR="007B3093" w:rsidRDefault="007B3093">
          <w:pPr>
            <w:pStyle w:val="TDC2"/>
            <w:tabs>
              <w:tab w:val="left" w:pos="720"/>
              <w:tab w:val="right" w:leader="dot" w:pos="8494"/>
            </w:tabs>
            <w:rPr>
              <w:rFonts w:eastAsiaTheme="minorEastAsia"/>
              <w:noProof/>
              <w:kern w:val="2"/>
              <w:sz w:val="24"/>
              <w:szCs w:val="24"/>
              <w:lang w:eastAsia="es-EC"/>
              <w14:ligatures w14:val="standardContextual"/>
            </w:rPr>
          </w:pPr>
          <w:hyperlink w:anchor="_Toc195010064" w:history="1">
            <w:r>
              <w:rPr>
                <w:rStyle w:val="Hipervnculo"/>
                <w:rFonts w:cstheme="minorHAnsi"/>
                <w:b/>
                <w:noProof/>
                <w:lang w:eastAsia="es-EC"/>
              </w:rPr>
              <w:t>5</w:t>
            </w:r>
            <w:r>
              <w:rPr>
                <w:rFonts w:eastAsiaTheme="minorEastAsia"/>
                <w:noProof/>
                <w:kern w:val="2"/>
                <w:sz w:val="24"/>
                <w:szCs w:val="24"/>
                <w:lang w:eastAsia="es-EC"/>
                <w14:ligatures w14:val="standardContextual"/>
              </w:rPr>
              <w:tab/>
            </w:r>
            <w:r>
              <w:rPr>
                <w:rStyle w:val="Hipervnculo"/>
                <w:rFonts w:cstheme="minorHAnsi"/>
                <w:b/>
                <w:noProof/>
                <w:lang w:eastAsia="es-EC"/>
              </w:rPr>
              <w:t>ANÁLISIS INTEGRAL</w:t>
            </w:r>
            <w:r>
              <w:rPr>
                <w:noProof/>
                <w:webHidden/>
              </w:rPr>
              <w:tab/>
            </w:r>
            <w:r>
              <w:rPr>
                <w:noProof/>
                <w:webHidden/>
              </w:rPr>
              <w:fldChar w:fldCharType="begin"/>
            </w:r>
            <w:r>
              <w:rPr>
                <w:noProof/>
                <w:webHidden/>
              </w:rPr>
              <w:instrText xml:space="preserve"> PAGEREF _Toc195010064 \h </w:instrText>
            </w:r>
            <w:r>
              <w:rPr>
                <w:noProof/>
                <w:webHidden/>
              </w:rPr>
            </w:r>
            <w:r>
              <w:rPr>
                <w:noProof/>
                <w:webHidden/>
              </w:rPr>
              <w:fldChar w:fldCharType="separate"/>
            </w:r>
            <w:r>
              <w:rPr>
                <w:noProof/>
                <w:webHidden/>
              </w:rPr>
              <w:t>37</w:t>
            </w:r>
            <w:r>
              <w:rPr>
                <w:noProof/>
                <w:webHidden/>
              </w:rPr>
              <w:fldChar w:fldCharType="end"/>
            </w:r>
          </w:hyperlink>
        </w:p>
        <w:p w14:paraId="01427E66"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65" w:history="1">
            <w:r>
              <w:rPr>
                <w:rStyle w:val="Hipervnculo"/>
                <w:rFonts w:cstheme="minorHAnsi"/>
                <w:b/>
                <w:noProof/>
                <w:lang w:eastAsia="es-EC"/>
              </w:rPr>
              <w:t>5.2</w:t>
            </w:r>
            <w:r>
              <w:rPr>
                <w:rFonts w:eastAsiaTheme="minorEastAsia"/>
                <w:noProof/>
                <w:kern w:val="2"/>
                <w:sz w:val="24"/>
                <w:szCs w:val="24"/>
                <w:lang w:eastAsia="es-EC"/>
                <w14:ligatures w14:val="standardContextual"/>
              </w:rPr>
              <w:tab/>
            </w:r>
            <w:r>
              <w:rPr>
                <w:rStyle w:val="Hipervnculo"/>
                <w:rFonts w:cstheme="minorHAnsi"/>
                <w:b/>
                <w:noProof/>
                <w:lang w:eastAsia="es-EC"/>
              </w:rPr>
              <w:t>Vialidad técnica</w:t>
            </w:r>
            <w:r>
              <w:rPr>
                <w:noProof/>
                <w:webHidden/>
              </w:rPr>
              <w:tab/>
            </w:r>
            <w:r>
              <w:rPr>
                <w:noProof/>
                <w:webHidden/>
              </w:rPr>
              <w:fldChar w:fldCharType="begin"/>
            </w:r>
            <w:r>
              <w:rPr>
                <w:noProof/>
                <w:webHidden/>
              </w:rPr>
              <w:instrText xml:space="preserve"> PAGEREF _Toc195010065 \h </w:instrText>
            </w:r>
            <w:r>
              <w:rPr>
                <w:noProof/>
                <w:webHidden/>
              </w:rPr>
            </w:r>
            <w:r>
              <w:rPr>
                <w:noProof/>
                <w:webHidden/>
              </w:rPr>
              <w:fldChar w:fldCharType="separate"/>
            </w:r>
            <w:r>
              <w:rPr>
                <w:noProof/>
                <w:webHidden/>
              </w:rPr>
              <w:t>38</w:t>
            </w:r>
            <w:r>
              <w:rPr>
                <w:noProof/>
                <w:webHidden/>
              </w:rPr>
              <w:fldChar w:fldCharType="end"/>
            </w:r>
          </w:hyperlink>
        </w:p>
        <w:p w14:paraId="6EF7CE4B"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66" w:history="1">
            <w:r>
              <w:rPr>
                <w:rStyle w:val="Hipervnculo"/>
                <w:rFonts w:cstheme="minorHAnsi"/>
                <w:b/>
                <w:noProof/>
                <w:lang w:eastAsia="es-EC"/>
              </w:rPr>
              <w:t>5.2.1</w:t>
            </w:r>
            <w:r>
              <w:rPr>
                <w:rFonts w:eastAsiaTheme="minorEastAsia"/>
                <w:noProof/>
                <w:kern w:val="2"/>
                <w:sz w:val="24"/>
                <w:szCs w:val="24"/>
                <w:lang w:eastAsia="es-EC"/>
                <w14:ligatures w14:val="standardContextual"/>
              </w:rPr>
              <w:tab/>
            </w:r>
            <w:r>
              <w:rPr>
                <w:rStyle w:val="Hipervnculo"/>
                <w:rFonts w:cstheme="minorHAnsi"/>
                <w:b/>
                <w:noProof/>
                <w:lang w:eastAsia="es-EC"/>
              </w:rPr>
              <w:t>Descripción de la ingeniería del Proyecto</w:t>
            </w:r>
            <w:r>
              <w:rPr>
                <w:noProof/>
                <w:webHidden/>
              </w:rPr>
              <w:tab/>
            </w:r>
            <w:r>
              <w:rPr>
                <w:noProof/>
                <w:webHidden/>
              </w:rPr>
              <w:fldChar w:fldCharType="begin"/>
            </w:r>
            <w:r>
              <w:rPr>
                <w:noProof/>
                <w:webHidden/>
              </w:rPr>
              <w:instrText xml:space="preserve"> PAGEREF _Toc195010066 \h </w:instrText>
            </w:r>
            <w:r>
              <w:rPr>
                <w:noProof/>
                <w:webHidden/>
              </w:rPr>
            </w:r>
            <w:r>
              <w:rPr>
                <w:noProof/>
                <w:webHidden/>
              </w:rPr>
              <w:fldChar w:fldCharType="separate"/>
            </w:r>
            <w:r>
              <w:rPr>
                <w:noProof/>
                <w:webHidden/>
              </w:rPr>
              <w:t>39</w:t>
            </w:r>
            <w:r>
              <w:rPr>
                <w:noProof/>
                <w:webHidden/>
              </w:rPr>
              <w:fldChar w:fldCharType="end"/>
            </w:r>
          </w:hyperlink>
        </w:p>
        <w:p w14:paraId="33B1F8C7"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67" w:history="1">
            <w:r>
              <w:rPr>
                <w:rStyle w:val="Hipervnculo"/>
                <w:rFonts w:cstheme="minorHAnsi"/>
                <w:b/>
                <w:noProof/>
              </w:rPr>
              <w:t>5.2.1.1</w:t>
            </w:r>
            <w:r>
              <w:rPr>
                <w:rFonts w:eastAsiaTheme="minorEastAsia"/>
                <w:noProof/>
                <w:kern w:val="2"/>
                <w:sz w:val="24"/>
                <w:szCs w:val="24"/>
                <w:lang w:eastAsia="es-EC"/>
                <w14:ligatures w14:val="standardContextual"/>
              </w:rPr>
              <w:tab/>
            </w:r>
            <w:r>
              <w:rPr>
                <w:rStyle w:val="Hipervnculo"/>
                <w:rFonts w:cstheme="minorHAnsi"/>
                <w:b/>
                <w:noProof/>
              </w:rPr>
              <w:t>Estrategia Institucional</w:t>
            </w:r>
            <w:r>
              <w:rPr>
                <w:noProof/>
                <w:webHidden/>
              </w:rPr>
              <w:tab/>
            </w:r>
            <w:r>
              <w:rPr>
                <w:noProof/>
                <w:webHidden/>
              </w:rPr>
              <w:fldChar w:fldCharType="begin"/>
            </w:r>
            <w:r>
              <w:rPr>
                <w:noProof/>
                <w:webHidden/>
              </w:rPr>
              <w:instrText xml:space="preserve"> PAGEREF _Toc195010067 \h </w:instrText>
            </w:r>
            <w:r>
              <w:rPr>
                <w:noProof/>
                <w:webHidden/>
              </w:rPr>
            </w:r>
            <w:r>
              <w:rPr>
                <w:noProof/>
                <w:webHidden/>
              </w:rPr>
              <w:fldChar w:fldCharType="separate"/>
            </w:r>
            <w:r>
              <w:rPr>
                <w:noProof/>
                <w:webHidden/>
              </w:rPr>
              <w:t>40</w:t>
            </w:r>
            <w:r>
              <w:rPr>
                <w:noProof/>
                <w:webHidden/>
              </w:rPr>
              <w:fldChar w:fldCharType="end"/>
            </w:r>
          </w:hyperlink>
        </w:p>
        <w:p w14:paraId="4DA1AE1A"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68" w:history="1">
            <w:r>
              <w:rPr>
                <w:rStyle w:val="Hipervnculo"/>
                <w:rFonts w:cstheme="minorHAnsi"/>
                <w:b/>
                <w:noProof/>
              </w:rPr>
              <w:t>5.2.1.2</w:t>
            </w:r>
            <w:r>
              <w:rPr>
                <w:rFonts w:eastAsiaTheme="minorEastAsia"/>
                <w:noProof/>
                <w:kern w:val="2"/>
                <w:sz w:val="24"/>
                <w:szCs w:val="24"/>
                <w:lang w:eastAsia="es-EC"/>
                <w14:ligatures w14:val="standardContextual"/>
              </w:rPr>
              <w:tab/>
            </w:r>
            <w:r>
              <w:rPr>
                <w:rStyle w:val="Hipervnculo"/>
                <w:rFonts w:cstheme="minorHAnsi"/>
                <w:b/>
                <w:noProof/>
              </w:rPr>
              <w:t>Estructura Orgánica Funcional</w:t>
            </w:r>
            <w:r>
              <w:rPr>
                <w:noProof/>
                <w:webHidden/>
              </w:rPr>
              <w:tab/>
            </w:r>
            <w:r>
              <w:rPr>
                <w:noProof/>
                <w:webHidden/>
              </w:rPr>
              <w:fldChar w:fldCharType="begin"/>
            </w:r>
            <w:r>
              <w:rPr>
                <w:noProof/>
                <w:webHidden/>
              </w:rPr>
              <w:instrText xml:space="preserve"> PAGEREF _Toc195010068 \h </w:instrText>
            </w:r>
            <w:r>
              <w:rPr>
                <w:noProof/>
                <w:webHidden/>
              </w:rPr>
            </w:r>
            <w:r>
              <w:rPr>
                <w:noProof/>
                <w:webHidden/>
              </w:rPr>
              <w:fldChar w:fldCharType="separate"/>
            </w:r>
            <w:r>
              <w:rPr>
                <w:noProof/>
                <w:webHidden/>
              </w:rPr>
              <w:t>43</w:t>
            </w:r>
            <w:r>
              <w:rPr>
                <w:noProof/>
                <w:webHidden/>
              </w:rPr>
              <w:fldChar w:fldCharType="end"/>
            </w:r>
          </w:hyperlink>
        </w:p>
        <w:p w14:paraId="4EA1040B" w14:textId="77777777" w:rsidR="007B3093" w:rsidRDefault="007B3093">
          <w:pPr>
            <w:pStyle w:val="TDC2"/>
            <w:tabs>
              <w:tab w:val="left" w:pos="1440"/>
              <w:tab w:val="right" w:leader="dot" w:pos="8494"/>
            </w:tabs>
            <w:rPr>
              <w:rFonts w:eastAsiaTheme="minorEastAsia"/>
              <w:noProof/>
              <w:kern w:val="2"/>
              <w:sz w:val="24"/>
              <w:szCs w:val="24"/>
              <w:lang w:eastAsia="es-EC"/>
              <w14:ligatures w14:val="standardContextual"/>
            </w:rPr>
          </w:pPr>
          <w:hyperlink w:anchor="_Toc195010069" w:history="1">
            <w:r>
              <w:rPr>
                <w:rStyle w:val="Hipervnculo"/>
                <w:rFonts w:cstheme="minorHAnsi"/>
                <w:b/>
                <w:noProof/>
              </w:rPr>
              <w:t>5.2.1.2.1</w:t>
            </w:r>
            <w:r>
              <w:rPr>
                <w:rFonts w:eastAsiaTheme="minorEastAsia"/>
                <w:noProof/>
                <w:kern w:val="2"/>
                <w:sz w:val="24"/>
                <w:szCs w:val="24"/>
                <w:lang w:eastAsia="es-EC"/>
                <w14:ligatures w14:val="standardContextual"/>
              </w:rPr>
              <w:tab/>
            </w:r>
            <w:r>
              <w:rPr>
                <w:rStyle w:val="Hipervnculo"/>
                <w:rFonts w:cstheme="minorHAnsi"/>
                <w:b/>
                <w:noProof/>
              </w:rPr>
              <w:t>Modelo de Gestión</w:t>
            </w:r>
            <w:r>
              <w:rPr>
                <w:noProof/>
                <w:webHidden/>
              </w:rPr>
              <w:tab/>
            </w:r>
            <w:r>
              <w:rPr>
                <w:noProof/>
                <w:webHidden/>
              </w:rPr>
              <w:fldChar w:fldCharType="begin"/>
            </w:r>
            <w:r>
              <w:rPr>
                <w:noProof/>
                <w:webHidden/>
              </w:rPr>
              <w:instrText xml:space="preserve"> PAGEREF _Toc195010069 \h </w:instrText>
            </w:r>
            <w:r>
              <w:rPr>
                <w:noProof/>
                <w:webHidden/>
              </w:rPr>
            </w:r>
            <w:r>
              <w:rPr>
                <w:noProof/>
                <w:webHidden/>
              </w:rPr>
              <w:fldChar w:fldCharType="separate"/>
            </w:r>
            <w:r>
              <w:rPr>
                <w:noProof/>
                <w:webHidden/>
              </w:rPr>
              <w:t>43</w:t>
            </w:r>
            <w:r>
              <w:rPr>
                <w:noProof/>
                <w:webHidden/>
              </w:rPr>
              <w:fldChar w:fldCharType="end"/>
            </w:r>
          </w:hyperlink>
        </w:p>
        <w:p w14:paraId="122509B8" w14:textId="77777777" w:rsidR="007B3093" w:rsidRDefault="007B3093">
          <w:pPr>
            <w:pStyle w:val="TDC2"/>
            <w:tabs>
              <w:tab w:val="left" w:pos="1440"/>
              <w:tab w:val="right" w:leader="dot" w:pos="8494"/>
            </w:tabs>
            <w:rPr>
              <w:rFonts w:eastAsiaTheme="minorEastAsia"/>
              <w:noProof/>
              <w:kern w:val="2"/>
              <w:sz w:val="24"/>
              <w:szCs w:val="24"/>
              <w:lang w:eastAsia="es-EC"/>
              <w14:ligatures w14:val="standardContextual"/>
            </w:rPr>
          </w:pPr>
          <w:hyperlink w:anchor="_Toc195010070" w:history="1">
            <w:r>
              <w:rPr>
                <w:rStyle w:val="Hipervnculo"/>
                <w:rFonts w:cstheme="minorHAnsi"/>
                <w:b/>
                <w:noProof/>
              </w:rPr>
              <w:t>5.2.1.2.2</w:t>
            </w:r>
            <w:r>
              <w:rPr>
                <w:rFonts w:eastAsiaTheme="minorEastAsia"/>
                <w:noProof/>
                <w:kern w:val="2"/>
                <w:sz w:val="24"/>
                <w:szCs w:val="24"/>
                <w:lang w:eastAsia="es-EC"/>
                <w14:ligatures w14:val="standardContextual"/>
              </w:rPr>
              <w:tab/>
            </w:r>
            <w:r>
              <w:rPr>
                <w:rStyle w:val="Hipervnculo"/>
                <w:rFonts w:cstheme="minorHAnsi"/>
                <w:b/>
                <w:noProof/>
              </w:rPr>
              <w:t>Estatuto Orgánico Funcional por Procesos</w:t>
            </w:r>
            <w:r>
              <w:rPr>
                <w:noProof/>
                <w:webHidden/>
              </w:rPr>
              <w:tab/>
            </w:r>
            <w:r>
              <w:rPr>
                <w:noProof/>
                <w:webHidden/>
              </w:rPr>
              <w:fldChar w:fldCharType="begin"/>
            </w:r>
            <w:r>
              <w:rPr>
                <w:noProof/>
                <w:webHidden/>
              </w:rPr>
              <w:instrText xml:space="preserve"> PAGEREF _Toc195010070 \h </w:instrText>
            </w:r>
            <w:r>
              <w:rPr>
                <w:noProof/>
                <w:webHidden/>
              </w:rPr>
            </w:r>
            <w:r>
              <w:rPr>
                <w:noProof/>
                <w:webHidden/>
              </w:rPr>
              <w:fldChar w:fldCharType="separate"/>
            </w:r>
            <w:r>
              <w:rPr>
                <w:noProof/>
                <w:webHidden/>
              </w:rPr>
              <w:t>44</w:t>
            </w:r>
            <w:r>
              <w:rPr>
                <w:noProof/>
                <w:webHidden/>
              </w:rPr>
              <w:fldChar w:fldCharType="end"/>
            </w:r>
          </w:hyperlink>
        </w:p>
        <w:p w14:paraId="31F284A7" w14:textId="77777777" w:rsidR="007B3093" w:rsidRDefault="007B3093">
          <w:pPr>
            <w:pStyle w:val="TDC2"/>
            <w:tabs>
              <w:tab w:val="left" w:pos="1440"/>
              <w:tab w:val="right" w:leader="dot" w:pos="8494"/>
            </w:tabs>
            <w:rPr>
              <w:rFonts w:eastAsiaTheme="minorEastAsia"/>
              <w:noProof/>
              <w:kern w:val="2"/>
              <w:sz w:val="24"/>
              <w:szCs w:val="24"/>
              <w:lang w:eastAsia="es-EC"/>
              <w14:ligatures w14:val="standardContextual"/>
            </w:rPr>
          </w:pPr>
          <w:hyperlink w:anchor="_Toc195010071" w:history="1">
            <w:r>
              <w:rPr>
                <w:rStyle w:val="Hipervnculo"/>
                <w:rFonts w:cstheme="minorHAnsi"/>
                <w:b/>
                <w:noProof/>
              </w:rPr>
              <w:t>5.2.1.2.3</w:t>
            </w:r>
            <w:r>
              <w:rPr>
                <w:rFonts w:eastAsiaTheme="minorEastAsia"/>
                <w:noProof/>
                <w:kern w:val="2"/>
                <w:sz w:val="24"/>
                <w:szCs w:val="24"/>
                <w:lang w:eastAsia="es-EC"/>
                <w14:ligatures w14:val="standardContextual"/>
              </w:rPr>
              <w:tab/>
            </w:r>
            <w:r>
              <w:rPr>
                <w:rStyle w:val="Hipervnculo"/>
                <w:rFonts w:cstheme="minorHAnsi"/>
                <w:b/>
                <w:noProof/>
              </w:rPr>
              <w:t>Manual de Clasificación de Puestos y Normativa Técnica.</w:t>
            </w:r>
            <w:r>
              <w:rPr>
                <w:noProof/>
                <w:webHidden/>
              </w:rPr>
              <w:tab/>
            </w:r>
            <w:r>
              <w:rPr>
                <w:noProof/>
                <w:webHidden/>
              </w:rPr>
              <w:fldChar w:fldCharType="begin"/>
            </w:r>
            <w:r>
              <w:rPr>
                <w:noProof/>
                <w:webHidden/>
              </w:rPr>
              <w:instrText xml:space="preserve"> PAGEREF _Toc195010071 \h </w:instrText>
            </w:r>
            <w:r>
              <w:rPr>
                <w:noProof/>
                <w:webHidden/>
              </w:rPr>
            </w:r>
            <w:r>
              <w:rPr>
                <w:noProof/>
                <w:webHidden/>
              </w:rPr>
              <w:fldChar w:fldCharType="separate"/>
            </w:r>
            <w:r>
              <w:rPr>
                <w:noProof/>
                <w:webHidden/>
              </w:rPr>
              <w:t>45</w:t>
            </w:r>
            <w:r>
              <w:rPr>
                <w:noProof/>
                <w:webHidden/>
              </w:rPr>
              <w:fldChar w:fldCharType="end"/>
            </w:r>
          </w:hyperlink>
        </w:p>
        <w:p w14:paraId="3FD7C5F9"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72" w:history="1">
            <w:r>
              <w:rPr>
                <w:rStyle w:val="Hipervnculo"/>
                <w:rFonts w:cstheme="minorHAnsi"/>
                <w:b/>
                <w:noProof/>
              </w:rPr>
              <w:t>5.2.1.3</w:t>
            </w:r>
            <w:r>
              <w:rPr>
                <w:rFonts w:eastAsiaTheme="minorEastAsia"/>
                <w:noProof/>
                <w:kern w:val="2"/>
                <w:sz w:val="24"/>
                <w:szCs w:val="24"/>
                <w:lang w:eastAsia="es-EC"/>
                <w14:ligatures w14:val="standardContextual"/>
              </w:rPr>
              <w:tab/>
            </w:r>
            <w:r>
              <w:rPr>
                <w:rStyle w:val="Hipervnculo"/>
                <w:rFonts w:cstheme="minorHAnsi"/>
                <w:b/>
                <w:noProof/>
              </w:rPr>
              <w:t>Talento Humano</w:t>
            </w:r>
            <w:r>
              <w:rPr>
                <w:noProof/>
                <w:webHidden/>
              </w:rPr>
              <w:tab/>
            </w:r>
            <w:r>
              <w:rPr>
                <w:noProof/>
                <w:webHidden/>
              </w:rPr>
              <w:fldChar w:fldCharType="begin"/>
            </w:r>
            <w:r>
              <w:rPr>
                <w:noProof/>
                <w:webHidden/>
              </w:rPr>
              <w:instrText xml:space="preserve"> PAGEREF _Toc195010072 \h </w:instrText>
            </w:r>
            <w:r>
              <w:rPr>
                <w:noProof/>
                <w:webHidden/>
              </w:rPr>
            </w:r>
            <w:r>
              <w:rPr>
                <w:noProof/>
                <w:webHidden/>
              </w:rPr>
              <w:fldChar w:fldCharType="separate"/>
            </w:r>
            <w:r>
              <w:rPr>
                <w:noProof/>
                <w:webHidden/>
              </w:rPr>
              <w:t>46</w:t>
            </w:r>
            <w:r>
              <w:rPr>
                <w:noProof/>
                <w:webHidden/>
              </w:rPr>
              <w:fldChar w:fldCharType="end"/>
            </w:r>
          </w:hyperlink>
        </w:p>
        <w:p w14:paraId="53D2A9FD" w14:textId="77777777" w:rsidR="007B3093" w:rsidRDefault="007B3093">
          <w:pPr>
            <w:pStyle w:val="TDC2"/>
            <w:tabs>
              <w:tab w:val="left" w:pos="1440"/>
              <w:tab w:val="right" w:leader="dot" w:pos="8494"/>
            </w:tabs>
            <w:rPr>
              <w:rFonts w:eastAsiaTheme="minorEastAsia"/>
              <w:noProof/>
              <w:kern w:val="2"/>
              <w:sz w:val="24"/>
              <w:szCs w:val="24"/>
              <w:lang w:eastAsia="es-EC"/>
              <w14:ligatures w14:val="standardContextual"/>
            </w:rPr>
          </w:pPr>
          <w:hyperlink w:anchor="_Toc195010073" w:history="1">
            <w:r>
              <w:rPr>
                <w:rStyle w:val="Hipervnculo"/>
                <w:rFonts w:cstheme="minorHAnsi"/>
                <w:b/>
                <w:noProof/>
              </w:rPr>
              <w:t>5.2.1.3.1</w:t>
            </w:r>
            <w:r>
              <w:rPr>
                <w:rFonts w:eastAsiaTheme="minorEastAsia"/>
                <w:noProof/>
                <w:kern w:val="2"/>
                <w:sz w:val="24"/>
                <w:szCs w:val="24"/>
                <w:lang w:eastAsia="es-EC"/>
                <w14:ligatures w14:val="standardContextual"/>
              </w:rPr>
              <w:tab/>
            </w:r>
            <w:r>
              <w:rPr>
                <w:rStyle w:val="Hipervnculo"/>
                <w:rFonts w:cstheme="minorHAnsi"/>
                <w:b/>
                <w:noProof/>
              </w:rPr>
              <w:t>Plan de Carrera en función de un Régimen Especial del Servicio Público</w:t>
            </w:r>
            <w:r>
              <w:rPr>
                <w:noProof/>
                <w:webHidden/>
              </w:rPr>
              <w:tab/>
            </w:r>
            <w:r>
              <w:rPr>
                <w:noProof/>
                <w:webHidden/>
              </w:rPr>
              <w:fldChar w:fldCharType="begin"/>
            </w:r>
            <w:r>
              <w:rPr>
                <w:noProof/>
                <w:webHidden/>
              </w:rPr>
              <w:instrText xml:space="preserve"> PAGEREF _Toc195010073 \h </w:instrText>
            </w:r>
            <w:r>
              <w:rPr>
                <w:noProof/>
                <w:webHidden/>
              </w:rPr>
            </w:r>
            <w:r>
              <w:rPr>
                <w:noProof/>
                <w:webHidden/>
              </w:rPr>
              <w:fldChar w:fldCharType="separate"/>
            </w:r>
            <w:r>
              <w:rPr>
                <w:noProof/>
                <w:webHidden/>
              </w:rPr>
              <w:t>46</w:t>
            </w:r>
            <w:r>
              <w:rPr>
                <w:noProof/>
                <w:webHidden/>
              </w:rPr>
              <w:fldChar w:fldCharType="end"/>
            </w:r>
          </w:hyperlink>
        </w:p>
        <w:p w14:paraId="53D02228" w14:textId="77777777" w:rsidR="007B3093" w:rsidRDefault="007B3093">
          <w:pPr>
            <w:pStyle w:val="TDC2"/>
            <w:tabs>
              <w:tab w:val="left" w:pos="1440"/>
              <w:tab w:val="right" w:leader="dot" w:pos="8494"/>
            </w:tabs>
            <w:rPr>
              <w:rFonts w:eastAsiaTheme="minorEastAsia"/>
              <w:noProof/>
              <w:kern w:val="2"/>
              <w:sz w:val="24"/>
              <w:szCs w:val="24"/>
              <w:lang w:eastAsia="es-EC"/>
              <w14:ligatures w14:val="standardContextual"/>
            </w:rPr>
          </w:pPr>
          <w:hyperlink w:anchor="_Toc195010074" w:history="1">
            <w:r>
              <w:rPr>
                <w:rStyle w:val="Hipervnculo"/>
                <w:rFonts w:cstheme="minorHAnsi"/>
                <w:b/>
                <w:noProof/>
              </w:rPr>
              <w:t>5.2.1.3.2</w:t>
            </w:r>
            <w:r>
              <w:rPr>
                <w:rFonts w:eastAsiaTheme="minorEastAsia"/>
                <w:noProof/>
                <w:kern w:val="2"/>
                <w:sz w:val="24"/>
                <w:szCs w:val="24"/>
                <w:lang w:eastAsia="es-EC"/>
                <w14:ligatures w14:val="standardContextual"/>
              </w:rPr>
              <w:tab/>
            </w:r>
            <w:r>
              <w:rPr>
                <w:rStyle w:val="Hipervnculo"/>
                <w:rFonts w:cstheme="minorHAnsi"/>
                <w:b/>
                <w:noProof/>
              </w:rPr>
              <w:t>Escala Salarial</w:t>
            </w:r>
            <w:r>
              <w:rPr>
                <w:noProof/>
                <w:webHidden/>
              </w:rPr>
              <w:tab/>
            </w:r>
            <w:r>
              <w:rPr>
                <w:noProof/>
                <w:webHidden/>
              </w:rPr>
              <w:fldChar w:fldCharType="begin"/>
            </w:r>
            <w:r>
              <w:rPr>
                <w:noProof/>
                <w:webHidden/>
              </w:rPr>
              <w:instrText xml:space="preserve"> PAGEREF _Toc195010074 \h </w:instrText>
            </w:r>
            <w:r>
              <w:rPr>
                <w:noProof/>
                <w:webHidden/>
              </w:rPr>
            </w:r>
            <w:r>
              <w:rPr>
                <w:noProof/>
                <w:webHidden/>
              </w:rPr>
              <w:fldChar w:fldCharType="separate"/>
            </w:r>
            <w:r>
              <w:rPr>
                <w:noProof/>
                <w:webHidden/>
              </w:rPr>
              <w:t>47</w:t>
            </w:r>
            <w:r>
              <w:rPr>
                <w:noProof/>
                <w:webHidden/>
              </w:rPr>
              <w:fldChar w:fldCharType="end"/>
            </w:r>
          </w:hyperlink>
        </w:p>
        <w:p w14:paraId="72BB2ACD" w14:textId="77777777" w:rsidR="007B3093" w:rsidRDefault="007B3093">
          <w:pPr>
            <w:pStyle w:val="TDC2"/>
            <w:tabs>
              <w:tab w:val="left" w:pos="1440"/>
              <w:tab w:val="right" w:leader="dot" w:pos="8494"/>
            </w:tabs>
            <w:rPr>
              <w:rFonts w:eastAsiaTheme="minorEastAsia"/>
              <w:noProof/>
              <w:kern w:val="2"/>
              <w:sz w:val="24"/>
              <w:szCs w:val="24"/>
              <w:lang w:eastAsia="es-EC"/>
              <w14:ligatures w14:val="standardContextual"/>
            </w:rPr>
          </w:pPr>
          <w:hyperlink w:anchor="_Toc195010075" w:history="1">
            <w:r>
              <w:rPr>
                <w:rStyle w:val="Hipervnculo"/>
                <w:rFonts w:cstheme="minorHAnsi"/>
                <w:b/>
                <w:noProof/>
              </w:rPr>
              <w:t>5.2.1.3.3</w:t>
            </w:r>
            <w:r>
              <w:rPr>
                <w:rFonts w:eastAsiaTheme="minorEastAsia"/>
                <w:noProof/>
                <w:kern w:val="2"/>
                <w:sz w:val="24"/>
                <w:szCs w:val="24"/>
                <w:lang w:eastAsia="es-EC"/>
                <w14:ligatures w14:val="standardContextual"/>
              </w:rPr>
              <w:tab/>
            </w:r>
            <w:r>
              <w:rPr>
                <w:rStyle w:val="Hipervnculo"/>
                <w:rFonts w:cstheme="minorHAnsi"/>
                <w:b/>
                <w:noProof/>
              </w:rPr>
              <w:t>Sistema de Capacitación.</w:t>
            </w:r>
            <w:r>
              <w:rPr>
                <w:noProof/>
                <w:webHidden/>
              </w:rPr>
              <w:tab/>
            </w:r>
            <w:r>
              <w:rPr>
                <w:noProof/>
                <w:webHidden/>
              </w:rPr>
              <w:fldChar w:fldCharType="begin"/>
            </w:r>
            <w:r>
              <w:rPr>
                <w:noProof/>
                <w:webHidden/>
              </w:rPr>
              <w:instrText xml:space="preserve"> PAGEREF _Toc195010075 \h </w:instrText>
            </w:r>
            <w:r>
              <w:rPr>
                <w:noProof/>
                <w:webHidden/>
              </w:rPr>
            </w:r>
            <w:r>
              <w:rPr>
                <w:noProof/>
                <w:webHidden/>
              </w:rPr>
              <w:fldChar w:fldCharType="separate"/>
            </w:r>
            <w:r>
              <w:rPr>
                <w:noProof/>
                <w:webHidden/>
              </w:rPr>
              <w:t>47</w:t>
            </w:r>
            <w:r>
              <w:rPr>
                <w:noProof/>
                <w:webHidden/>
              </w:rPr>
              <w:fldChar w:fldCharType="end"/>
            </w:r>
          </w:hyperlink>
        </w:p>
        <w:p w14:paraId="1165E540"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76" w:history="1">
            <w:r>
              <w:rPr>
                <w:rStyle w:val="Hipervnculo"/>
                <w:rFonts w:cstheme="minorHAnsi"/>
                <w:b/>
                <w:noProof/>
              </w:rPr>
              <w:t>5.2.1.4</w:t>
            </w:r>
            <w:r>
              <w:rPr>
                <w:rFonts w:eastAsiaTheme="minorEastAsia"/>
                <w:noProof/>
                <w:kern w:val="2"/>
                <w:sz w:val="24"/>
                <w:szCs w:val="24"/>
                <w:lang w:eastAsia="es-EC"/>
                <w14:ligatures w14:val="standardContextual"/>
              </w:rPr>
              <w:tab/>
            </w:r>
            <w:r>
              <w:rPr>
                <w:rStyle w:val="Hipervnculo"/>
                <w:rFonts w:cstheme="minorHAnsi"/>
                <w:b/>
                <w:noProof/>
              </w:rPr>
              <w:t>Infraestructura Tecnológica y Equipamiento</w:t>
            </w:r>
            <w:r>
              <w:rPr>
                <w:noProof/>
                <w:webHidden/>
              </w:rPr>
              <w:tab/>
            </w:r>
            <w:r>
              <w:rPr>
                <w:noProof/>
                <w:webHidden/>
              </w:rPr>
              <w:fldChar w:fldCharType="begin"/>
            </w:r>
            <w:r>
              <w:rPr>
                <w:noProof/>
                <w:webHidden/>
              </w:rPr>
              <w:instrText xml:space="preserve"> PAGEREF _Toc195010076 \h </w:instrText>
            </w:r>
            <w:r>
              <w:rPr>
                <w:noProof/>
                <w:webHidden/>
              </w:rPr>
            </w:r>
            <w:r>
              <w:rPr>
                <w:noProof/>
                <w:webHidden/>
              </w:rPr>
              <w:fldChar w:fldCharType="separate"/>
            </w:r>
            <w:r>
              <w:rPr>
                <w:noProof/>
                <w:webHidden/>
              </w:rPr>
              <w:t>48</w:t>
            </w:r>
            <w:r>
              <w:rPr>
                <w:noProof/>
                <w:webHidden/>
              </w:rPr>
              <w:fldChar w:fldCharType="end"/>
            </w:r>
          </w:hyperlink>
        </w:p>
        <w:p w14:paraId="0D187596" w14:textId="77777777" w:rsidR="007B3093" w:rsidRDefault="007B3093">
          <w:pPr>
            <w:pStyle w:val="TDC2"/>
            <w:tabs>
              <w:tab w:val="left" w:pos="1440"/>
              <w:tab w:val="right" w:leader="dot" w:pos="8494"/>
            </w:tabs>
            <w:rPr>
              <w:rFonts w:eastAsiaTheme="minorEastAsia"/>
              <w:noProof/>
              <w:kern w:val="2"/>
              <w:sz w:val="24"/>
              <w:szCs w:val="24"/>
              <w:lang w:eastAsia="es-EC"/>
              <w14:ligatures w14:val="standardContextual"/>
            </w:rPr>
          </w:pPr>
          <w:hyperlink w:anchor="_Toc195010077" w:history="1">
            <w:r>
              <w:rPr>
                <w:rStyle w:val="Hipervnculo"/>
                <w:rFonts w:cstheme="minorHAnsi"/>
                <w:b/>
                <w:noProof/>
              </w:rPr>
              <w:t>5.2.1.4.1</w:t>
            </w:r>
            <w:r>
              <w:rPr>
                <w:rFonts w:eastAsiaTheme="minorEastAsia"/>
                <w:noProof/>
                <w:kern w:val="2"/>
                <w:sz w:val="24"/>
                <w:szCs w:val="24"/>
                <w:lang w:eastAsia="es-EC"/>
                <w14:ligatures w14:val="standardContextual"/>
              </w:rPr>
              <w:tab/>
            </w:r>
            <w:r>
              <w:rPr>
                <w:rStyle w:val="Hipervnculo"/>
                <w:rFonts w:cstheme="minorHAnsi"/>
                <w:b/>
                <w:noProof/>
              </w:rPr>
              <w:t>Plan de Modernización del Sistema Tecnológico y Comunicaciones</w:t>
            </w:r>
            <w:r>
              <w:rPr>
                <w:noProof/>
                <w:webHidden/>
              </w:rPr>
              <w:tab/>
            </w:r>
            <w:r>
              <w:rPr>
                <w:noProof/>
                <w:webHidden/>
              </w:rPr>
              <w:fldChar w:fldCharType="begin"/>
            </w:r>
            <w:r>
              <w:rPr>
                <w:noProof/>
                <w:webHidden/>
              </w:rPr>
              <w:instrText xml:space="preserve"> PAGEREF _Toc195010077 \h </w:instrText>
            </w:r>
            <w:r>
              <w:rPr>
                <w:noProof/>
                <w:webHidden/>
              </w:rPr>
            </w:r>
            <w:r>
              <w:rPr>
                <w:noProof/>
                <w:webHidden/>
              </w:rPr>
              <w:fldChar w:fldCharType="separate"/>
            </w:r>
            <w:r>
              <w:rPr>
                <w:noProof/>
                <w:webHidden/>
              </w:rPr>
              <w:t>48</w:t>
            </w:r>
            <w:r>
              <w:rPr>
                <w:noProof/>
                <w:webHidden/>
              </w:rPr>
              <w:fldChar w:fldCharType="end"/>
            </w:r>
          </w:hyperlink>
        </w:p>
        <w:p w14:paraId="7E63AAD8" w14:textId="77777777" w:rsidR="007B3093" w:rsidRDefault="007B3093">
          <w:pPr>
            <w:pStyle w:val="TDC2"/>
            <w:tabs>
              <w:tab w:val="left" w:pos="1440"/>
              <w:tab w:val="right" w:leader="dot" w:pos="8494"/>
            </w:tabs>
            <w:rPr>
              <w:rFonts w:eastAsiaTheme="minorEastAsia"/>
              <w:noProof/>
              <w:kern w:val="2"/>
              <w:sz w:val="24"/>
              <w:szCs w:val="24"/>
              <w:lang w:eastAsia="es-EC"/>
              <w14:ligatures w14:val="standardContextual"/>
            </w:rPr>
          </w:pPr>
          <w:hyperlink w:anchor="_Toc195010078" w:history="1">
            <w:r>
              <w:rPr>
                <w:rStyle w:val="Hipervnculo"/>
                <w:rFonts w:cstheme="minorHAnsi"/>
                <w:b/>
                <w:noProof/>
              </w:rPr>
              <w:t>5.2.1.4.2</w:t>
            </w:r>
            <w:r>
              <w:rPr>
                <w:rFonts w:eastAsiaTheme="minorEastAsia"/>
                <w:noProof/>
                <w:kern w:val="2"/>
                <w:sz w:val="24"/>
                <w:szCs w:val="24"/>
                <w:lang w:eastAsia="es-EC"/>
                <w14:ligatures w14:val="standardContextual"/>
              </w:rPr>
              <w:tab/>
            </w:r>
            <w:r>
              <w:rPr>
                <w:rStyle w:val="Hipervnculo"/>
                <w:rFonts w:cstheme="minorHAnsi"/>
                <w:b/>
                <w:noProof/>
              </w:rPr>
              <w:t>Plan de Equipamiento e Infraestructuras Tecnológicas.</w:t>
            </w:r>
            <w:r>
              <w:rPr>
                <w:noProof/>
                <w:webHidden/>
              </w:rPr>
              <w:tab/>
            </w:r>
            <w:r>
              <w:rPr>
                <w:noProof/>
                <w:webHidden/>
              </w:rPr>
              <w:fldChar w:fldCharType="begin"/>
            </w:r>
            <w:r>
              <w:rPr>
                <w:noProof/>
                <w:webHidden/>
              </w:rPr>
              <w:instrText xml:space="preserve"> PAGEREF _Toc195010078 \h </w:instrText>
            </w:r>
            <w:r>
              <w:rPr>
                <w:noProof/>
                <w:webHidden/>
              </w:rPr>
            </w:r>
            <w:r>
              <w:rPr>
                <w:noProof/>
                <w:webHidden/>
              </w:rPr>
              <w:fldChar w:fldCharType="separate"/>
            </w:r>
            <w:r>
              <w:rPr>
                <w:noProof/>
                <w:webHidden/>
              </w:rPr>
              <w:t>48</w:t>
            </w:r>
            <w:r>
              <w:rPr>
                <w:noProof/>
                <w:webHidden/>
              </w:rPr>
              <w:fldChar w:fldCharType="end"/>
            </w:r>
          </w:hyperlink>
        </w:p>
        <w:p w14:paraId="509E18E1"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79" w:history="1">
            <w:r>
              <w:rPr>
                <w:rStyle w:val="Hipervnculo"/>
                <w:rFonts w:cstheme="minorHAnsi"/>
                <w:b/>
                <w:noProof/>
              </w:rPr>
              <w:t>5.2.1.5</w:t>
            </w:r>
            <w:r>
              <w:rPr>
                <w:rFonts w:eastAsiaTheme="minorEastAsia"/>
                <w:noProof/>
                <w:kern w:val="2"/>
                <w:sz w:val="24"/>
                <w:szCs w:val="24"/>
                <w:lang w:eastAsia="es-EC"/>
                <w14:ligatures w14:val="standardContextual"/>
              </w:rPr>
              <w:tab/>
            </w:r>
            <w:r>
              <w:rPr>
                <w:rStyle w:val="Hipervnculo"/>
                <w:rFonts w:cstheme="minorHAnsi"/>
                <w:b/>
                <w:noProof/>
              </w:rPr>
              <w:t>Estrategia Financiera para la Procuraduría General del Estado</w:t>
            </w:r>
            <w:r>
              <w:rPr>
                <w:noProof/>
                <w:webHidden/>
              </w:rPr>
              <w:tab/>
            </w:r>
            <w:r>
              <w:rPr>
                <w:noProof/>
                <w:webHidden/>
              </w:rPr>
              <w:fldChar w:fldCharType="begin"/>
            </w:r>
            <w:r>
              <w:rPr>
                <w:noProof/>
                <w:webHidden/>
              </w:rPr>
              <w:instrText xml:space="preserve"> PAGEREF _Toc195010079 \h </w:instrText>
            </w:r>
            <w:r>
              <w:rPr>
                <w:noProof/>
                <w:webHidden/>
              </w:rPr>
            </w:r>
            <w:r>
              <w:rPr>
                <w:noProof/>
                <w:webHidden/>
              </w:rPr>
              <w:fldChar w:fldCharType="separate"/>
            </w:r>
            <w:r>
              <w:rPr>
                <w:noProof/>
                <w:webHidden/>
              </w:rPr>
              <w:t>50</w:t>
            </w:r>
            <w:r>
              <w:rPr>
                <w:noProof/>
                <w:webHidden/>
              </w:rPr>
              <w:fldChar w:fldCharType="end"/>
            </w:r>
          </w:hyperlink>
        </w:p>
        <w:p w14:paraId="5C2D45AE" w14:textId="77777777" w:rsidR="007B3093" w:rsidRDefault="007B3093">
          <w:pPr>
            <w:pStyle w:val="TDC2"/>
            <w:tabs>
              <w:tab w:val="left" w:pos="1440"/>
              <w:tab w:val="right" w:leader="dot" w:pos="8494"/>
            </w:tabs>
            <w:rPr>
              <w:rFonts w:eastAsiaTheme="minorEastAsia"/>
              <w:noProof/>
              <w:kern w:val="2"/>
              <w:sz w:val="24"/>
              <w:szCs w:val="24"/>
              <w:lang w:eastAsia="es-EC"/>
              <w14:ligatures w14:val="standardContextual"/>
            </w:rPr>
          </w:pPr>
          <w:hyperlink w:anchor="_Toc195010080" w:history="1">
            <w:r>
              <w:rPr>
                <w:rStyle w:val="Hipervnculo"/>
                <w:rFonts w:cstheme="minorHAnsi"/>
                <w:b/>
                <w:noProof/>
              </w:rPr>
              <w:t>5.2.1.5.1</w:t>
            </w:r>
            <w:r>
              <w:rPr>
                <w:rFonts w:eastAsiaTheme="minorEastAsia"/>
                <w:noProof/>
                <w:kern w:val="2"/>
                <w:sz w:val="24"/>
                <w:szCs w:val="24"/>
                <w:lang w:eastAsia="es-EC"/>
                <w14:ligatures w14:val="standardContextual"/>
              </w:rPr>
              <w:tab/>
            </w:r>
            <w:r>
              <w:rPr>
                <w:rStyle w:val="Hipervnculo"/>
                <w:rFonts w:cstheme="minorHAnsi"/>
                <w:b/>
                <w:noProof/>
              </w:rPr>
              <w:t>Determinación de costos por productos y servicios.</w:t>
            </w:r>
            <w:r>
              <w:rPr>
                <w:noProof/>
                <w:webHidden/>
              </w:rPr>
              <w:tab/>
            </w:r>
            <w:r>
              <w:rPr>
                <w:noProof/>
                <w:webHidden/>
              </w:rPr>
              <w:fldChar w:fldCharType="begin"/>
            </w:r>
            <w:r>
              <w:rPr>
                <w:noProof/>
                <w:webHidden/>
              </w:rPr>
              <w:instrText xml:space="preserve"> PAGEREF _Toc195010080 \h </w:instrText>
            </w:r>
            <w:r>
              <w:rPr>
                <w:noProof/>
                <w:webHidden/>
              </w:rPr>
            </w:r>
            <w:r>
              <w:rPr>
                <w:noProof/>
                <w:webHidden/>
              </w:rPr>
              <w:fldChar w:fldCharType="separate"/>
            </w:r>
            <w:r>
              <w:rPr>
                <w:noProof/>
                <w:webHidden/>
              </w:rPr>
              <w:t>50</w:t>
            </w:r>
            <w:r>
              <w:rPr>
                <w:noProof/>
                <w:webHidden/>
              </w:rPr>
              <w:fldChar w:fldCharType="end"/>
            </w:r>
          </w:hyperlink>
        </w:p>
        <w:p w14:paraId="4FD70B29" w14:textId="77777777" w:rsidR="007B3093" w:rsidRDefault="007B3093">
          <w:pPr>
            <w:pStyle w:val="TDC2"/>
            <w:tabs>
              <w:tab w:val="left" w:pos="1440"/>
              <w:tab w:val="right" w:leader="dot" w:pos="8494"/>
            </w:tabs>
            <w:rPr>
              <w:rFonts w:eastAsiaTheme="minorEastAsia"/>
              <w:noProof/>
              <w:kern w:val="2"/>
              <w:sz w:val="24"/>
              <w:szCs w:val="24"/>
              <w:lang w:eastAsia="es-EC"/>
              <w14:ligatures w14:val="standardContextual"/>
            </w:rPr>
          </w:pPr>
          <w:hyperlink w:anchor="_Toc195010081" w:history="1">
            <w:r>
              <w:rPr>
                <w:rStyle w:val="Hipervnculo"/>
                <w:rFonts w:cstheme="minorHAnsi"/>
                <w:b/>
                <w:noProof/>
              </w:rPr>
              <w:t>5.2.1.5.2</w:t>
            </w:r>
            <w:r>
              <w:rPr>
                <w:rFonts w:eastAsiaTheme="minorEastAsia"/>
                <w:noProof/>
                <w:kern w:val="2"/>
                <w:sz w:val="24"/>
                <w:szCs w:val="24"/>
                <w:lang w:eastAsia="es-EC"/>
                <w14:ligatures w14:val="standardContextual"/>
              </w:rPr>
              <w:tab/>
            </w:r>
            <w:r>
              <w:rPr>
                <w:rStyle w:val="Hipervnculo"/>
                <w:rFonts w:cstheme="minorHAnsi"/>
                <w:b/>
                <w:noProof/>
              </w:rPr>
              <w:t>Fuentes de Financiamiento</w:t>
            </w:r>
            <w:r>
              <w:rPr>
                <w:noProof/>
                <w:webHidden/>
              </w:rPr>
              <w:tab/>
            </w:r>
            <w:r>
              <w:rPr>
                <w:noProof/>
                <w:webHidden/>
              </w:rPr>
              <w:fldChar w:fldCharType="begin"/>
            </w:r>
            <w:r>
              <w:rPr>
                <w:noProof/>
                <w:webHidden/>
              </w:rPr>
              <w:instrText xml:space="preserve"> PAGEREF _Toc195010081 \h </w:instrText>
            </w:r>
            <w:r>
              <w:rPr>
                <w:noProof/>
                <w:webHidden/>
              </w:rPr>
            </w:r>
            <w:r>
              <w:rPr>
                <w:noProof/>
                <w:webHidden/>
              </w:rPr>
              <w:fldChar w:fldCharType="separate"/>
            </w:r>
            <w:r>
              <w:rPr>
                <w:noProof/>
                <w:webHidden/>
              </w:rPr>
              <w:t>50</w:t>
            </w:r>
            <w:r>
              <w:rPr>
                <w:noProof/>
                <w:webHidden/>
              </w:rPr>
              <w:fldChar w:fldCharType="end"/>
            </w:r>
          </w:hyperlink>
        </w:p>
        <w:p w14:paraId="07D413C4" w14:textId="77777777" w:rsidR="007B3093" w:rsidRDefault="007B3093">
          <w:pPr>
            <w:pStyle w:val="TDC2"/>
            <w:tabs>
              <w:tab w:val="left" w:pos="1440"/>
              <w:tab w:val="right" w:leader="dot" w:pos="8494"/>
            </w:tabs>
            <w:rPr>
              <w:rFonts w:eastAsiaTheme="minorEastAsia"/>
              <w:noProof/>
              <w:kern w:val="2"/>
              <w:sz w:val="24"/>
              <w:szCs w:val="24"/>
              <w:lang w:eastAsia="es-EC"/>
              <w14:ligatures w14:val="standardContextual"/>
            </w:rPr>
          </w:pPr>
          <w:hyperlink w:anchor="_Toc195010082" w:history="1">
            <w:r>
              <w:rPr>
                <w:rStyle w:val="Hipervnculo"/>
                <w:rFonts w:cstheme="minorHAnsi"/>
                <w:b/>
                <w:noProof/>
              </w:rPr>
              <w:t>5.2.1.5.3</w:t>
            </w:r>
            <w:r>
              <w:rPr>
                <w:rFonts w:eastAsiaTheme="minorEastAsia"/>
                <w:noProof/>
                <w:kern w:val="2"/>
                <w:sz w:val="24"/>
                <w:szCs w:val="24"/>
                <w:lang w:eastAsia="es-EC"/>
                <w14:ligatures w14:val="standardContextual"/>
              </w:rPr>
              <w:tab/>
            </w:r>
            <w:r>
              <w:rPr>
                <w:rStyle w:val="Hipervnculo"/>
                <w:rFonts w:cstheme="minorHAnsi"/>
                <w:b/>
                <w:noProof/>
              </w:rPr>
              <w:t>Manejo de recursos, sostenibilidad y contingentes en el caso de pasivos legales.</w:t>
            </w:r>
            <w:r>
              <w:rPr>
                <w:noProof/>
                <w:webHidden/>
              </w:rPr>
              <w:tab/>
            </w:r>
            <w:r>
              <w:rPr>
                <w:noProof/>
                <w:webHidden/>
              </w:rPr>
              <w:fldChar w:fldCharType="begin"/>
            </w:r>
            <w:r>
              <w:rPr>
                <w:noProof/>
                <w:webHidden/>
              </w:rPr>
              <w:instrText xml:space="preserve"> PAGEREF _Toc195010082 \h </w:instrText>
            </w:r>
            <w:r>
              <w:rPr>
                <w:noProof/>
                <w:webHidden/>
              </w:rPr>
            </w:r>
            <w:r>
              <w:rPr>
                <w:noProof/>
                <w:webHidden/>
              </w:rPr>
              <w:fldChar w:fldCharType="separate"/>
            </w:r>
            <w:r>
              <w:rPr>
                <w:noProof/>
                <w:webHidden/>
              </w:rPr>
              <w:t>51</w:t>
            </w:r>
            <w:r>
              <w:rPr>
                <w:noProof/>
                <w:webHidden/>
              </w:rPr>
              <w:fldChar w:fldCharType="end"/>
            </w:r>
          </w:hyperlink>
        </w:p>
        <w:p w14:paraId="6E0700F2"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83" w:history="1">
            <w:r>
              <w:rPr>
                <w:rStyle w:val="Hipervnculo"/>
                <w:rFonts w:cstheme="minorHAnsi"/>
                <w:b/>
                <w:noProof/>
              </w:rPr>
              <w:t>5.2.1.6</w:t>
            </w:r>
            <w:r>
              <w:rPr>
                <w:rFonts w:eastAsiaTheme="minorEastAsia"/>
                <w:noProof/>
                <w:kern w:val="2"/>
                <w:sz w:val="24"/>
                <w:szCs w:val="24"/>
                <w:lang w:eastAsia="es-EC"/>
                <w14:ligatures w14:val="standardContextual"/>
              </w:rPr>
              <w:tab/>
            </w:r>
            <w:r>
              <w:rPr>
                <w:rStyle w:val="Hipervnculo"/>
                <w:rFonts w:cstheme="minorHAnsi"/>
                <w:b/>
                <w:noProof/>
              </w:rPr>
              <w:t>Estrategia de Comunicación</w:t>
            </w:r>
            <w:r>
              <w:rPr>
                <w:noProof/>
                <w:webHidden/>
              </w:rPr>
              <w:tab/>
            </w:r>
            <w:r>
              <w:rPr>
                <w:noProof/>
                <w:webHidden/>
              </w:rPr>
              <w:fldChar w:fldCharType="begin"/>
            </w:r>
            <w:r>
              <w:rPr>
                <w:noProof/>
                <w:webHidden/>
              </w:rPr>
              <w:instrText xml:space="preserve"> PAGEREF _Toc195010083 \h </w:instrText>
            </w:r>
            <w:r>
              <w:rPr>
                <w:noProof/>
                <w:webHidden/>
              </w:rPr>
            </w:r>
            <w:r>
              <w:rPr>
                <w:noProof/>
                <w:webHidden/>
              </w:rPr>
              <w:fldChar w:fldCharType="separate"/>
            </w:r>
            <w:r>
              <w:rPr>
                <w:noProof/>
                <w:webHidden/>
              </w:rPr>
              <w:t>53</w:t>
            </w:r>
            <w:r>
              <w:rPr>
                <w:noProof/>
                <w:webHidden/>
              </w:rPr>
              <w:fldChar w:fldCharType="end"/>
            </w:r>
          </w:hyperlink>
        </w:p>
        <w:p w14:paraId="1DBC2D57"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84" w:history="1">
            <w:r>
              <w:rPr>
                <w:rStyle w:val="Hipervnculo"/>
                <w:rFonts w:cstheme="minorHAnsi"/>
                <w:b/>
                <w:noProof/>
              </w:rPr>
              <w:t>5.2.2</w:t>
            </w:r>
            <w:r>
              <w:rPr>
                <w:rFonts w:eastAsiaTheme="minorEastAsia"/>
                <w:noProof/>
                <w:kern w:val="2"/>
                <w:sz w:val="24"/>
                <w:szCs w:val="24"/>
                <w:lang w:eastAsia="es-EC"/>
                <w14:ligatures w14:val="standardContextual"/>
              </w:rPr>
              <w:tab/>
            </w:r>
            <w:r>
              <w:rPr>
                <w:rStyle w:val="Hipervnculo"/>
                <w:rFonts w:cstheme="minorHAnsi"/>
                <w:b/>
                <w:noProof/>
              </w:rPr>
              <w:t>Especificaciones técnicas</w:t>
            </w:r>
            <w:r>
              <w:rPr>
                <w:noProof/>
                <w:webHidden/>
              </w:rPr>
              <w:tab/>
            </w:r>
            <w:r>
              <w:rPr>
                <w:noProof/>
                <w:webHidden/>
              </w:rPr>
              <w:fldChar w:fldCharType="begin"/>
            </w:r>
            <w:r>
              <w:rPr>
                <w:noProof/>
                <w:webHidden/>
              </w:rPr>
              <w:instrText xml:space="preserve"> PAGEREF _Toc195010084 \h </w:instrText>
            </w:r>
            <w:r>
              <w:rPr>
                <w:noProof/>
                <w:webHidden/>
              </w:rPr>
            </w:r>
            <w:r>
              <w:rPr>
                <w:noProof/>
                <w:webHidden/>
              </w:rPr>
              <w:fldChar w:fldCharType="separate"/>
            </w:r>
            <w:r>
              <w:rPr>
                <w:noProof/>
                <w:webHidden/>
              </w:rPr>
              <w:t>54</w:t>
            </w:r>
            <w:r>
              <w:rPr>
                <w:noProof/>
                <w:webHidden/>
              </w:rPr>
              <w:fldChar w:fldCharType="end"/>
            </w:r>
          </w:hyperlink>
        </w:p>
        <w:p w14:paraId="57242BF6"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85" w:history="1">
            <w:r>
              <w:rPr>
                <w:rStyle w:val="Hipervnculo"/>
                <w:rFonts w:cstheme="minorHAnsi"/>
                <w:b/>
                <w:noProof/>
              </w:rPr>
              <w:t>5.2.</w:t>
            </w:r>
            <w:r>
              <w:rPr>
                <w:rFonts w:eastAsiaTheme="minorEastAsia"/>
                <w:noProof/>
                <w:kern w:val="2"/>
                <w:sz w:val="24"/>
                <w:szCs w:val="24"/>
                <w:lang w:eastAsia="es-EC"/>
                <w14:ligatures w14:val="standardContextual"/>
              </w:rPr>
              <w:tab/>
            </w:r>
            <w:r>
              <w:rPr>
                <w:rStyle w:val="Hipervnculo"/>
                <w:rFonts w:cstheme="minorHAnsi"/>
                <w:b/>
                <w:noProof/>
              </w:rPr>
              <w:t>Viabilidad financiera fiscal</w:t>
            </w:r>
            <w:r>
              <w:rPr>
                <w:noProof/>
                <w:webHidden/>
              </w:rPr>
              <w:tab/>
            </w:r>
            <w:r>
              <w:rPr>
                <w:noProof/>
                <w:webHidden/>
              </w:rPr>
              <w:fldChar w:fldCharType="begin"/>
            </w:r>
            <w:r>
              <w:rPr>
                <w:noProof/>
                <w:webHidden/>
              </w:rPr>
              <w:instrText xml:space="preserve"> PAGEREF _Toc195010085 \h </w:instrText>
            </w:r>
            <w:r>
              <w:rPr>
                <w:noProof/>
                <w:webHidden/>
              </w:rPr>
            </w:r>
            <w:r>
              <w:rPr>
                <w:noProof/>
                <w:webHidden/>
              </w:rPr>
              <w:fldChar w:fldCharType="separate"/>
            </w:r>
            <w:r>
              <w:rPr>
                <w:noProof/>
                <w:webHidden/>
              </w:rPr>
              <w:t>71</w:t>
            </w:r>
            <w:r>
              <w:rPr>
                <w:noProof/>
                <w:webHidden/>
              </w:rPr>
              <w:fldChar w:fldCharType="end"/>
            </w:r>
          </w:hyperlink>
        </w:p>
        <w:p w14:paraId="21B74F8A"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86" w:history="1">
            <w:r>
              <w:rPr>
                <w:rStyle w:val="Hipervnculo"/>
                <w:rFonts w:cstheme="minorHAnsi"/>
                <w:b/>
                <w:noProof/>
              </w:rPr>
              <w:t>5.2.1.</w:t>
            </w:r>
            <w:r>
              <w:rPr>
                <w:rFonts w:eastAsiaTheme="minorEastAsia"/>
                <w:noProof/>
                <w:kern w:val="2"/>
                <w:sz w:val="24"/>
                <w:szCs w:val="24"/>
                <w:lang w:eastAsia="es-EC"/>
                <w14:ligatures w14:val="standardContextual"/>
              </w:rPr>
              <w:tab/>
            </w:r>
            <w:r>
              <w:rPr>
                <w:rStyle w:val="Hipervnculo"/>
                <w:rFonts w:cstheme="minorHAnsi"/>
                <w:b/>
                <w:noProof/>
              </w:rPr>
              <w:t>Flujo financiero fiscal</w:t>
            </w:r>
            <w:r>
              <w:rPr>
                <w:noProof/>
                <w:webHidden/>
              </w:rPr>
              <w:tab/>
            </w:r>
            <w:r>
              <w:rPr>
                <w:noProof/>
                <w:webHidden/>
              </w:rPr>
              <w:fldChar w:fldCharType="begin"/>
            </w:r>
            <w:r>
              <w:rPr>
                <w:noProof/>
                <w:webHidden/>
              </w:rPr>
              <w:instrText xml:space="preserve"> PAGEREF _Toc195010086 \h </w:instrText>
            </w:r>
            <w:r>
              <w:rPr>
                <w:noProof/>
                <w:webHidden/>
              </w:rPr>
            </w:r>
            <w:r>
              <w:rPr>
                <w:noProof/>
                <w:webHidden/>
              </w:rPr>
              <w:fldChar w:fldCharType="separate"/>
            </w:r>
            <w:r>
              <w:rPr>
                <w:noProof/>
                <w:webHidden/>
              </w:rPr>
              <w:t>73</w:t>
            </w:r>
            <w:r>
              <w:rPr>
                <w:noProof/>
                <w:webHidden/>
              </w:rPr>
              <w:fldChar w:fldCharType="end"/>
            </w:r>
          </w:hyperlink>
        </w:p>
        <w:p w14:paraId="10732C70"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87" w:history="1">
            <w:r>
              <w:rPr>
                <w:rStyle w:val="Hipervnculo"/>
                <w:rFonts w:cstheme="minorHAnsi"/>
                <w:b/>
                <w:noProof/>
              </w:rPr>
              <w:t>5.2.2.</w:t>
            </w:r>
            <w:r>
              <w:rPr>
                <w:rFonts w:eastAsiaTheme="minorEastAsia"/>
                <w:noProof/>
                <w:kern w:val="2"/>
                <w:sz w:val="24"/>
                <w:szCs w:val="24"/>
                <w:lang w:eastAsia="es-EC"/>
                <w14:ligatures w14:val="standardContextual"/>
              </w:rPr>
              <w:tab/>
            </w:r>
            <w:r>
              <w:rPr>
                <w:rStyle w:val="Hipervnculo"/>
                <w:rFonts w:cstheme="minorHAnsi"/>
                <w:b/>
                <w:noProof/>
              </w:rPr>
              <w:t>Indicadores financieros fiscales</w:t>
            </w:r>
            <w:r>
              <w:rPr>
                <w:noProof/>
                <w:webHidden/>
              </w:rPr>
              <w:tab/>
            </w:r>
            <w:r>
              <w:rPr>
                <w:noProof/>
                <w:webHidden/>
              </w:rPr>
              <w:fldChar w:fldCharType="begin"/>
            </w:r>
            <w:r>
              <w:rPr>
                <w:noProof/>
                <w:webHidden/>
              </w:rPr>
              <w:instrText xml:space="preserve"> PAGEREF _Toc195010087 \h </w:instrText>
            </w:r>
            <w:r>
              <w:rPr>
                <w:noProof/>
                <w:webHidden/>
              </w:rPr>
            </w:r>
            <w:r>
              <w:rPr>
                <w:noProof/>
                <w:webHidden/>
              </w:rPr>
              <w:fldChar w:fldCharType="separate"/>
            </w:r>
            <w:r>
              <w:rPr>
                <w:noProof/>
                <w:webHidden/>
              </w:rPr>
              <w:t>75</w:t>
            </w:r>
            <w:r>
              <w:rPr>
                <w:noProof/>
                <w:webHidden/>
              </w:rPr>
              <w:fldChar w:fldCharType="end"/>
            </w:r>
          </w:hyperlink>
        </w:p>
        <w:p w14:paraId="2D7C8D38"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88" w:history="1">
            <w:r>
              <w:rPr>
                <w:rStyle w:val="Hipervnculo"/>
                <w:rFonts w:cstheme="minorHAnsi"/>
                <w:b/>
                <w:noProof/>
              </w:rPr>
              <w:t>5.3.</w:t>
            </w:r>
            <w:r>
              <w:rPr>
                <w:rFonts w:eastAsiaTheme="minorEastAsia"/>
                <w:noProof/>
                <w:kern w:val="2"/>
                <w:sz w:val="24"/>
                <w:szCs w:val="24"/>
                <w:lang w:eastAsia="es-EC"/>
                <w14:ligatures w14:val="standardContextual"/>
              </w:rPr>
              <w:tab/>
            </w:r>
            <w:r>
              <w:rPr>
                <w:rStyle w:val="Hipervnculo"/>
                <w:rFonts w:cstheme="minorHAnsi"/>
                <w:b/>
                <w:noProof/>
              </w:rPr>
              <w:t>Viabilidad económica</w:t>
            </w:r>
            <w:r>
              <w:rPr>
                <w:noProof/>
                <w:webHidden/>
              </w:rPr>
              <w:tab/>
            </w:r>
            <w:r>
              <w:rPr>
                <w:noProof/>
                <w:webHidden/>
              </w:rPr>
              <w:fldChar w:fldCharType="begin"/>
            </w:r>
            <w:r>
              <w:rPr>
                <w:noProof/>
                <w:webHidden/>
              </w:rPr>
              <w:instrText xml:space="preserve"> PAGEREF _Toc195010088 \h </w:instrText>
            </w:r>
            <w:r>
              <w:rPr>
                <w:noProof/>
                <w:webHidden/>
              </w:rPr>
            </w:r>
            <w:r>
              <w:rPr>
                <w:noProof/>
                <w:webHidden/>
              </w:rPr>
              <w:fldChar w:fldCharType="separate"/>
            </w:r>
            <w:r>
              <w:rPr>
                <w:noProof/>
                <w:webHidden/>
              </w:rPr>
              <w:t>75</w:t>
            </w:r>
            <w:r>
              <w:rPr>
                <w:noProof/>
                <w:webHidden/>
              </w:rPr>
              <w:fldChar w:fldCharType="end"/>
            </w:r>
          </w:hyperlink>
        </w:p>
        <w:p w14:paraId="1E427097"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89" w:history="1">
            <w:r>
              <w:rPr>
                <w:rStyle w:val="Hipervnculo"/>
                <w:rFonts w:cstheme="minorHAnsi"/>
                <w:b/>
                <w:noProof/>
              </w:rPr>
              <w:t>5.3.1.</w:t>
            </w:r>
            <w:r>
              <w:rPr>
                <w:rFonts w:eastAsiaTheme="minorEastAsia"/>
                <w:noProof/>
                <w:kern w:val="2"/>
                <w:sz w:val="24"/>
                <w:szCs w:val="24"/>
                <w:lang w:eastAsia="es-EC"/>
                <w14:ligatures w14:val="standardContextual"/>
              </w:rPr>
              <w:tab/>
            </w:r>
            <w:r>
              <w:rPr>
                <w:rStyle w:val="Hipervnculo"/>
                <w:rFonts w:cstheme="minorHAnsi"/>
                <w:b/>
                <w:noProof/>
              </w:rPr>
              <w:t>Indicadores económicos</w:t>
            </w:r>
            <w:r>
              <w:rPr>
                <w:noProof/>
                <w:webHidden/>
              </w:rPr>
              <w:tab/>
            </w:r>
            <w:r>
              <w:rPr>
                <w:noProof/>
                <w:webHidden/>
              </w:rPr>
              <w:fldChar w:fldCharType="begin"/>
            </w:r>
            <w:r>
              <w:rPr>
                <w:noProof/>
                <w:webHidden/>
              </w:rPr>
              <w:instrText xml:space="preserve"> PAGEREF _Toc195010089 \h </w:instrText>
            </w:r>
            <w:r>
              <w:rPr>
                <w:noProof/>
                <w:webHidden/>
              </w:rPr>
            </w:r>
            <w:r>
              <w:rPr>
                <w:noProof/>
                <w:webHidden/>
              </w:rPr>
              <w:fldChar w:fldCharType="separate"/>
            </w:r>
            <w:r>
              <w:rPr>
                <w:noProof/>
                <w:webHidden/>
              </w:rPr>
              <w:t>75</w:t>
            </w:r>
            <w:r>
              <w:rPr>
                <w:noProof/>
                <w:webHidden/>
              </w:rPr>
              <w:fldChar w:fldCharType="end"/>
            </w:r>
          </w:hyperlink>
        </w:p>
        <w:p w14:paraId="75E62320"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90" w:history="1">
            <w:r>
              <w:rPr>
                <w:rStyle w:val="Hipervnculo"/>
                <w:rFonts w:cstheme="minorHAnsi"/>
                <w:b/>
                <w:noProof/>
              </w:rPr>
              <w:t>5.3.2.</w:t>
            </w:r>
            <w:r>
              <w:rPr>
                <w:rFonts w:eastAsiaTheme="minorEastAsia"/>
                <w:noProof/>
                <w:kern w:val="2"/>
                <w:sz w:val="24"/>
                <w:szCs w:val="24"/>
                <w:lang w:eastAsia="es-EC"/>
                <w14:ligatures w14:val="standardContextual"/>
              </w:rPr>
              <w:tab/>
            </w:r>
            <w:r>
              <w:rPr>
                <w:rStyle w:val="Hipervnculo"/>
                <w:rFonts w:cstheme="minorHAnsi"/>
                <w:b/>
                <w:noProof/>
              </w:rPr>
              <w:t>Metodologías utilizadas para el cálculo de la inversión total, costos de operación y mantenimiento, ingresos y beneficios.</w:t>
            </w:r>
            <w:r>
              <w:rPr>
                <w:noProof/>
                <w:webHidden/>
              </w:rPr>
              <w:tab/>
            </w:r>
            <w:r>
              <w:rPr>
                <w:noProof/>
                <w:webHidden/>
              </w:rPr>
              <w:fldChar w:fldCharType="begin"/>
            </w:r>
            <w:r>
              <w:rPr>
                <w:noProof/>
                <w:webHidden/>
              </w:rPr>
              <w:instrText xml:space="preserve"> PAGEREF _Toc195010090 \h </w:instrText>
            </w:r>
            <w:r>
              <w:rPr>
                <w:noProof/>
                <w:webHidden/>
              </w:rPr>
            </w:r>
            <w:r>
              <w:rPr>
                <w:noProof/>
                <w:webHidden/>
              </w:rPr>
              <w:fldChar w:fldCharType="separate"/>
            </w:r>
            <w:r>
              <w:rPr>
                <w:noProof/>
                <w:webHidden/>
              </w:rPr>
              <w:t>78</w:t>
            </w:r>
            <w:r>
              <w:rPr>
                <w:noProof/>
                <w:webHidden/>
              </w:rPr>
              <w:fldChar w:fldCharType="end"/>
            </w:r>
          </w:hyperlink>
        </w:p>
        <w:p w14:paraId="18DE6D67"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91" w:history="1">
            <w:r>
              <w:rPr>
                <w:rStyle w:val="Hipervnculo"/>
                <w:rFonts w:cstheme="minorHAnsi"/>
                <w:b/>
                <w:noProof/>
              </w:rPr>
              <w:t>5.3.3.</w:t>
            </w:r>
            <w:r>
              <w:rPr>
                <w:rFonts w:eastAsiaTheme="minorEastAsia"/>
                <w:noProof/>
                <w:kern w:val="2"/>
                <w:sz w:val="24"/>
                <w:szCs w:val="24"/>
                <w:lang w:eastAsia="es-EC"/>
                <w14:ligatures w14:val="standardContextual"/>
              </w:rPr>
              <w:tab/>
            </w:r>
            <w:r>
              <w:rPr>
                <w:rStyle w:val="Hipervnculo"/>
                <w:rFonts w:cstheme="minorHAnsi"/>
                <w:b/>
                <w:noProof/>
              </w:rPr>
              <w:t>Identificación y valoración de la inversión total, costos de operación y mantenimiento, ingresos y beneficios.</w:t>
            </w:r>
            <w:r>
              <w:rPr>
                <w:noProof/>
                <w:webHidden/>
              </w:rPr>
              <w:tab/>
            </w:r>
            <w:r>
              <w:rPr>
                <w:noProof/>
                <w:webHidden/>
              </w:rPr>
              <w:fldChar w:fldCharType="begin"/>
            </w:r>
            <w:r>
              <w:rPr>
                <w:noProof/>
                <w:webHidden/>
              </w:rPr>
              <w:instrText xml:space="preserve"> PAGEREF _Toc195010091 \h </w:instrText>
            </w:r>
            <w:r>
              <w:rPr>
                <w:noProof/>
                <w:webHidden/>
              </w:rPr>
            </w:r>
            <w:r>
              <w:rPr>
                <w:noProof/>
                <w:webHidden/>
              </w:rPr>
              <w:fldChar w:fldCharType="separate"/>
            </w:r>
            <w:r>
              <w:rPr>
                <w:noProof/>
                <w:webHidden/>
              </w:rPr>
              <w:t>81</w:t>
            </w:r>
            <w:r>
              <w:rPr>
                <w:noProof/>
                <w:webHidden/>
              </w:rPr>
              <w:fldChar w:fldCharType="end"/>
            </w:r>
          </w:hyperlink>
        </w:p>
        <w:p w14:paraId="2817B5C0"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92" w:history="1">
            <w:r>
              <w:rPr>
                <w:rStyle w:val="Hipervnculo"/>
                <w:rFonts w:cstheme="minorHAnsi"/>
                <w:b/>
                <w:noProof/>
              </w:rPr>
              <w:t>5.3.4.</w:t>
            </w:r>
            <w:r>
              <w:rPr>
                <w:rFonts w:eastAsiaTheme="minorEastAsia"/>
                <w:noProof/>
                <w:kern w:val="2"/>
                <w:sz w:val="24"/>
                <w:szCs w:val="24"/>
                <w:lang w:eastAsia="es-EC"/>
                <w14:ligatures w14:val="standardContextual"/>
              </w:rPr>
              <w:tab/>
            </w:r>
            <w:r>
              <w:rPr>
                <w:rStyle w:val="Hipervnculo"/>
                <w:rFonts w:cstheme="minorHAnsi"/>
                <w:b/>
                <w:noProof/>
              </w:rPr>
              <w:t>Flujo económico</w:t>
            </w:r>
            <w:r>
              <w:rPr>
                <w:noProof/>
                <w:webHidden/>
              </w:rPr>
              <w:tab/>
            </w:r>
            <w:r>
              <w:rPr>
                <w:noProof/>
                <w:webHidden/>
              </w:rPr>
              <w:fldChar w:fldCharType="begin"/>
            </w:r>
            <w:r>
              <w:rPr>
                <w:noProof/>
                <w:webHidden/>
              </w:rPr>
              <w:instrText xml:space="preserve"> PAGEREF _Toc195010092 \h </w:instrText>
            </w:r>
            <w:r>
              <w:rPr>
                <w:noProof/>
                <w:webHidden/>
              </w:rPr>
            </w:r>
            <w:r>
              <w:rPr>
                <w:noProof/>
                <w:webHidden/>
              </w:rPr>
              <w:fldChar w:fldCharType="separate"/>
            </w:r>
            <w:r>
              <w:rPr>
                <w:noProof/>
                <w:webHidden/>
              </w:rPr>
              <w:t>84</w:t>
            </w:r>
            <w:r>
              <w:rPr>
                <w:noProof/>
                <w:webHidden/>
              </w:rPr>
              <w:fldChar w:fldCharType="end"/>
            </w:r>
          </w:hyperlink>
        </w:p>
        <w:p w14:paraId="30A45C78"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93" w:history="1">
            <w:r>
              <w:rPr>
                <w:rStyle w:val="Hipervnculo"/>
                <w:rFonts w:cstheme="minorHAnsi"/>
                <w:b/>
                <w:noProof/>
              </w:rPr>
              <w:t>5.3.5.</w:t>
            </w:r>
            <w:r>
              <w:rPr>
                <w:rFonts w:eastAsiaTheme="minorEastAsia"/>
                <w:noProof/>
                <w:kern w:val="2"/>
                <w:sz w:val="24"/>
                <w:szCs w:val="24"/>
                <w:lang w:eastAsia="es-EC"/>
                <w14:ligatures w14:val="standardContextual"/>
              </w:rPr>
              <w:tab/>
            </w:r>
            <w:r>
              <w:rPr>
                <w:rStyle w:val="Hipervnculo"/>
                <w:rFonts w:cstheme="minorHAnsi"/>
                <w:b/>
                <w:noProof/>
              </w:rPr>
              <w:t>Flujo Económico del Proyecto</w:t>
            </w:r>
            <w:r>
              <w:rPr>
                <w:noProof/>
                <w:webHidden/>
              </w:rPr>
              <w:tab/>
            </w:r>
            <w:r>
              <w:rPr>
                <w:noProof/>
                <w:webHidden/>
              </w:rPr>
              <w:fldChar w:fldCharType="begin"/>
            </w:r>
            <w:r>
              <w:rPr>
                <w:noProof/>
                <w:webHidden/>
              </w:rPr>
              <w:instrText xml:space="preserve"> PAGEREF _Toc195010093 \h </w:instrText>
            </w:r>
            <w:r>
              <w:rPr>
                <w:noProof/>
                <w:webHidden/>
              </w:rPr>
            </w:r>
            <w:r>
              <w:rPr>
                <w:noProof/>
                <w:webHidden/>
              </w:rPr>
              <w:fldChar w:fldCharType="separate"/>
            </w:r>
            <w:r>
              <w:rPr>
                <w:noProof/>
                <w:webHidden/>
              </w:rPr>
              <w:t>85</w:t>
            </w:r>
            <w:r>
              <w:rPr>
                <w:noProof/>
                <w:webHidden/>
              </w:rPr>
              <w:fldChar w:fldCharType="end"/>
            </w:r>
          </w:hyperlink>
        </w:p>
        <w:p w14:paraId="2C7C39A4"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94" w:history="1">
            <w:r>
              <w:rPr>
                <w:rStyle w:val="Hipervnculo"/>
                <w:rFonts w:cstheme="minorHAnsi"/>
                <w:b/>
                <w:noProof/>
              </w:rPr>
              <w:t>5.3.6.</w:t>
            </w:r>
            <w:r>
              <w:rPr>
                <w:rFonts w:eastAsiaTheme="minorEastAsia"/>
                <w:noProof/>
                <w:kern w:val="2"/>
                <w:sz w:val="24"/>
                <w:szCs w:val="24"/>
                <w:lang w:eastAsia="es-EC"/>
                <w14:ligatures w14:val="standardContextual"/>
              </w:rPr>
              <w:tab/>
            </w:r>
            <w:r>
              <w:rPr>
                <w:rStyle w:val="Hipervnculo"/>
                <w:rFonts w:cstheme="minorHAnsi"/>
                <w:b/>
                <w:noProof/>
              </w:rPr>
              <w:t>Indicadores económicos</w:t>
            </w:r>
            <w:r>
              <w:rPr>
                <w:noProof/>
                <w:webHidden/>
              </w:rPr>
              <w:tab/>
            </w:r>
            <w:r>
              <w:rPr>
                <w:noProof/>
                <w:webHidden/>
              </w:rPr>
              <w:fldChar w:fldCharType="begin"/>
            </w:r>
            <w:r>
              <w:rPr>
                <w:noProof/>
                <w:webHidden/>
              </w:rPr>
              <w:instrText xml:space="preserve"> PAGEREF _Toc195010094 \h </w:instrText>
            </w:r>
            <w:r>
              <w:rPr>
                <w:noProof/>
                <w:webHidden/>
              </w:rPr>
            </w:r>
            <w:r>
              <w:rPr>
                <w:noProof/>
                <w:webHidden/>
              </w:rPr>
              <w:fldChar w:fldCharType="separate"/>
            </w:r>
            <w:r>
              <w:rPr>
                <w:noProof/>
                <w:webHidden/>
              </w:rPr>
              <w:t>87</w:t>
            </w:r>
            <w:r>
              <w:rPr>
                <w:noProof/>
                <w:webHidden/>
              </w:rPr>
              <w:fldChar w:fldCharType="end"/>
            </w:r>
          </w:hyperlink>
        </w:p>
        <w:p w14:paraId="34BC1E72"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095" w:history="1">
            <w:r>
              <w:rPr>
                <w:rStyle w:val="Hipervnculo"/>
                <w:rFonts w:cstheme="minorHAnsi"/>
                <w:b/>
                <w:noProof/>
              </w:rPr>
              <w:t>5.4.</w:t>
            </w:r>
            <w:r>
              <w:rPr>
                <w:rFonts w:eastAsiaTheme="minorEastAsia"/>
                <w:noProof/>
                <w:kern w:val="2"/>
                <w:sz w:val="24"/>
                <w:szCs w:val="24"/>
                <w:lang w:eastAsia="es-EC"/>
                <w14:ligatures w14:val="standardContextual"/>
              </w:rPr>
              <w:tab/>
            </w:r>
            <w:r>
              <w:rPr>
                <w:rStyle w:val="Hipervnculo"/>
                <w:rFonts w:cstheme="minorHAnsi"/>
                <w:b/>
                <w:noProof/>
              </w:rPr>
              <w:t>Viabilidad ambiental y sostenibilidad social</w:t>
            </w:r>
            <w:r>
              <w:rPr>
                <w:noProof/>
                <w:webHidden/>
              </w:rPr>
              <w:tab/>
            </w:r>
            <w:r>
              <w:rPr>
                <w:noProof/>
                <w:webHidden/>
              </w:rPr>
              <w:fldChar w:fldCharType="begin"/>
            </w:r>
            <w:r>
              <w:rPr>
                <w:noProof/>
                <w:webHidden/>
              </w:rPr>
              <w:instrText xml:space="preserve"> PAGEREF _Toc195010095 \h </w:instrText>
            </w:r>
            <w:r>
              <w:rPr>
                <w:noProof/>
                <w:webHidden/>
              </w:rPr>
            </w:r>
            <w:r>
              <w:rPr>
                <w:noProof/>
                <w:webHidden/>
              </w:rPr>
              <w:fldChar w:fldCharType="separate"/>
            </w:r>
            <w:r>
              <w:rPr>
                <w:noProof/>
                <w:webHidden/>
              </w:rPr>
              <w:t>87</w:t>
            </w:r>
            <w:r>
              <w:rPr>
                <w:noProof/>
                <w:webHidden/>
              </w:rPr>
              <w:fldChar w:fldCharType="end"/>
            </w:r>
          </w:hyperlink>
        </w:p>
        <w:p w14:paraId="2FE8DB66"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96" w:history="1">
            <w:r>
              <w:rPr>
                <w:rStyle w:val="Hipervnculo"/>
                <w:rFonts w:cstheme="minorHAnsi"/>
                <w:b/>
                <w:noProof/>
              </w:rPr>
              <w:t>5.4.1.</w:t>
            </w:r>
            <w:r>
              <w:rPr>
                <w:rFonts w:eastAsiaTheme="minorEastAsia"/>
                <w:noProof/>
                <w:kern w:val="2"/>
                <w:sz w:val="24"/>
                <w:szCs w:val="24"/>
                <w:lang w:eastAsia="es-EC"/>
                <w14:ligatures w14:val="standardContextual"/>
              </w:rPr>
              <w:tab/>
            </w:r>
            <w:r>
              <w:rPr>
                <w:rStyle w:val="Hipervnculo"/>
                <w:rFonts w:cstheme="minorHAnsi"/>
                <w:b/>
                <w:noProof/>
              </w:rPr>
              <w:t>Análisis de impacto ambiental y riesgos</w:t>
            </w:r>
            <w:r>
              <w:rPr>
                <w:noProof/>
                <w:webHidden/>
              </w:rPr>
              <w:tab/>
            </w:r>
            <w:r>
              <w:rPr>
                <w:noProof/>
                <w:webHidden/>
              </w:rPr>
              <w:fldChar w:fldCharType="begin"/>
            </w:r>
            <w:r>
              <w:rPr>
                <w:noProof/>
                <w:webHidden/>
              </w:rPr>
              <w:instrText xml:space="preserve"> PAGEREF _Toc195010096 \h </w:instrText>
            </w:r>
            <w:r>
              <w:rPr>
                <w:noProof/>
                <w:webHidden/>
              </w:rPr>
            </w:r>
            <w:r>
              <w:rPr>
                <w:noProof/>
                <w:webHidden/>
              </w:rPr>
              <w:fldChar w:fldCharType="separate"/>
            </w:r>
            <w:r>
              <w:rPr>
                <w:noProof/>
                <w:webHidden/>
              </w:rPr>
              <w:t>87</w:t>
            </w:r>
            <w:r>
              <w:rPr>
                <w:noProof/>
                <w:webHidden/>
              </w:rPr>
              <w:fldChar w:fldCharType="end"/>
            </w:r>
          </w:hyperlink>
        </w:p>
        <w:p w14:paraId="1335A5AF" w14:textId="77777777" w:rsidR="007B3093" w:rsidRDefault="007B3093">
          <w:pPr>
            <w:pStyle w:val="TDC2"/>
            <w:tabs>
              <w:tab w:val="left" w:pos="1200"/>
              <w:tab w:val="right" w:leader="dot" w:pos="8494"/>
            </w:tabs>
            <w:rPr>
              <w:rFonts w:eastAsiaTheme="minorEastAsia"/>
              <w:noProof/>
              <w:kern w:val="2"/>
              <w:sz w:val="24"/>
              <w:szCs w:val="24"/>
              <w:lang w:eastAsia="es-EC"/>
              <w14:ligatures w14:val="standardContextual"/>
            </w:rPr>
          </w:pPr>
          <w:hyperlink w:anchor="_Toc195010097" w:history="1">
            <w:r>
              <w:rPr>
                <w:rStyle w:val="Hipervnculo"/>
                <w:rFonts w:cstheme="minorHAnsi"/>
                <w:b/>
                <w:noProof/>
              </w:rPr>
              <w:t>5.4.2.</w:t>
            </w:r>
            <w:r>
              <w:rPr>
                <w:rFonts w:eastAsiaTheme="minorEastAsia"/>
                <w:noProof/>
                <w:kern w:val="2"/>
                <w:sz w:val="24"/>
                <w:szCs w:val="24"/>
                <w:lang w:eastAsia="es-EC"/>
                <w14:ligatures w14:val="standardContextual"/>
              </w:rPr>
              <w:tab/>
            </w:r>
            <w:r>
              <w:rPr>
                <w:rStyle w:val="Hipervnculo"/>
                <w:rFonts w:cstheme="minorHAnsi"/>
                <w:b/>
                <w:noProof/>
              </w:rPr>
              <w:t>Sostenibilidad social</w:t>
            </w:r>
            <w:r>
              <w:rPr>
                <w:noProof/>
                <w:webHidden/>
              </w:rPr>
              <w:tab/>
            </w:r>
            <w:r>
              <w:rPr>
                <w:noProof/>
                <w:webHidden/>
              </w:rPr>
              <w:fldChar w:fldCharType="begin"/>
            </w:r>
            <w:r>
              <w:rPr>
                <w:noProof/>
                <w:webHidden/>
              </w:rPr>
              <w:instrText xml:space="preserve"> PAGEREF _Toc195010097 \h </w:instrText>
            </w:r>
            <w:r>
              <w:rPr>
                <w:noProof/>
                <w:webHidden/>
              </w:rPr>
            </w:r>
            <w:r>
              <w:rPr>
                <w:noProof/>
                <w:webHidden/>
              </w:rPr>
              <w:fldChar w:fldCharType="separate"/>
            </w:r>
            <w:r>
              <w:rPr>
                <w:noProof/>
                <w:webHidden/>
              </w:rPr>
              <w:t>87</w:t>
            </w:r>
            <w:r>
              <w:rPr>
                <w:noProof/>
                <w:webHidden/>
              </w:rPr>
              <w:fldChar w:fldCharType="end"/>
            </w:r>
          </w:hyperlink>
        </w:p>
        <w:p w14:paraId="0C21E4F2" w14:textId="77777777" w:rsidR="007B3093" w:rsidRDefault="007B3093">
          <w:pPr>
            <w:pStyle w:val="TDC2"/>
            <w:tabs>
              <w:tab w:val="left" w:pos="720"/>
              <w:tab w:val="right" w:leader="dot" w:pos="8494"/>
            </w:tabs>
            <w:rPr>
              <w:rFonts w:eastAsiaTheme="minorEastAsia"/>
              <w:noProof/>
              <w:kern w:val="2"/>
              <w:sz w:val="24"/>
              <w:szCs w:val="24"/>
              <w:lang w:eastAsia="es-EC"/>
              <w14:ligatures w14:val="standardContextual"/>
            </w:rPr>
          </w:pPr>
          <w:hyperlink w:anchor="_Toc195010098" w:history="1">
            <w:r>
              <w:rPr>
                <w:rStyle w:val="Hipervnculo"/>
                <w:rFonts w:cstheme="minorHAnsi"/>
                <w:b/>
                <w:noProof/>
              </w:rPr>
              <w:t>6.</w:t>
            </w:r>
            <w:r>
              <w:rPr>
                <w:rFonts w:eastAsiaTheme="minorEastAsia"/>
                <w:noProof/>
                <w:kern w:val="2"/>
                <w:sz w:val="24"/>
                <w:szCs w:val="24"/>
                <w:lang w:eastAsia="es-EC"/>
                <w14:ligatures w14:val="standardContextual"/>
              </w:rPr>
              <w:tab/>
            </w:r>
            <w:r>
              <w:rPr>
                <w:rStyle w:val="Hipervnculo"/>
                <w:rFonts w:cstheme="minorHAnsi"/>
                <w:b/>
                <w:noProof/>
              </w:rPr>
              <w:t>FINANCIAMIENTO Y PRESUPUESTO</w:t>
            </w:r>
            <w:r>
              <w:rPr>
                <w:noProof/>
                <w:webHidden/>
              </w:rPr>
              <w:tab/>
            </w:r>
            <w:r>
              <w:rPr>
                <w:noProof/>
                <w:webHidden/>
              </w:rPr>
              <w:fldChar w:fldCharType="begin"/>
            </w:r>
            <w:r>
              <w:rPr>
                <w:noProof/>
                <w:webHidden/>
              </w:rPr>
              <w:instrText xml:space="preserve"> PAGEREF _Toc195010098 \h </w:instrText>
            </w:r>
            <w:r>
              <w:rPr>
                <w:noProof/>
                <w:webHidden/>
              </w:rPr>
            </w:r>
            <w:r>
              <w:rPr>
                <w:noProof/>
                <w:webHidden/>
              </w:rPr>
              <w:fldChar w:fldCharType="separate"/>
            </w:r>
            <w:r>
              <w:rPr>
                <w:noProof/>
                <w:webHidden/>
              </w:rPr>
              <w:t>88</w:t>
            </w:r>
            <w:r>
              <w:rPr>
                <w:noProof/>
                <w:webHidden/>
              </w:rPr>
              <w:fldChar w:fldCharType="end"/>
            </w:r>
          </w:hyperlink>
        </w:p>
        <w:p w14:paraId="0B58DE80" w14:textId="77777777" w:rsidR="007B3093" w:rsidRDefault="007B3093">
          <w:pPr>
            <w:pStyle w:val="TDC2"/>
            <w:tabs>
              <w:tab w:val="left" w:pos="720"/>
              <w:tab w:val="right" w:leader="dot" w:pos="8494"/>
            </w:tabs>
            <w:rPr>
              <w:rFonts w:eastAsiaTheme="minorEastAsia"/>
              <w:noProof/>
              <w:kern w:val="2"/>
              <w:sz w:val="24"/>
              <w:szCs w:val="24"/>
              <w:lang w:eastAsia="es-EC"/>
              <w14:ligatures w14:val="standardContextual"/>
            </w:rPr>
          </w:pPr>
          <w:hyperlink w:anchor="_Toc195010099" w:history="1">
            <w:r>
              <w:rPr>
                <w:rStyle w:val="Hipervnculo"/>
                <w:rFonts w:cstheme="minorHAnsi"/>
                <w:b/>
                <w:noProof/>
              </w:rPr>
              <w:t>7.</w:t>
            </w:r>
            <w:r>
              <w:rPr>
                <w:rFonts w:eastAsiaTheme="minorEastAsia"/>
                <w:noProof/>
                <w:kern w:val="2"/>
                <w:sz w:val="24"/>
                <w:szCs w:val="24"/>
                <w:lang w:eastAsia="es-EC"/>
                <w14:ligatures w14:val="standardContextual"/>
              </w:rPr>
              <w:tab/>
            </w:r>
            <w:r>
              <w:rPr>
                <w:rStyle w:val="Hipervnculo"/>
                <w:rFonts w:cstheme="minorHAnsi"/>
                <w:b/>
                <w:noProof/>
              </w:rPr>
              <w:t>ESTRATEGIA DE EJECUCIÓN</w:t>
            </w:r>
            <w:r>
              <w:rPr>
                <w:noProof/>
                <w:webHidden/>
              </w:rPr>
              <w:tab/>
            </w:r>
            <w:r>
              <w:rPr>
                <w:noProof/>
                <w:webHidden/>
              </w:rPr>
              <w:fldChar w:fldCharType="begin"/>
            </w:r>
            <w:r>
              <w:rPr>
                <w:noProof/>
                <w:webHidden/>
              </w:rPr>
              <w:instrText xml:space="preserve"> PAGEREF _Toc195010099 \h </w:instrText>
            </w:r>
            <w:r>
              <w:rPr>
                <w:noProof/>
                <w:webHidden/>
              </w:rPr>
            </w:r>
            <w:r>
              <w:rPr>
                <w:noProof/>
                <w:webHidden/>
              </w:rPr>
              <w:fldChar w:fldCharType="separate"/>
            </w:r>
            <w:r>
              <w:rPr>
                <w:noProof/>
                <w:webHidden/>
              </w:rPr>
              <w:t>90</w:t>
            </w:r>
            <w:r>
              <w:rPr>
                <w:noProof/>
                <w:webHidden/>
              </w:rPr>
              <w:fldChar w:fldCharType="end"/>
            </w:r>
          </w:hyperlink>
        </w:p>
        <w:p w14:paraId="6B5C8C05"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00" w:history="1">
            <w:r>
              <w:rPr>
                <w:rStyle w:val="Hipervnculo"/>
                <w:rFonts w:cstheme="minorHAnsi"/>
                <w:b/>
                <w:noProof/>
              </w:rPr>
              <w:t>7.1</w:t>
            </w:r>
            <w:r>
              <w:rPr>
                <w:rFonts w:eastAsiaTheme="minorEastAsia"/>
                <w:noProof/>
                <w:kern w:val="2"/>
                <w:sz w:val="24"/>
                <w:szCs w:val="24"/>
                <w:lang w:eastAsia="es-EC"/>
                <w14:ligatures w14:val="standardContextual"/>
              </w:rPr>
              <w:tab/>
            </w:r>
            <w:r>
              <w:rPr>
                <w:rStyle w:val="Hipervnculo"/>
                <w:rFonts w:cstheme="minorHAnsi"/>
                <w:b/>
                <w:noProof/>
              </w:rPr>
              <w:t>Estructura operativa</w:t>
            </w:r>
            <w:r>
              <w:rPr>
                <w:noProof/>
                <w:webHidden/>
              </w:rPr>
              <w:tab/>
            </w:r>
            <w:r>
              <w:rPr>
                <w:noProof/>
                <w:webHidden/>
              </w:rPr>
              <w:fldChar w:fldCharType="begin"/>
            </w:r>
            <w:r>
              <w:rPr>
                <w:noProof/>
                <w:webHidden/>
              </w:rPr>
              <w:instrText xml:space="preserve"> PAGEREF _Toc195010100 \h </w:instrText>
            </w:r>
            <w:r>
              <w:rPr>
                <w:noProof/>
                <w:webHidden/>
              </w:rPr>
            </w:r>
            <w:r>
              <w:rPr>
                <w:noProof/>
                <w:webHidden/>
              </w:rPr>
              <w:fldChar w:fldCharType="separate"/>
            </w:r>
            <w:r>
              <w:rPr>
                <w:noProof/>
                <w:webHidden/>
              </w:rPr>
              <w:t>90</w:t>
            </w:r>
            <w:r>
              <w:rPr>
                <w:noProof/>
                <w:webHidden/>
              </w:rPr>
              <w:fldChar w:fldCharType="end"/>
            </w:r>
          </w:hyperlink>
        </w:p>
        <w:p w14:paraId="58748C82"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01" w:history="1">
            <w:r>
              <w:rPr>
                <w:rStyle w:val="Hipervnculo"/>
                <w:rFonts w:cstheme="minorHAnsi"/>
                <w:b/>
                <w:noProof/>
              </w:rPr>
              <w:t>7.2</w:t>
            </w:r>
            <w:r>
              <w:rPr>
                <w:rFonts w:eastAsiaTheme="minorEastAsia"/>
                <w:noProof/>
                <w:kern w:val="2"/>
                <w:sz w:val="24"/>
                <w:szCs w:val="24"/>
                <w:lang w:eastAsia="es-EC"/>
                <w14:ligatures w14:val="standardContextual"/>
              </w:rPr>
              <w:tab/>
            </w:r>
            <w:r>
              <w:rPr>
                <w:rStyle w:val="Hipervnculo"/>
                <w:rFonts w:cstheme="minorHAnsi"/>
                <w:b/>
                <w:noProof/>
              </w:rPr>
              <w:t>Arreglos institucionales y modalidad de ejecución</w:t>
            </w:r>
            <w:r>
              <w:rPr>
                <w:noProof/>
                <w:webHidden/>
              </w:rPr>
              <w:tab/>
            </w:r>
            <w:r>
              <w:rPr>
                <w:noProof/>
                <w:webHidden/>
              </w:rPr>
              <w:fldChar w:fldCharType="begin"/>
            </w:r>
            <w:r>
              <w:rPr>
                <w:noProof/>
                <w:webHidden/>
              </w:rPr>
              <w:instrText xml:space="preserve"> PAGEREF _Toc195010101 \h </w:instrText>
            </w:r>
            <w:r>
              <w:rPr>
                <w:noProof/>
                <w:webHidden/>
              </w:rPr>
            </w:r>
            <w:r>
              <w:rPr>
                <w:noProof/>
                <w:webHidden/>
              </w:rPr>
              <w:fldChar w:fldCharType="separate"/>
            </w:r>
            <w:r>
              <w:rPr>
                <w:noProof/>
                <w:webHidden/>
              </w:rPr>
              <w:t>97</w:t>
            </w:r>
            <w:r>
              <w:rPr>
                <w:noProof/>
                <w:webHidden/>
              </w:rPr>
              <w:fldChar w:fldCharType="end"/>
            </w:r>
          </w:hyperlink>
        </w:p>
        <w:p w14:paraId="0A3F3843"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02" w:history="1">
            <w:r>
              <w:rPr>
                <w:rStyle w:val="Hipervnculo"/>
                <w:rFonts w:cstheme="minorHAnsi"/>
                <w:b/>
                <w:noProof/>
              </w:rPr>
              <w:t>7.3</w:t>
            </w:r>
            <w:r>
              <w:rPr>
                <w:rFonts w:eastAsiaTheme="minorEastAsia"/>
                <w:noProof/>
                <w:kern w:val="2"/>
                <w:sz w:val="24"/>
                <w:szCs w:val="24"/>
                <w:lang w:eastAsia="es-EC"/>
                <w14:ligatures w14:val="standardContextual"/>
              </w:rPr>
              <w:tab/>
            </w:r>
            <w:r>
              <w:rPr>
                <w:rStyle w:val="Hipervnculo"/>
                <w:rFonts w:cstheme="minorHAnsi"/>
                <w:b/>
                <w:noProof/>
              </w:rPr>
              <w:t>Cronograma valorado por componentes y actividades</w:t>
            </w:r>
            <w:r>
              <w:rPr>
                <w:noProof/>
                <w:webHidden/>
              </w:rPr>
              <w:tab/>
            </w:r>
            <w:r>
              <w:rPr>
                <w:noProof/>
                <w:webHidden/>
              </w:rPr>
              <w:fldChar w:fldCharType="begin"/>
            </w:r>
            <w:r>
              <w:rPr>
                <w:noProof/>
                <w:webHidden/>
              </w:rPr>
              <w:instrText xml:space="preserve"> PAGEREF _Toc195010102 \h </w:instrText>
            </w:r>
            <w:r>
              <w:rPr>
                <w:noProof/>
                <w:webHidden/>
              </w:rPr>
            </w:r>
            <w:r>
              <w:rPr>
                <w:noProof/>
                <w:webHidden/>
              </w:rPr>
              <w:fldChar w:fldCharType="separate"/>
            </w:r>
            <w:r>
              <w:rPr>
                <w:noProof/>
                <w:webHidden/>
              </w:rPr>
              <w:t>101</w:t>
            </w:r>
            <w:r>
              <w:rPr>
                <w:noProof/>
                <w:webHidden/>
              </w:rPr>
              <w:fldChar w:fldCharType="end"/>
            </w:r>
          </w:hyperlink>
        </w:p>
        <w:p w14:paraId="365E1E6F"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03" w:history="1">
            <w:r>
              <w:rPr>
                <w:rStyle w:val="Hipervnculo"/>
                <w:rFonts w:cstheme="minorHAnsi"/>
                <w:b/>
                <w:noProof/>
              </w:rPr>
              <w:t>7.4</w:t>
            </w:r>
            <w:r>
              <w:rPr>
                <w:rFonts w:eastAsiaTheme="minorEastAsia"/>
                <w:noProof/>
                <w:kern w:val="2"/>
                <w:sz w:val="24"/>
                <w:szCs w:val="24"/>
                <w:lang w:eastAsia="es-EC"/>
                <w14:ligatures w14:val="standardContextual"/>
              </w:rPr>
              <w:tab/>
            </w:r>
            <w:r>
              <w:rPr>
                <w:rStyle w:val="Hipervnculo"/>
                <w:rFonts w:cstheme="minorHAnsi"/>
                <w:b/>
                <w:noProof/>
              </w:rPr>
              <w:t>Hitos por componente</w:t>
            </w:r>
            <w:r>
              <w:rPr>
                <w:noProof/>
                <w:webHidden/>
              </w:rPr>
              <w:tab/>
            </w:r>
            <w:r>
              <w:rPr>
                <w:noProof/>
                <w:webHidden/>
              </w:rPr>
              <w:fldChar w:fldCharType="begin"/>
            </w:r>
            <w:r>
              <w:rPr>
                <w:noProof/>
                <w:webHidden/>
              </w:rPr>
              <w:instrText xml:space="preserve"> PAGEREF _Toc195010103 \h </w:instrText>
            </w:r>
            <w:r>
              <w:rPr>
                <w:noProof/>
                <w:webHidden/>
              </w:rPr>
            </w:r>
            <w:r>
              <w:rPr>
                <w:noProof/>
                <w:webHidden/>
              </w:rPr>
              <w:fldChar w:fldCharType="separate"/>
            </w:r>
            <w:r>
              <w:rPr>
                <w:noProof/>
                <w:webHidden/>
              </w:rPr>
              <w:t>104</w:t>
            </w:r>
            <w:r>
              <w:rPr>
                <w:noProof/>
                <w:webHidden/>
              </w:rPr>
              <w:fldChar w:fldCharType="end"/>
            </w:r>
          </w:hyperlink>
        </w:p>
        <w:p w14:paraId="53C255B9"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04" w:history="1">
            <w:r>
              <w:rPr>
                <w:rStyle w:val="Hipervnculo"/>
                <w:rFonts w:cstheme="minorHAnsi"/>
                <w:b/>
                <w:noProof/>
              </w:rPr>
              <w:t>7.5</w:t>
            </w:r>
            <w:r>
              <w:rPr>
                <w:rFonts w:eastAsiaTheme="minorEastAsia"/>
                <w:noProof/>
                <w:kern w:val="2"/>
                <w:sz w:val="24"/>
                <w:szCs w:val="24"/>
                <w:lang w:eastAsia="es-EC"/>
                <w14:ligatures w14:val="standardContextual"/>
              </w:rPr>
              <w:tab/>
            </w:r>
            <w:r>
              <w:rPr>
                <w:rStyle w:val="Hipervnculo"/>
                <w:rFonts w:cstheme="minorHAnsi"/>
                <w:b/>
                <w:noProof/>
              </w:rPr>
              <w:t>Demanda pública nacional plurianual</w:t>
            </w:r>
            <w:r>
              <w:rPr>
                <w:noProof/>
                <w:webHidden/>
              </w:rPr>
              <w:tab/>
            </w:r>
            <w:r>
              <w:rPr>
                <w:noProof/>
                <w:webHidden/>
              </w:rPr>
              <w:fldChar w:fldCharType="begin"/>
            </w:r>
            <w:r>
              <w:rPr>
                <w:noProof/>
                <w:webHidden/>
              </w:rPr>
              <w:instrText xml:space="preserve"> PAGEREF _Toc195010104 \h </w:instrText>
            </w:r>
            <w:r>
              <w:rPr>
                <w:noProof/>
                <w:webHidden/>
              </w:rPr>
            </w:r>
            <w:r>
              <w:rPr>
                <w:noProof/>
                <w:webHidden/>
              </w:rPr>
              <w:fldChar w:fldCharType="separate"/>
            </w:r>
            <w:r>
              <w:rPr>
                <w:noProof/>
                <w:webHidden/>
              </w:rPr>
              <w:t>105</w:t>
            </w:r>
            <w:r>
              <w:rPr>
                <w:noProof/>
                <w:webHidden/>
              </w:rPr>
              <w:fldChar w:fldCharType="end"/>
            </w:r>
          </w:hyperlink>
        </w:p>
        <w:p w14:paraId="615F8C65"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05" w:history="1">
            <w:r>
              <w:rPr>
                <w:rStyle w:val="Hipervnculo"/>
                <w:rFonts w:cstheme="minorHAnsi"/>
                <w:b/>
                <w:noProof/>
              </w:rPr>
              <w:t>7.5.1</w:t>
            </w:r>
            <w:r>
              <w:rPr>
                <w:rFonts w:eastAsiaTheme="minorEastAsia"/>
                <w:noProof/>
                <w:kern w:val="2"/>
                <w:sz w:val="24"/>
                <w:szCs w:val="24"/>
                <w:lang w:eastAsia="es-EC"/>
                <w14:ligatures w14:val="standardContextual"/>
              </w:rPr>
              <w:tab/>
            </w:r>
            <w:r>
              <w:rPr>
                <w:rStyle w:val="Hipervnculo"/>
                <w:rFonts w:cstheme="minorHAnsi"/>
                <w:b/>
                <w:noProof/>
              </w:rPr>
              <w:t>Determinación de la demanda pública nacional plurianual</w:t>
            </w:r>
            <w:r>
              <w:rPr>
                <w:noProof/>
                <w:webHidden/>
              </w:rPr>
              <w:tab/>
            </w:r>
            <w:r>
              <w:rPr>
                <w:noProof/>
                <w:webHidden/>
              </w:rPr>
              <w:fldChar w:fldCharType="begin"/>
            </w:r>
            <w:r>
              <w:rPr>
                <w:noProof/>
                <w:webHidden/>
              </w:rPr>
              <w:instrText xml:space="preserve"> PAGEREF _Toc195010105 \h </w:instrText>
            </w:r>
            <w:r>
              <w:rPr>
                <w:noProof/>
                <w:webHidden/>
              </w:rPr>
            </w:r>
            <w:r>
              <w:rPr>
                <w:noProof/>
                <w:webHidden/>
              </w:rPr>
              <w:fldChar w:fldCharType="separate"/>
            </w:r>
            <w:r>
              <w:rPr>
                <w:noProof/>
                <w:webHidden/>
              </w:rPr>
              <w:t>105</w:t>
            </w:r>
            <w:r>
              <w:rPr>
                <w:noProof/>
                <w:webHidden/>
              </w:rPr>
              <w:fldChar w:fldCharType="end"/>
            </w:r>
          </w:hyperlink>
        </w:p>
        <w:p w14:paraId="2999F801" w14:textId="77777777" w:rsidR="007B3093" w:rsidRDefault="007B3093">
          <w:pPr>
            <w:pStyle w:val="TDC2"/>
            <w:tabs>
              <w:tab w:val="left" w:pos="720"/>
              <w:tab w:val="right" w:leader="dot" w:pos="8494"/>
            </w:tabs>
            <w:rPr>
              <w:rFonts w:eastAsiaTheme="minorEastAsia"/>
              <w:noProof/>
              <w:kern w:val="2"/>
              <w:sz w:val="24"/>
              <w:szCs w:val="24"/>
              <w:lang w:eastAsia="es-EC"/>
              <w14:ligatures w14:val="standardContextual"/>
            </w:rPr>
          </w:pPr>
          <w:hyperlink w:anchor="_Toc195010106" w:history="1">
            <w:r>
              <w:rPr>
                <w:rStyle w:val="Hipervnculo"/>
                <w:rFonts w:cstheme="minorHAnsi"/>
                <w:b/>
                <w:noProof/>
              </w:rPr>
              <w:t>8.</w:t>
            </w:r>
            <w:r>
              <w:rPr>
                <w:rFonts w:eastAsiaTheme="minorEastAsia"/>
                <w:noProof/>
                <w:kern w:val="2"/>
                <w:sz w:val="24"/>
                <w:szCs w:val="24"/>
                <w:lang w:eastAsia="es-EC"/>
                <w14:ligatures w14:val="standardContextual"/>
              </w:rPr>
              <w:tab/>
            </w:r>
            <w:r>
              <w:rPr>
                <w:rStyle w:val="Hipervnculo"/>
                <w:rFonts w:cstheme="minorHAnsi"/>
                <w:b/>
                <w:noProof/>
              </w:rPr>
              <w:t>ESTRATEGIA DE SEGUIMIENTO Y EVALUACIÓN</w:t>
            </w:r>
            <w:r>
              <w:rPr>
                <w:noProof/>
                <w:webHidden/>
              </w:rPr>
              <w:tab/>
            </w:r>
            <w:r>
              <w:rPr>
                <w:noProof/>
                <w:webHidden/>
              </w:rPr>
              <w:fldChar w:fldCharType="begin"/>
            </w:r>
            <w:r>
              <w:rPr>
                <w:noProof/>
                <w:webHidden/>
              </w:rPr>
              <w:instrText xml:space="preserve"> PAGEREF _Toc195010106 \h </w:instrText>
            </w:r>
            <w:r>
              <w:rPr>
                <w:noProof/>
                <w:webHidden/>
              </w:rPr>
            </w:r>
            <w:r>
              <w:rPr>
                <w:noProof/>
                <w:webHidden/>
              </w:rPr>
              <w:fldChar w:fldCharType="separate"/>
            </w:r>
            <w:r>
              <w:rPr>
                <w:noProof/>
                <w:webHidden/>
              </w:rPr>
              <w:t>107</w:t>
            </w:r>
            <w:r>
              <w:rPr>
                <w:noProof/>
                <w:webHidden/>
              </w:rPr>
              <w:fldChar w:fldCharType="end"/>
            </w:r>
          </w:hyperlink>
        </w:p>
        <w:p w14:paraId="12CBF4C4"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07" w:history="1">
            <w:r>
              <w:rPr>
                <w:rStyle w:val="Hipervnculo"/>
                <w:rFonts w:cstheme="minorHAnsi"/>
                <w:b/>
                <w:noProof/>
              </w:rPr>
              <w:t>8.1</w:t>
            </w:r>
            <w:r>
              <w:rPr>
                <w:rFonts w:eastAsiaTheme="minorEastAsia"/>
                <w:noProof/>
                <w:kern w:val="2"/>
                <w:sz w:val="24"/>
                <w:szCs w:val="24"/>
                <w:lang w:eastAsia="es-EC"/>
                <w14:ligatures w14:val="standardContextual"/>
              </w:rPr>
              <w:tab/>
            </w:r>
            <w:r>
              <w:rPr>
                <w:rStyle w:val="Hipervnculo"/>
                <w:rFonts w:cstheme="minorHAnsi"/>
                <w:b/>
                <w:noProof/>
              </w:rPr>
              <w:t>Seguimiento a la Ejecución</w:t>
            </w:r>
            <w:r>
              <w:rPr>
                <w:noProof/>
                <w:webHidden/>
              </w:rPr>
              <w:tab/>
            </w:r>
            <w:r>
              <w:rPr>
                <w:noProof/>
                <w:webHidden/>
              </w:rPr>
              <w:fldChar w:fldCharType="begin"/>
            </w:r>
            <w:r>
              <w:rPr>
                <w:noProof/>
                <w:webHidden/>
              </w:rPr>
              <w:instrText xml:space="preserve"> PAGEREF _Toc195010107 \h </w:instrText>
            </w:r>
            <w:r>
              <w:rPr>
                <w:noProof/>
                <w:webHidden/>
              </w:rPr>
            </w:r>
            <w:r>
              <w:rPr>
                <w:noProof/>
                <w:webHidden/>
              </w:rPr>
              <w:fldChar w:fldCharType="separate"/>
            </w:r>
            <w:r>
              <w:rPr>
                <w:noProof/>
                <w:webHidden/>
              </w:rPr>
              <w:t>107</w:t>
            </w:r>
            <w:r>
              <w:rPr>
                <w:noProof/>
                <w:webHidden/>
              </w:rPr>
              <w:fldChar w:fldCharType="end"/>
            </w:r>
          </w:hyperlink>
        </w:p>
        <w:p w14:paraId="3579B1BC"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08" w:history="1">
            <w:r>
              <w:rPr>
                <w:rStyle w:val="Hipervnculo"/>
                <w:rFonts w:cstheme="minorHAnsi"/>
                <w:b/>
                <w:noProof/>
              </w:rPr>
              <w:t>8.1.1</w:t>
            </w:r>
            <w:r>
              <w:rPr>
                <w:rFonts w:eastAsiaTheme="minorEastAsia"/>
                <w:noProof/>
                <w:kern w:val="2"/>
                <w:sz w:val="24"/>
                <w:szCs w:val="24"/>
                <w:lang w:eastAsia="es-EC"/>
                <w14:ligatures w14:val="standardContextual"/>
              </w:rPr>
              <w:tab/>
            </w:r>
            <w:r>
              <w:rPr>
                <w:rStyle w:val="Hipervnculo"/>
                <w:rFonts w:cstheme="minorHAnsi"/>
                <w:b/>
                <w:noProof/>
              </w:rPr>
              <w:t>Hoja de ruta para la implementación del Proyecto de Fortalecimiento Institucional</w:t>
            </w:r>
            <w:r>
              <w:rPr>
                <w:noProof/>
                <w:webHidden/>
              </w:rPr>
              <w:tab/>
            </w:r>
            <w:r>
              <w:rPr>
                <w:noProof/>
                <w:webHidden/>
              </w:rPr>
              <w:fldChar w:fldCharType="begin"/>
            </w:r>
            <w:r>
              <w:rPr>
                <w:noProof/>
                <w:webHidden/>
              </w:rPr>
              <w:instrText xml:space="preserve"> PAGEREF _Toc195010108 \h </w:instrText>
            </w:r>
            <w:r>
              <w:rPr>
                <w:noProof/>
                <w:webHidden/>
              </w:rPr>
            </w:r>
            <w:r>
              <w:rPr>
                <w:noProof/>
                <w:webHidden/>
              </w:rPr>
              <w:fldChar w:fldCharType="separate"/>
            </w:r>
            <w:r>
              <w:rPr>
                <w:noProof/>
                <w:webHidden/>
              </w:rPr>
              <w:t>107</w:t>
            </w:r>
            <w:r>
              <w:rPr>
                <w:noProof/>
                <w:webHidden/>
              </w:rPr>
              <w:fldChar w:fldCharType="end"/>
            </w:r>
          </w:hyperlink>
        </w:p>
        <w:p w14:paraId="18A44B6C"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09" w:history="1">
            <w:r>
              <w:rPr>
                <w:rStyle w:val="Hipervnculo"/>
                <w:rFonts w:cstheme="minorHAnsi"/>
                <w:b/>
                <w:noProof/>
              </w:rPr>
              <w:t>8.2</w:t>
            </w:r>
            <w:r>
              <w:rPr>
                <w:rFonts w:eastAsiaTheme="minorEastAsia"/>
                <w:noProof/>
                <w:kern w:val="2"/>
                <w:sz w:val="24"/>
                <w:szCs w:val="24"/>
                <w:lang w:eastAsia="es-EC"/>
                <w14:ligatures w14:val="standardContextual"/>
              </w:rPr>
              <w:tab/>
            </w:r>
            <w:r>
              <w:rPr>
                <w:rStyle w:val="Hipervnculo"/>
                <w:rFonts w:cstheme="minorHAnsi"/>
                <w:b/>
                <w:noProof/>
              </w:rPr>
              <w:t>Evaluación de resultados e impactos</w:t>
            </w:r>
            <w:r>
              <w:rPr>
                <w:noProof/>
                <w:webHidden/>
              </w:rPr>
              <w:tab/>
            </w:r>
            <w:r>
              <w:rPr>
                <w:noProof/>
                <w:webHidden/>
              </w:rPr>
              <w:fldChar w:fldCharType="begin"/>
            </w:r>
            <w:r>
              <w:rPr>
                <w:noProof/>
                <w:webHidden/>
              </w:rPr>
              <w:instrText xml:space="preserve"> PAGEREF _Toc195010109 \h </w:instrText>
            </w:r>
            <w:r>
              <w:rPr>
                <w:noProof/>
                <w:webHidden/>
              </w:rPr>
            </w:r>
            <w:r>
              <w:rPr>
                <w:noProof/>
                <w:webHidden/>
              </w:rPr>
              <w:fldChar w:fldCharType="separate"/>
            </w:r>
            <w:r>
              <w:rPr>
                <w:noProof/>
                <w:webHidden/>
              </w:rPr>
              <w:t>108</w:t>
            </w:r>
            <w:r>
              <w:rPr>
                <w:noProof/>
                <w:webHidden/>
              </w:rPr>
              <w:fldChar w:fldCharType="end"/>
            </w:r>
          </w:hyperlink>
        </w:p>
        <w:p w14:paraId="71EE24B4"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10" w:history="1">
            <w:r>
              <w:rPr>
                <w:rStyle w:val="Hipervnculo"/>
                <w:rFonts w:cstheme="minorHAnsi"/>
                <w:b/>
                <w:noProof/>
              </w:rPr>
              <w:t>8.3</w:t>
            </w:r>
            <w:r>
              <w:rPr>
                <w:rFonts w:eastAsiaTheme="minorEastAsia"/>
                <w:noProof/>
                <w:kern w:val="2"/>
                <w:sz w:val="24"/>
                <w:szCs w:val="24"/>
                <w:lang w:eastAsia="es-EC"/>
                <w14:ligatures w14:val="standardContextual"/>
              </w:rPr>
              <w:tab/>
            </w:r>
            <w:r>
              <w:rPr>
                <w:rStyle w:val="Hipervnculo"/>
                <w:rFonts w:cstheme="minorHAnsi"/>
                <w:b/>
                <w:noProof/>
              </w:rPr>
              <w:t>Actualización de línea base</w:t>
            </w:r>
            <w:r>
              <w:rPr>
                <w:noProof/>
                <w:webHidden/>
              </w:rPr>
              <w:tab/>
            </w:r>
            <w:r>
              <w:rPr>
                <w:noProof/>
                <w:webHidden/>
              </w:rPr>
              <w:fldChar w:fldCharType="begin"/>
            </w:r>
            <w:r>
              <w:rPr>
                <w:noProof/>
                <w:webHidden/>
              </w:rPr>
              <w:instrText xml:space="preserve"> PAGEREF _Toc195010110 \h </w:instrText>
            </w:r>
            <w:r>
              <w:rPr>
                <w:noProof/>
                <w:webHidden/>
              </w:rPr>
            </w:r>
            <w:r>
              <w:rPr>
                <w:noProof/>
                <w:webHidden/>
              </w:rPr>
              <w:fldChar w:fldCharType="separate"/>
            </w:r>
            <w:r>
              <w:rPr>
                <w:noProof/>
                <w:webHidden/>
              </w:rPr>
              <w:t>110</w:t>
            </w:r>
            <w:r>
              <w:rPr>
                <w:noProof/>
                <w:webHidden/>
              </w:rPr>
              <w:fldChar w:fldCharType="end"/>
            </w:r>
          </w:hyperlink>
        </w:p>
        <w:p w14:paraId="58030F9D" w14:textId="77777777" w:rsidR="007B3093" w:rsidRDefault="007B3093">
          <w:pPr>
            <w:pStyle w:val="TDC2"/>
            <w:tabs>
              <w:tab w:val="left" w:pos="720"/>
              <w:tab w:val="right" w:leader="dot" w:pos="8494"/>
            </w:tabs>
            <w:rPr>
              <w:rFonts w:eastAsiaTheme="minorEastAsia"/>
              <w:noProof/>
              <w:kern w:val="2"/>
              <w:sz w:val="24"/>
              <w:szCs w:val="24"/>
              <w:lang w:eastAsia="es-EC"/>
              <w14:ligatures w14:val="standardContextual"/>
            </w:rPr>
          </w:pPr>
          <w:hyperlink w:anchor="_Toc195010111" w:history="1">
            <w:r>
              <w:rPr>
                <w:rStyle w:val="Hipervnculo"/>
                <w:rFonts w:cstheme="minorHAnsi"/>
                <w:b/>
                <w:noProof/>
              </w:rPr>
              <w:t>9.</w:t>
            </w:r>
            <w:r>
              <w:rPr>
                <w:rFonts w:eastAsiaTheme="minorEastAsia"/>
                <w:noProof/>
                <w:kern w:val="2"/>
                <w:sz w:val="24"/>
                <w:szCs w:val="24"/>
                <w:lang w:eastAsia="es-EC"/>
                <w14:ligatures w14:val="standardContextual"/>
              </w:rPr>
              <w:tab/>
            </w:r>
            <w:r>
              <w:rPr>
                <w:rStyle w:val="Hipervnculo"/>
                <w:rFonts w:cstheme="minorHAnsi"/>
                <w:b/>
                <w:noProof/>
              </w:rPr>
              <w:t>ANEXOS</w:t>
            </w:r>
            <w:r>
              <w:rPr>
                <w:noProof/>
                <w:webHidden/>
              </w:rPr>
              <w:tab/>
            </w:r>
            <w:r>
              <w:rPr>
                <w:noProof/>
                <w:webHidden/>
              </w:rPr>
              <w:fldChar w:fldCharType="begin"/>
            </w:r>
            <w:r>
              <w:rPr>
                <w:noProof/>
                <w:webHidden/>
              </w:rPr>
              <w:instrText xml:space="preserve"> PAGEREF _Toc195010111 \h </w:instrText>
            </w:r>
            <w:r>
              <w:rPr>
                <w:noProof/>
                <w:webHidden/>
              </w:rPr>
            </w:r>
            <w:r>
              <w:rPr>
                <w:noProof/>
                <w:webHidden/>
              </w:rPr>
              <w:fldChar w:fldCharType="separate"/>
            </w:r>
            <w:r>
              <w:rPr>
                <w:noProof/>
                <w:webHidden/>
              </w:rPr>
              <w:t>110</w:t>
            </w:r>
            <w:r>
              <w:rPr>
                <w:noProof/>
                <w:webHidden/>
              </w:rPr>
              <w:fldChar w:fldCharType="end"/>
            </w:r>
          </w:hyperlink>
        </w:p>
        <w:p w14:paraId="087AEE8D"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12" w:history="1">
            <w:r>
              <w:rPr>
                <w:rStyle w:val="Hipervnculo"/>
                <w:rFonts w:cstheme="minorHAnsi"/>
                <w:b/>
                <w:noProof/>
              </w:rPr>
              <w:t>9.1</w:t>
            </w:r>
            <w:r>
              <w:rPr>
                <w:rFonts w:eastAsiaTheme="minorEastAsia"/>
                <w:noProof/>
                <w:kern w:val="2"/>
                <w:sz w:val="24"/>
                <w:szCs w:val="24"/>
                <w:lang w:eastAsia="es-EC"/>
                <w14:ligatures w14:val="standardContextual"/>
              </w:rPr>
              <w:tab/>
            </w:r>
            <w:r>
              <w:rPr>
                <w:rStyle w:val="Hipervnculo"/>
                <w:rFonts w:cstheme="minorHAnsi"/>
                <w:b/>
                <w:noProof/>
              </w:rPr>
              <w:t>Autorizaciones ambientales otorgadas por el Ministerio del Ambiente y otros según corresponda</w:t>
            </w:r>
            <w:r>
              <w:rPr>
                <w:noProof/>
                <w:webHidden/>
              </w:rPr>
              <w:tab/>
            </w:r>
            <w:r>
              <w:rPr>
                <w:noProof/>
                <w:webHidden/>
              </w:rPr>
              <w:fldChar w:fldCharType="begin"/>
            </w:r>
            <w:r>
              <w:rPr>
                <w:noProof/>
                <w:webHidden/>
              </w:rPr>
              <w:instrText xml:space="preserve"> PAGEREF _Toc195010112 \h </w:instrText>
            </w:r>
            <w:r>
              <w:rPr>
                <w:noProof/>
                <w:webHidden/>
              </w:rPr>
            </w:r>
            <w:r>
              <w:rPr>
                <w:noProof/>
                <w:webHidden/>
              </w:rPr>
              <w:fldChar w:fldCharType="separate"/>
            </w:r>
            <w:r>
              <w:rPr>
                <w:noProof/>
                <w:webHidden/>
              </w:rPr>
              <w:t>110</w:t>
            </w:r>
            <w:r>
              <w:rPr>
                <w:noProof/>
                <w:webHidden/>
              </w:rPr>
              <w:fldChar w:fldCharType="end"/>
            </w:r>
          </w:hyperlink>
        </w:p>
        <w:p w14:paraId="6F1E5C01" w14:textId="77777777" w:rsidR="007B3093" w:rsidRDefault="007B3093">
          <w:pPr>
            <w:pStyle w:val="TDC2"/>
            <w:tabs>
              <w:tab w:val="left" w:pos="960"/>
              <w:tab w:val="right" w:leader="dot" w:pos="8494"/>
            </w:tabs>
            <w:rPr>
              <w:rFonts w:eastAsiaTheme="minorEastAsia"/>
              <w:noProof/>
              <w:kern w:val="2"/>
              <w:sz w:val="24"/>
              <w:szCs w:val="24"/>
              <w:lang w:eastAsia="es-EC"/>
              <w14:ligatures w14:val="standardContextual"/>
            </w:rPr>
          </w:pPr>
          <w:hyperlink w:anchor="_Toc195010113" w:history="1">
            <w:r>
              <w:rPr>
                <w:rStyle w:val="Hipervnculo"/>
                <w:rFonts w:cstheme="minorHAnsi"/>
                <w:b/>
                <w:noProof/>
              </w:rPr>
              <w:t>9.2</w:t>
            </w:r>
            <w:r>
              <w:rPr>
                <w:rFonts w:eastAsiaTheme="minorEastAsia"/>
                <w:noProof/>
                <w:kern w:val="2"/>
                <w:sz w:val="24"/>
                <w:szCs w:val="24"/>
                <w:lang w:eastAsia="es-EC"/>
                <w14:ligatures w14:val="standardContextual"/>
              </w:rPr>
              <w:tab/>
            </w:r>
            <w:r>
              <w:rPr>
                <w:rStyle w:val="Hipervnculo"/>
                <w:rFonts w:cstheme="minorHAnsi"/>
                <w:b/>
                <w:noProof/>
              </w:rPr>
              <w:t>Certificaciones técnicas, costos, disponibilidad de financiamiento y otras.</w:t>
            </w:r>
            <w:r>
              <w:rPr>
                <w:noProof/>
                <w:webHidden/>
              </w:rPr>
              <w:tab/>
            </w:r>
            <w:r>
              <w:rPr>
                <w:noProof/>
                <w:webHidden/>
              </w:rPr>
              <w:fldChar w:fldCharType="begin"/>
            </w:r>
            <w:r>
              <w:rPr>
                <w:noProof/>
                <w:webHidden/>
              </w:rPr>
              <w:instrText xml:space="preserve"> PAGEREF _Toc195010113 \h </w:instrText>
            </w:r>
            <w:r>
              <w:rPr>
                <w:noProof/>
                <w:webHidden/>
              </w:rPr>
            </w:r>
            <w:r>
              <w:rPr>
                <w:noProof/>
                <w:webHidden/>
              </w:rPr>
              <w:fldChar w:fldCharType="separate"/>
            </w:r>
            <w:r>
              <w:rPr>
                <w:noProof/>
                <w:webHidden/>
              </w:rPr>
              <w:t>110</w:t>
            </w:r>
            <w:r>
              <w:rPr>
                <w:noProof/>
                <w:webHidden/>
              </w:rPr>
              <w:fldChar w:fldCharType="end"/>
            </w:r>
          </w:hyperlink>
        </w:p>
        <w:p w14:paraId="7ABC88D2" w14:textId="77777777" w:rsidR="007B3093" w:rsidRDefault="00000000">
          <w:r>
            <w:rPr>
              <w:b/>
              <w:bCs/>
              <w:lang w:val="es-ES"/>
            </w:rPr>
            <w:fldChar w:fldCharType="end"/>
          </w:r>
        </w:p>
      </w:sdtContent>
    </w:sdt>
    <w:p w14:paraId="2DD9E73D" w14:textId="77777777" w:rsidR="007B3093" w:rsidRDefault="007B3093">
      <w:pPr>
        <w:spacing w:after="0" w:line="360" w:lineRule="auto"/>
        <w:jc w:val="center"/>
        <w:rPr>
          <w:b/>
        </w:rPr>
      </w:pPr>
    </w:p>
    <w:p w14:paraId="1B88C7E2" w14:textId="77777777" w:rsidR="007B3093" w:rsidRDefault="007B3093">
      <w:pPr>
        <w:spacing w:after="0" w:line="360" w:lineRule="auto"/>
        <w:jc w:val="center"/>
        <w:rPr>
          <w:b/>
        </w:rPr>
      </w:pPr>
    </w:p>
    <w:p w14:paraId="6968EFD5" w14:textId="77777777" w:rsidR="007B3093" w:rsidRDefault="007B3093">
      <w:pPr>
        <w:spacing w:after="0" w:line="360" w:lineRule="auto"/>
        <w:jc w:val="center"/>
        <w:rPr>
          <w:b/>
        </w:rPr>
      </w:pPr>
    </w:p>
    <w:p w14:paraId="79C5AA33" w14:textId="77777777" w:rsidR="007B3093" w:rsidRDefault="007B3093">
      <w:pPr>
        <w:spacing w:after="0" w:line="360" w:lineRule="auto"/>
        <w:jc w:val="center"/>
        <w:rPr>
          <w:b/>
        </w:rPr>
      </w:pPr>
    </w:p>
    <w:p w14:paraId="2F1F4EFB" w14:textId="77777777" w:rsidR="007B3093" w:rsidRDefault="007B3093">
      <w:pPr>
        <w:spacing w:after="0" w:line="360" w:lineRule="auto"/>
        <w:jc w:val="center"/>
        <w:rPr>
          <w:b/>
        </w:rPr>
      </w:pPr>
    </w:p>
    <w:p w14:paraId="5F25AEC0" w14:textId="77777777" w:rsidR="007B3093" w:rsidRDefault="007B3093">
      <w:pPr>
        <w:spacing w:after="0" w:line="360" w:lineRule="auto"/>
        <w:jc w:val="center"/>
        <w:rPr>
          <w:b/>
        </w:rPr>
      </w:pPr>
    </w:p>
    <w:p w14:paraId="43ADE519" w14:textId="77777777" w:rsidR="007B3093" w:rsidRDefault="007B3093">
      <w:pPr>
        <w:spacing w:after="0" w:line="360" w:lineRule="auto"/>
        <w:jc w:val="center"/>
        <w:rPr>
          <w:b/>
        </w:rPr>
      </w:pPr>
    </w:p>
    <w:p w14:paraId="013AD8C3" w14:textId="77777777" w:rsidR="007B3093" w:rsidRDefault="007B3093">
      <w:pPr>
        <w:spacing w:after="0" w:line="360" w:lineRule="auto"/>
        <w:jc w:val="center"/>
        <w:rPr>
          <w:b/>
        </w:rPr>
      </w:pPr>
    </w:p>
    <w:p w14:paraId="499A5ACD" w14:textId="77777777" w:rsidR="007B3093" w:rsidRDefault="007B3093">
      <w:pPr>
        <w:spacing w:after="0" w:line="360" w:lineRule="auto"/>
        <w:jc w:val="center"/>
        <w:rPr>
          <w:b/>
        </w:rPr>
      </w:pPr>
    </w:p>
    <w:p w14:paraId="419A3986" w14:textId="77777777" w:rsidR="007B3093" w:rsidRDefault="007B3093">
      <w:pPr>
        <w:spacing w:after="0" w:line="360" w:lineRule="auto"/>
        <w:jc w:val="center"/>
        <w:rPr>
          <w:b/>
        </w:rPr>
      </w:pPr>
    </w:p>
    <w:p w14:paraId="549DA0D2" w14:textId="77777777" w:rsidR="007B3093" w:rsidRDefault="007B3093">
      <w:pPr>
        <w:spacing w:after="0" w:line="360" w:lineRule="auto"/>
        <w:jc w:val="center"/>
        <w:rPr>
          <w:b/>
        </w:rPr>
      </w:pPr>
    </w:p>
    <w:p w14:paraId="3E2F7BA5" w14:textId="77777777" w:rsidR="007B3093" w:rsidRDefault="007B3093">
      <w:pPr>
        <w:spacing w:after="0" w:line="360" w:lineRule="auto"/>
        <w:jc w:val="center"/>
        <w:rPr>
          <w:b/>
        </w:rPr>
      </w:pPr>
    </w:p>
    <w:p w14:paraId="3EA73D3C" w14:textId="77777777" w:rsidR="007B3093" w:rsidRDefault="007B3093">
      <w:pPr>
        <w:spacing w:after="0" w:line="360" w:lineRule="auto"/>
        <w:jc w:val="center"/>
        <w:rPr>
          <w:b/>
        </w:rPr>
      </w:pPr>
    </w:p>
    <w:p w14:paraId="30E50DE6" w14:textId="77777777" w:rsidR="007B3093" w:rsidRDefault="007B3093">
      <w:pPr>
        <w:spacing w:after="0" w:line="360" w:lineRule="auto"/>
        <w:jc w:val="center"/>
        <w:rPr>
          <w:b/>
        </w:rPr>
      </w:pPr>
    </w:p>
    <w:p w14:paraId="5E5307FF" w14:textId="77777777" w:rsidR="007B3093" w:rsidRDefault="007B3093">
      <w:pPr>
        <w:spacing w:after="0" w:line="360" w:lineRule="auto"/>
        <w:jc w:val="center"/>
        <w:rPr>
          <w:b/>
        </w:rPr>
      </w:pPr>
    </w:p>
    <w:p w14:paraId="32669A81" w14:textId="77777777" w:rsidR="007B3093" w:rsidRDefault="007B3093">
      <w:pPr>
        <w:spacing w:after="0" w:line="360" w:lineRule="auto"/>
        <w:jc w:val="center"/>
        <w:rPr>
          <w:b/>
        </w:rPr>
      </w:pPr>
    </w:p>
    <w:p w14:paraId="25420AAD" w14:textId="77777777" w:rsidR="007B3093" w:rsidRDefault="007B3093">
      <w:pPr>
        <w:spacing w:after="0" w:line="360" w:lineRule="auto"/>
        <w:jc w:val="center"/>
        <w:rPr>
          <w:b/>
        </w:rPr>
      </w:pPr>
    </w:p>
    <w:p w14:paraId="71A05115" w14:textId="77777777" w:rsidR="007B3093" w:rsidRDefault="007B3093">
      <w:pPr>
        <w:spacing w:after="0" w:line="360" w:lineRule="auto"/>
        <w:rPr>
          <w:b/>
        </w:rPr>
      </w:pPr>
    </w:p>
    <w:p w14:paraId="2E538259" w14:textId="77777777" w:rsidR="007B3093" w:rsidRDefault="00000000">
      <w:pPr>
        <w:spacing w:after="0" w:line="360" w:lineRule="auto"/>
        <w:jc w:val="center"/>
        <w:rPr>
          <w:b/>
        </w:rPr>
      </w:pPr>
      <w:r>
        <w:rPr>
          <w:b/>
        </w:rPr>
        <w:lastRenderedPageBreak/>
        <w:t>FORTALECIMIENTO INSTITUCIONAL DE LA PROCURADURÍA GENERAL DEL ESTADO</w:t>
      </w:r>
    </w:p>
    <w:p w14:paraId="54BC6394" w14:textId="77777777" w:rsidR="007B3093" w:rsidRDefault="007B3093">
      <w:pPr>
        <w:spacing w:after="0" w:line="360" w:lineRule="auto"/>
        <w:jc w:val="center"/>
        <w:rPr>
          <w:b/>
        </w:rPr>
      </w:pPr>
    </w:p>
    <w:p w14:paraId="5A44F709" w14:textId="77777777" w:rsidR="007B3093" w:rsidRDefault="00000000">
      <w:pPr>
        <w:pStyle w:val="Ttulo2"/>
        <w:numPr>
          <w:ilvl w:val="0"/>
          <w:numId w:val="1"/>
        </w:numPr>
        <w:spacing w:before="0" w:line="360" w:lineRule="auto"/>
        <w:rPr>
          <w:rFonts w:asciiTheme="minorHAnsi" w:hAnsiTheme="minorHAnsi" w:cstheme="minorHAnsi"/>
          <w:b/>
          <w:color w:val="auto"/>
          <w:sz w:val="22"/>
          <w:szCs w:val="22"/>
          <w:lang w:eastAsia="es-EC"/>
        </w:rPr>
      </w:pPr>
      <w:bookmarkStart w:id="0" w:name="_Toc195010036"/>
      <w:r>
        <w:rPr>
          <w:rFonts w:asciiTheme="minorHAnsi" w:hAnsiTheme="minorHAnsi" w:cstheme="minorHAnsi"/>
          <w:b/>
          <w:color w:val="auto"/>
          <w:sz w:val="22"/>
          <w:szCs w:val="22"/>
          <w:lang w:eastAsia="es-EC"/>
        </w:rPr>
        <w:t>DATOS INICIALES DEL PROYECTO</w:t>
      </w:r>
      <w:bookmarkEnd w:id="0"/>
    </w:p>
    <w:p w14:paraId="22C5FF0B" w14:textId="77777777" w:rsidR="007B3093" w:rsidRDefault="007B3093">
      <w:pPr>
        <w:pStyle w:val="Sinespaciado"/>
        <w:rPr>
          <w:lang w:eastAsia="es-EC"/>
        </w:rPr>
      </w:pPr>
    </w:p>
    <w:p w14:paraId="20D61C9E" w14:textId="77777777" w:rsidR="007B3093" w:rsidRDefault="00000000">
      <w:pPr>
        <w:pStyle w:val="Ttulo2"/>
        <w:numPr>
          <w:ilvl w:val="1"/>
          <w:numId w:val="1"/>
        </w:numPr>
        <w:spacing w:before="0" w:line="360" w:lineRule="auto"/>
        <w:ind w:left="426"/>
        <w:rPr>
          <w:rFonts w:asciiTheme="minorHAnsi" w:hAnsiTheme="minorHAnsi" w:cstheme="minorHAnsi"/>
          <w:b/>
          <w:color w:val="auto"/>
          <w:sz w:val="22"/>
          <w:szCs w:val="22"/>
          <w:lang w:eastAsia="es-EC"/>
        </w:rPr>
      </w:pPr>
      <w:bookmarkStart w:id="1" w:name="_Toc195010037"/>
      <w:r>
        <w:rPr>
          <w:rFonts w:asciiTheme="minorHAnsi" w:hAnsiTheme="minorHAnsi" w:cstheme="minorHAnsi"/>
          <w:b/>
          <w:color w:val="auto"/>
          <w:sz w:val="22"/>
          <w:szCs w:val="22"/>
          <w:lang w:eastAsia="es-EC"/>
        </w:rPr>
        <w:t>Tipo de solicitud de dictamen:</w:t>
      </w:r>
      <w:bookmarkEnd w:id="1"/>
      <w:r>
        <w:rPr>
          <w:rFonts w:asciiTheme="minorHAnsi" w:hAnsiTheme="minorHAnsi" w:cstheme="minorHAnsi"/>
          <w:b/>
          <w:color w:val="auto"/>
          <w:sz w:val="22"/>
          <w:szCs w:val="22"/>
          <w:lang w:eastAsia="es-EC"/>
        </w:rPr>
        <w:t xml:space="preserve"> </w:t>
      </w:r>
    </w:p>
    <w:p w14:paraId="5114A826" w14:textId="77777777" w:rsidR="007B3093" w:rsidRDefault="00000000">
      <w:pPr>
        <w:pStyle w:val="Prrafodelista"/>
        <w:spacing w:after="0" w:line="360" w:lineRule="auto"/>
        <w:ind w:left="360"/>
        <w:jc w:val="both"/>
      </w:pPr>
      <w:r>
        <w:t>Actualización para Reprogramación del cronograma valorado dentro del plazo de prioridad (mismo tiempo, mismo monto, proyecto en su año de cierre).</w:t>
      </w:r>
    </w:p>
    <w:p w14:paraId="20838FF9" w14:textId="77777777" w:rsidR="007B3093" w:rsidRDefault="00000000">
      <w:pPr>
        <w:pStyle w:val="Ttulo2"/>
        <w:numPr>
          <w:ilvl w:val="1"/>
          <w:numId w:val="1"/>
        </w:numPr>
        <w:spacing w:before="0" w:line="360" w:lineRule="auto"/>
        <w:ind w:left="426"/>
        <w:rPr>
          <w:rFonts w:asciiTheme="minorHAnsi" w:hAnsiTheme="minorHAnsi" w:cstheme="minorHAnsi"/>
          <w:b/>
          <w:color w:val="auto"/>
          <w:sz w:val="22"/>
          <w:szCs w:val="22"/>
          <w:lang w:eastAsia="es-EC"/>
        </w:rPr>
      </w:pPr>
      <w:r>
        <w:rPr>
          <w:rFonts w:asciiTheme="minorHAnsi" w:hAnsiTheme="minorHAnsi" w:cstheme="minorHAnsi"/>
          <w:b/>
          <w:color w:val="auto"/>
          <w:sz w:val="22"/>
          <w:szCs w:val="22"/>
          <w:lang w:eastAsia="es-EC"/>
        </w:rPr>
        <w:t xml:space="preserve"> </w:t>
      </w:r>
      <w:bookmarkStart w:id="2" w:name="_Toc195010038"/>
      <w:r>
        <w:rPr>
          <w:rFonts w:asciiTheme="minorHAnsi" w:hAnsiTheme="minorHAnsi" w:cstheme="minorHAnsi"/>
          <w:b/>
          <w:color w:val="auto"/>
          <w:sz w:val="22"/>
          <w:szCs w:val="22"/>
          <w:lang w:eastAsia="es-EC"/>
        </w:rPr>
        <w:t>Nombre Proyecto:</w:t>
      </w:r>
      <w:bookmarkEnd w:id="2"/>
    </w:p>
    <w:p w14:paraId="723718F3" w14:textId="77777777" w:rsidR="007B3093" w:rsidRDefault="00000000">
      <w:pPr>
        <w:pStyle w:val="Prrafodelista"/>
        <w:numPr>
          <w:ilvl w:val="0"/>
          <w:numId w:val="31"/>
        </w:numPr>
        <w:spacing w:after="0" w:line="360" w:lineRule="auto"/>
        <w:ind w:left="924" w:hanging="357"/>
      </w:pPr>
      <w:r>
        <w:t>Código único de proyecto (CUP): 195900000.0000.384324</w:t>
      </w:r>
    </w:p>
    <w:p w14:paraId="46C505C8" w14:textId="77777777" w:rsidR="007B3093" w:rsidRDefault="00000000">
      <w:pPr>
        <w:pStyle w:val="Prrafodelista"/>
        <w:numPr>
          <w:ilvl w:val="0"/>
          <w:numId w:val="31"/>
        </w:numPr>
        <w:spacing w:after="0" w:line="360" w:lineRule="auto"/>
        <w:ind w:left="924" w:hanging="357"/>
      </w:pPr>
      <w:r>
        <w:t>Fortalecimiento Institucional de la Procuraduría General del Estado (PROFIP)</w:t>
      </w:r>
    </w:p>
    <w:p w14:paraId="0F7BABE4" w14:textId="77777777" w:rsidR="007B3093" w:rsidRDefault="00000000">
      <w:pPr>
        <w:pStyle w:val="Ttulo2"/>
        <w:numPr>
          <w:ilvl w:val="1"/>
          <w:numId w:val="1"/>
        </w:numPr>
        <w:spacing w:before="0" w:line="360" w:lineRule="auto"/>
        <w:ind w:left="426"/>
        <w:rPr>
          <w:rFonts w:asciiTheme="minorHAnsi" w:hAnsiTheme="minorHAnsi" w:cstheme="minorHAnsi"/>
          <w:b/>
          <w:color w:val="auto"/>
          <w:sz w:val="22"/>
          <w:szCs w:val="22"/>
          <w:lang w:eastAsia="es-EC"/>
        </w:rPr>
      </w:pPr>
      <w:bookmarkStart w:id="3" w:name="_Toc195010039"/>
      <w:r>
        <w:rPr>
          <w:rFonts w:asciiTheme="minorHAnsi" w:hAnsiTheme="minorHAnsi" w:cstheme="minorHAnsi"/>
          <w:b/>
          <w:color w:val="auto"/>
          <w:sz w:val="22"/>
          <w:szCs w:val="22"/>
          <w:lang w:eastAsia="es-EC"/>
        </w:rPr>
        <w:t>Entidad (UDAF):</w:t>
      </w:r>
      <w:bookmarkEnd w:id="3"/>
      <w:r>
        <w:rPr>
          <w:rFonts w:asciiTheme="minorHAnsi" w:hAnsiTheme="minorHAnsi" w:cstheme="minorHAnsi"/>
          <w:b/>
          <w:color w:val="auto"/>
          <w:sz w:val="22"/>
          <w:szCs w:val="22"/>
          <w:lang w:eastAsia="es-EC"/>
        </w:rPr>
        <w:t xml:space="preserve"> </w:t>
      </w:r>
    </w:p>
    <w:p w14:paraId="167E0254" w14:textId="77777777" w:rsidR="007B3093" w:rsidRDefault="00000000">
      <w:pPr>
        <w:spacing w:after="0" w:line="360" w:lineRule="auto"/>
        <w:ind w:firstLine="708"/>
      </w:pPr>
      <w:r>
        <w:t>590 0000 PROCURADURÍA GENERAL DEL ESTADO</w:t>
      </w:r>
    </w:p>
    <w:p w14:paraId="7B2C0257" w14:textId="77777777" w:rsidR="007B3093" w:rsidRDefault="00000000">
      <w:pPr>
        <w:spacing w:after="0" w:line="360" w:lineRule="auto"/>
        <w:ind w:firstLine="708"/>
      </w:pPr>
      <w:r>
        <w:rPr>
          <w:b/>
        </w:rPr>
        <w:t>EOD:</w:t>
      </w:r>
      <w:r>
        <w:t xml:space="preserve"> 590 9999 PLANTA CENTRAL </w:t>
      </w:r>
    </w:p>
    <w:p w14:paraId="6262BBCA" w14:textId="77777777" w:rsidR="007B3093" w:rsidRDefault="00000000">
      <w:pPr>
        <w:pStyle w:val="Ttulo2"/>
        <w:numPr>
          <w:ilvl w:val="1"/>
          <w:numId w:val="1"/>
        </w:numPr>
        <w:spacing w:before="0" w:line="360" w:lineRule="auto"/>
        <w:ind w:left="426"/>
        <w:rPr>
          <w:color w:val="000000" w:themeColor="text1"/>
          <w:sz w:val="22"/>
        </w:rPr>
      </w:pPr>
      <w:bookmarkStart w:id="4" w:name="_Toc195010040"/>
      <w:r>
        <w:rPr>
          <w:rFonts w:asciiTheme="minorHAnsi" w:hAnsiTheme="minorHAnsi" w:cstheme="minorHAnsi"/>
          <w:b/>
          <w:color w:val="auto"/>
          <w:sz w:val="22"/>
          <w:szCs w:val="22"/>
          <w:lang w:eastAsia="es-EC"/>
        </w:rPr>
        <w:t>Entidad operativa desconcentrada (EOD):</w:t>
      </w:r>
      <w:bookmarkEnd w:id="4"/>
      <w:r>
        <w:rPr>
          <w:rFonts w:asciiTheme="minorHAnsi" w:hAnsiTheme="minorHAnsi" w:cstheme="minorHAnsi"/>
          <w:b/>
          <w:color w:val="auto"/>
          <w:sz w:val="22"/>
          <w:szCs w:val="22"/>
          <w:lang w:eastAsia="es-EC"/>
        </w:rPr>
        <w:t xml:space="preserve"> </w:t>
      </w:r>
    </w:p>
    <w:p w14:paraId="00CB1BB7" w14:textId="77777777" w:rsidR="007B3093" w:rsidRDefault="00000000">
      <w:pPr>
        <w:pStyle w:val="Prrafodelista"/>
        <w:spacing w:line="360" w:lineRule="auto"/>
      </w:pPr>
      <w:r>
        <w:t xml:space="preserve">La EOD es la Procuraduría General del Estado: </w:t>
      </w:r>
    </w:p>
    <w:p w14:paraId="0AF2DB1B" w14:textId="77777777" w:rsidR="007B3093" w:rsidRDefault="00000000">
      <w:pPr>
        <w:pStyle w:val="Prrafodelista"/>
        <w:spacing w:line="360" w:lineRule="auto"/>
      </w:pPr>
      <w:r>
        <w:t>1.4.1 Planta Central: 590 9999</w:t>
      </w:r>
    </w:p>
    <w:p w14:paraId="21CC40F3" w14:textId="77777777" w:rsidR="007B3093" w:rsidRDefault="00000000">
      <w:pPr>
        <w:pStyle w:val="Ttulo2"/>
        <w:numPr>
          <w:ilvl w:val="1"/>
          <w:numId w:val="1"/>
        </w:numPr>
        <w:spacing w:before="0" w:line="360" w:lineRule="auto"/>
        <w:ind w:left="426"/>
        <w:rPr>
          <w:rFonts w:asciiTheme="minorHAnsi" w:hAnsiTheme="minorHAnsi" w:cstheme="minorHAnsi"/>
          <w:b/>
          <w:color w:val="auto"/>
          <w:sz w:val="22"/>
          <w:szCs w:val="22"/>
          <w:lang w:eastAsia="es-EC"/>
        </w:rPr>
      </w:pPr>
      <w:bookmarkStart w:id="5" w:name="_Toc195010041"/>
      <w:r>
        <w:rPr>
          <w:rFonts w:asciiTheme="minorHAnsi" w:hAnsiTheme="minorHAnsi" w:cstheme="minorHAnsi"/>
          <w:b/>
          <w:color w:val="auto"/>
          <w:sz w:val="22"/>
          <w:szCs w:val="22"/>
          <w:lang w:eastAsia="es-EC"/>
        </w:rPr>
        <w:t>Gabinete Sectorial:</w:t>
      </w:r>
      <w:bookmarkEnd w:id="5"/>
      <w:r>
        <w:rPr>
          <w:rFonts w:asciiTheme="minorHAnsi" w:hAnsiTheme="minorHAnsi" w:cstheme="minorHAnsi"/>
          <w:b/>
          <w:color w:val="auto"/>
          <w:sz w:val="22"/>
          <w:szCs w:val="22"/>
          <w:lang w:eastAsia="es-EC"/>
        </w:rPr>
        <w:t xml:space="preserve"> </w:t>
      </w:r>
    </w:p>
    <w:p w14:paraId="33E47AB7" w14:textId="77777777" w:rsidR="007B3093" w:rsidRDefault="00000000">
      <w:pPr>
        <w:pStyle w:val="Prrafodelista"/>
      </w:pPr>
      <w:r>
        <w:t>No Aplica</w:t>
      </w:r>
    </w:p>
    <w:p w14:paraId="5F4484CD" w14:textId="77777777" w:rsidR="007B3093" w:rsidRDefault="00000000">
      <w:pPr>
        <w:pStyle w:val="Ttulo2"/>
        <w:numPr>
          <w:ilvl w:val="1"/>
          <w:numId w:val="1"/>
        </w:numPr>
        <w:spacing w:before="0" w:line="360" w:lineRule="auto"/>
        <w:ind w:left="426"/>
        <w:rPr>
          <w:rFonts w:asciiTheme="minorHAnsi" w:hAnsiTheme="minorHAnsi" w:cstheme="minorHAnsi"/>
          <w:b/>
          <w:color w:val="auto"/>
          <w:sz w:val="22"/>
          <w:szCs w:val="22"/>
          <w:lang w:eastAsia="es-EC"/>
        </w:rPr>
      </w:pPr>
      <w:bookmarkStart w:id="6" w:name="_Toc195010042"/>
      <w:r>
        <w:rPr>
          <w:rFonts w:asciiTheme="minorHAnsi" w:hAnsiTheme="minorHAnsi" w:cstheme="minorHAnsi"/>
          <w:b/>
          <w:color w:val="auto"/>
          <w:sz w:val="22"/>
          <w:szCs w:val="22"/>
          <w:lang w:eastAsia="es-EC"/>
        </w:rPr>
        <w:t>Sector, subsector y tipo de inversión:</w:t>
      </w:r>
      <w:bookmarkEnd w:id="6"/>
      <w:r>
        <w:rPr>
          <w:rFonts w:asciiTheme="minorHAnsi" w:hAnsiTheme="minorHAnsi" w:cstheme="minorHAnsi"/>
          <w:b/>
          <w:color w:val="auto"/>
          <w:sz w:val="22"/>
          <w:szCs w:val="22"/>
          <w:lang w:eastAsia="es-EC"/>
        </w:rPr>
        <w:t xml:space="preserve"> </w:t>
      </w:r>
    </w:p>
    <w:p w14:paraId="62A78526" w14:textId="77777777" w:rsidR="007B3093" w:rsidRDefault="00000000">
      <w:pPr>
        <w:rPr>
          <w:b/>
          <w:bCs/>
          <w:sz w:val="24"/>
          <w:szCs w:val="24"/>
          <w:lang w:eastAsia="es-EC"/>
        </w:rPr>
      </w:pPr>
      <w:r>
        <w:rPr>
          <w:b/>
          <w:bCs/>
          <w:sz w:val="24"/>
          <w:szCs w:val="24"/>
          <w:lang w:eastAsia="es-EC"/>
        </w:rPr>
        <w:t xml:space="preserve">                                    Tabla 1. Sector, subsector y tipo de Intervención</w:t>
      </w: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371"/>
        <w:gridCol w:w="1004"/>
        <w:gridCol w:w="2758"/>
        <w:gridCol w:w="2124"/>
      </w:tblGrid>
      <w:tr w:rsidR="007B3093" w14:paraId="5AEE4215" w14:textId="77777777">
        <w:trPr>
          <w:trHeight w:val="57"/>
        </w:trPr>
        <w:tc>
          <w:tcPr>
            <w:tcW w:w="1808" w:type="dxa"/>
            <w:shd w:val="clear" w:color="auto" w:fill="2E74B5" w:themeFill="accent1" w:themeFillShade="BF"/>
          </w:tcPr>
          <w:p w14:paraId="4FABEEB3" w14:textId="77777777" w:rsidR="007B3093" w:rsidRDefault="00000000">
            <w:pPr>
              <w:tabs>
                <w:tab w:val="left" w:pos="845"/>
              </w:tabs>
              <w:jc w:val="center"/>
              <w:rPr>
                <w:b/>
                <w:lang w:val="es-ES"/>
              </w:rPr>
            </w:pPr>
            <w:r>
              <w:rPr>
                <w:lang w:val="es-ES"/>
              </w:rPr>
              <w:t>Macro Sector</w:t>
            </w:r>
          </w:p>
        </w:tc>
        <w:tc>
          <w:tcPr>
            <w:tcW w:w="1371" w:type="dxa"/>
            <w:shd w:val="clear" w:color="auto" w:fill="2E74B5" w:themeFill="accent1" w:themeFillShade="BF"/>
          </w:tcPr>
          <w:p w14:paraId="11F13873" w14:textId="77777777" w:rsidR="007B3093" w:rsidRDefault="00000000">
            <w:pPr>
              <w:tabs>
                <w:tab w:val="left" w:pos="845"/>
              </w:tabs>
              <w:jc w:val="center"/>
              <w:rPr>
                <w:b/>
                <w:lang w:val="es-ES"/>
              </w:rPr>
            </w:pPr>
            <w:r>
              <w:rPr>
                <w:lang w:val="es-ES"/>
              </w:rPr>
              <w:t>Sector</w:t>
            </w:r>
          </w:p>
        </w:tc>
        <w:tc>
          <w:tcPr>
            <w:tcW w:w="1004" w:type="dxa"/>
            <w:shd w:val="clear" w:color="auto" w:fill="2E74B5" w:themeFill="accent1" w:themeFillShade="BF"/>
          </w:tcPr>
          <w:p w14:paraId="6E0F4B12" w14:textId="77777777" w:rsidR="007B3093" w:rsidRDefault="00000000">
            <w:pPr>
              <w:tabs>
                <w:tab w:val="left" w:pos="845"/>
              </w:tabs>
              <w:jc w:val="center"/>
              <w:rPr>
                <w:b/>
                <w:lang w:val="es-ES"/>
              </w:rPr>
            </w:pPr>
            <w:r>
              <w:rPr>
                <w:lang w:val="es-ES"/>
              </w:rPr>
              <w:t>Código</w:t>
            </w:r>
          </w:p>
        </w:tc>
        <w:tc>
          <w:tcPr>
            <w:tcW w:w="2758" w:type="dxa"/>
            <w:shd w:val="clear" w:color="auto" w:fill="2E74B5" w:themeFill="accent1" w:themeFillShade="BF"/>
          </w:tcPr>
          <w:p w14:paraId="5BBFF3B0" w14:textId="77777777" w:rsidR="007B3093" w:rsidRDefault="00000000">
            <w:pPr>
              <w:tabs>
                <w:tab w:val="left" w:pos="845"/>
              </w:tabs>
              <w:jc w:val="center"/>
              <w:rPr>
                <w:b/>
                <w:lang w:val="es-ES"/>
              </w:rPr>
            </w:pPr>
            <w:r>
              <w:rPr>
                <w:lang w:val="es-ES"/>
              </w:rPr>
              <w:t>Subsector</w:t>
            </w:r>
          </w:p>
        </w:tc>
        <w:tc>
          <w:tcPr>
            <w:tcW w:w="2124" w:type="dxa"/>
            <w:shd w:val="clear" w:color="auto" w:fill="2E74B5" w:themeFill="accent1" w:themeFillShade="BF"/>
          </w:tcPr>
          <w:p w14:paraId="6DF49468" w14:textId="77777777" w:rsidR="007B3093" w:rsidRDefault="00000000">
            <w:pPr>
              <w:tabs>
                <w:tab w:val="left" w:pos="845"/>
              </w:tabs>
              <w:jc w:val="center"/>
              <w:rPr>
                <w:b/>
                <w:lang w:val="es-ES"/>
              </w:rPr>
            </w:pPr>
            <w:r>
              <w:rPr>
                <w:lang w:val="es-ES"/>
              </w:rPr>
              <w:t>Tipo de Intervención.</w:t>
            </w:r>
          </w:p>
        </w:tc>
      </w:tr>
      <w:tr w:rsidR="007B3093" w14:paraId="4F5C69DB" w14:textId="77777777">
        <w:trPr>
          <w:trHeight w:val="57"/>
        </w:trPr>
        <w:tc>
          <w:tcPr>
            <w:tcW w:w="1808" w:type="dxa"/>
            <w:shd w:val="clear" w:color="auto" w:fill="auto"/>
          </w:tcPr>
          <w:p w14:paraId="0169F37A" w14:textId="77777777" w:rsidR="007B3093" w:rsidRDefault="00000000">
            <w:pPr>
              <w:tabs>
                <w:tab w:val="left" w:pos="845"/>
              </w:tabs>
              <w:jc w:val="center"/>
              <w:rPr>
                <w:b/>
                <w:lang w:val="es-ES"/>
              </w:rPr>
            </w:pPr>
            <w:r>
              <w:rPr>
                <w:lang w:val="es-ES"/>
              </w:rPr>
              <w:t>Multisectorial</w:t>
            </w:r>
          </w:p>
        </w:tc>
        <w:tc>
          <w:tcPr>
            <w:tcW w:w="1371" w:type="dxa"/>
            <w:shd w:val="clear" w:color="auto" w:fill="auto"/>
          </w:tcPr>
          <w:p w14:paraId="58AE4C9C" w14:textId="77777777" w:rsidR="007B3093" w:rsidRDefault="00000000">
            <w:pPr>
              <w:tabs>
                <w:tab w:val="left" w:pos="845"/>
              </w:tabs>
              <w:jc w:val="center"/>
              <w:rPr>
                <w:lang w:val="es-ES"/>
              </w:rPr>
            </w:pPr>
            <w:r>
              <w:rPr>
                <w:lang w:val="es-ES"/>
              </w:rPr>
              <w:t>Planificación y Regulación</w:t>
            </w:r>
          </w:p>
        </w:tc>
        <w:tc>
          <w:tcPr>
            <w:tcW w:w="1004" w:type="dxa"/>
            <w:shd w:val="clear" w:color="auto" w:fill="auto"/>
          </w:tcPr>
          <w:p w14:paraId="31BDECD8" w14:textId="77777777" w:rsidR="007B3093" w:rsidRDefault="00000000">
            <w:pPr>
              <w:tabs>
                <w:tab w:val="left" w:pos="845"/>
              </w:tabs>
              <w:jc w:val="center"/>
              <w:rPr>
                <w:lang w:val="es-ES"/>
              </w:rPr>
            </w:pPr>
            <w:r>
              <w:rPr>
                <w:lang w:val="es-ES"/>
              </w:rPr>
              <w:t>D1801</w:t>
            </w:r>
          </w:p>
        </w:tc>
        <w:tc>
          <w:tcPr>
            <w:tcW w:w="2758" w:type="dxa"/>
            <w:shd w:val="clear" w:color="auto" w:fill="auto"/>
          </w:tcPr>
          <w:p w14:paraId="5E33D62F" w14:textId="77777777" w:rsidR="007B3093" w:rsidRDefault="00000000">
            <w:pPr>
              <w:tabs>
                <w:tab w:val="left" w:pos="845"/>
              </w:tabs>
              <w:jc w:val="center"/>
              <w:rPr>
                <w:lang w:val="es-ES"/>
              </w:rPr>
            </w:pPr>
            <w:r>
              <w:rPr>
                <w:lang w:val="es-ES"/>
              </w:rPr>
              <w:t>Administración, Planificación y Regulación</w:t>
            </w:r>
          </w:p>
        </w:tc>
        <w:tc>
          <w:tcPr>
            <w:tcW w:w="2124" w:type="dxa"/>
            <w:shd w:val="clear" w:color="auto" w:fill="auto"/>
          </w:tcPr>
          <w:p w14:paraId="05ACC05D" w14:textId="77777777" w:rsidR="007B3093" w:rsidRDefault="00000000">
            <w:pPr>
              <w:tabs>
                <w:tab w:val="left" w:pos="845"/>
              </w:tabs>
              <w:jc w:val="center"/>
              <w:rPr>
                <w:lang w:val="es-ES"/>
              </w:rPr>
            </w:pPr>
            <w:r>
              <w:rPr>
                <w:lang w:val="es-ES"/>
              </w:rPr>
              <w:t>T06 Fortalecimiento Institucional</w:t>
            </w:r>
          </w:p>
        </w:tc>
      </w:tr>
    </w:tbl>
    <w:p w14:paraId="2755C7A2" w14:textId="77777777" w:rsidR="007B3093" w:rsidRDefault="00000000">
      <w:pPr>
        <w:rPr>
          <w:sz w:val="18"/>
          <w:lang w:eastAsia="es-EC"/>
        </w:rPr>
      </w:pPr>
      <w:r>
        <w:rPr>
          <w:sz w:val="18"/>
          <w:lang w:eastAsia="es-EC"/>
        </w:rPr>
        <w:t>Elaboración:  EDG PROFIP</w:t>
      </w:r>
    </w:p>
    <w:p w14:paraId="20D859DC" w14:textId="77777777" w:rsidR="007B3093" w:rsidRDefault="007B3093">
      <w:pPr>
        <w:rPr>
          <w:sz w:val="18"/>
          <w:lang w:eastAsia="es-EC"/>
        </w:rPr>
      </w:pPr>
    </w:p>
    <w:p w14:paraId="26FC15C1" w14:textId="77777777" w:rsidR="007B3093" w:rsidRDefault="00000000">
      <w:pPr>
        <w:pStyle w:val="Ttulo2"/>
        <w:numPr>
          <w:ilvl w:val="1"/>
          <w:numId w:val="1"/>
        </w:numPr>
        <w:spacing w:before="0" w:line="360" w:lineRule="auto"/>
        <w:ind w:left="426"/>
        <w:rPr>
          <w:rFonts w:asciiTheme="minorHAnsi" w:hAnsiTheme="minorHAnsi" w:cstheme="minorHAnsi"/>
          <w:b/>
          <w:color w:val="auto"/>
          <w:sz w:val="22"/>
          <w:szCs w:val="22"/>
          <w:lang w:eastAsia="es-EC"/>
        </w:rPr>
      </w:pPr>
      <w:bookmarkStart w:id="7" w:name="_Toc195010043"/>
      <w:r>
        <w:rPr>
          <w:rFonts w:asciiTheme="minorHAnsi" w:hAnsiTheme="minorHAnsi" w:cstheme="minorHAnsi"/>
          <w:b/>
          <w:color w:val="auto"/>
          <w:sz w:val="22"/>
          <w:szCs w:val="22"/>
          <w:lang w:eastAsia="es-EC"/>
        </w:rPr>
        <w:t>Plazo de ejecución:</w:t>
      </w:r>
      <w:bookmarkEnd w:id="7"/>
      <w:r>
        <w:rPr>
          <w:rFonts w:asciiTheme="minorHAnsi" w:hAnsiTheme="minorHAnsi" w:cstheme="minorHAnsi"/>
          <w:b/>
          <w:color w:val="auto"/>
          <w:sz w:val="22"/>
          <w:szCs w:val="22"/>
          <w:lang w:eastAsia="es-EC"/>
        </w:rPr>
        <w:t xml:space="preserve"> </w:t>
      </w:r>
    </w:p>
    <w:p w14:paraId="2FDB55DF" w14:textId="77777777" w:rsidR="007B3093" w:rsidRDefault="00000000">
      <w:pPr>
        <w:pStyle w:val="Prrafodelista"/>
        <w:spacing w:line="360" w:lineRule="auto"/>
        <w:ind w:left="425"/>
        <w:jc w:val="both"/>
        <w:rPr>
          <w:lang w:eastAsia="es-EC"/>
        </w:rPr>
      </w:pPr>
      <w:r>
        <w:rPr>
          <w:lang w:eastAsia="es-EC"/>
        </w:rPr>
        <w:t>El plazo de ejecución del proyecto es de 6 años 7 meses, iniciando en junio del año 2019, hasta diciembre de 2025, conforme los acuerdos con el financista y dictamen vigente.</w:t>
      </w:r>
    </w:p>
    <w:p w14:paraId="0C7A0DCD" w14:textId="77777777" w:rsidR="007B3093" w:rsidRDefault="007B3093">
      <w:pPr>
        <w:pStyle w:val="Prrafodelista"/>
        <w:spacing w:line="360" w:lineRule="auto"/>
        <w:ind w:left="425"/>
        <w:jc w:val="both"/>
        <w:rPr>
          <w:lang w:eastAsia="es-EC"/>
        </w:rPr>
      </w:pPr>
    </w:p>
    <w:p w14:paraId="41703762" w14:textId="77777777" w:rsidR="007B3093" w:rsidRDefault="00000000">
      <w:pPr>
        <w:pStyle w:val="Prrafodelista"/>
        <w:spacing w:line="360" w:lineRule="auto"/>
        <w:ind w:left="425"/>
        <w:jc w:val="both"/>
      </w:pPr>
      <w:r>
        <w:t xml:space="preserve">Es necesario señalar que debido a que el Proyecto de la PGE se ancla en el componente 3 del “Programa de Modernización de la Administración Financiera”, en calidad de </w:t>
      </w:r>
      <w:proofErr w:type="spellStart"/>
      <w:r>
        <w:t>coejecutor</w:t>
      </w:r>
      <w:proofErr w:type="spellEnd"/>
      <w:r>
        <w:t>; está sujeto a la entrega progresiva de recursos anuales por parte de este organismo (BID), por medio del ejecutor Ministerio de Economía y Finanzas MEF.</w:t>
      </w:r>
    </w:p>
    <w:p w14:paraId="09097024" w14:textId="77777777" w:rsidR="007B3093" w:rsidRDefault="00000000">
      <w:pPr>
        <w:pStyle w:val="Ttulo2"/>
        <w:numPr>
          <w:ilvl w:val="1"/>
          <w:numId w:val="1"/>
        </w:numPr>
        <w:spacing w:before="0" w:line="360" w:lineRule="auto"/>
        <w:ind w:left="426"/>
        <w:rPr>
          <w:rFonts w:asciiTheme="minorHAnsi" w:hAnsiTheme="minorHAnsi" w:cstheme="minorHAnsi"/>
          <w:b/>
          <w:color w:val="auto"/>
          <w:sz w:val="22"/>
          <w:szCs w:val="22"/>
          <w:lang w:eastAsia="es-EC"/>
        </w:rPr>
      </w:pPr>
      <w:bookmarkStart w:id="8" w:name="_Toc195010044"/>
      <w:r>
        <w:rPr>
          <w:rFonts w:asciiTheme="minorHAnsi" w:hAnsiTheme="minorHAnsi" w:cstheme="minorHAnsi"/>
          <w:b/>
          <w:color w:val="auto"/>
          <w:sz w:val="22"/>
          <w:szCs w:val="22"/>
          <w:lang w:eastAsia="es-EC"/>
        </w:rPr>
        <w:lastRenderedPageBreak/>
        <w:t>Monto Total:</w:t>
      </w:r>
      <w:bookmarkEnd w:id="8"/>
      <w:r>
        <w:rPr>
          <w:rFonts w:asciiTheme="minorHAnsi" w:hAnsiTheme="minorHAnsi" w:cstheme="minorHAnsi"/>
          <w:b/>
          <w:color w:val="auto"/>
          <w:sz w:val="22"/>
          <w:szCs w:val="22"/>
          <w:lang w:eastAsia="es-EC"/>
        </w:rPr>
        <w:t xml:space="preserve"> </w:t>
      </w:r>
    </w:p>
    <w:p w14:paraId="4A1FB7C5" w14:textId="77777777" w:rsidR="007B3093" w:rsidRDefault="00000000">
      <w:pPr>
        <w:ind w:firstLine="426"/>
        <w:rPr>
          <w:b/>
          <w:lang w:eastAsia="es-EC"/>
        </w:rPr>
      </w:pPr>
      <w:r>
        <w:rPr>
          <w:lang w:eastAsia="es-EC"/>
        </w:rPr>
        <w:t>El monto total de la inversión es de USD 5.174.795,49</w:t>
      </w:r>
    </w:p>
    <w:p w14:paraId="3DD9DE3A" w14:textId="77777777" w:rsidR="007B3093" w:rsidRDefault="00000000">
      <w:pPr>
        <w:ind w:left="426"/>
      </w:pPr>
      <w:r>
        <w:rPr>
          <w:b/>
        </w:rPr>
        <w:t>Financiamiento fuente BID:</w:t>
      </w:r>
      <w:r>
        <w:t xml:space="preserve"> USD 5.160.020,91 (Crédito, según numeral 4.33 del programa BID)</w:t>
      </w:r>
    </w:p>
    <w:p w14:paraId="6A2F32DB" w14:textId="77777777" w:rsidR="007B3093" w:rsidRDefault="00000000">
      <w:pPr>
        <w:ind w:left="426"/>
      </w:pPr>
      <w:r>
        <w:rPr>
          <w:b/>
        </w:rPr>
        <w:t>Financiamiento fuente Fiscal:</w:t>
      </w:r>
      <w:r>
        <w:t xml:space="preserve"> USD 14.774,58 (Corresponde a actividades realizadas en el año 2019)</w:t>
      </w:r>
    </w:p>
    <w:p w14:paraId="2FBEE8F5" w14:textId="77777777" w:rsidR="007B3093" w:rsidRDefault="00000000">
      <w:pPr>
        <w:ind w:firstLine="360"/>
        <w:rPr>
          <w:bCs/>
        </w:rPr>
      </w:pPr>
      <w:r>
        <w:rPr>
          <w:bCs/>
        </w:rPr>
        <w:t>Detalle de la ejecución hasta 2024 y programación 2025 en la siguiente tabla:</w:t>
      </w:r>
    </w:p>
    <w:p w14:paraId="49FBB9F9" w14:textId="77777777" w:rsidR="007B3093" w:rsidRDefault="00000000">
      <w:pPr>
        <w:ind w:left="1416" w:firstLine="708"/>
        <w:rPr>
          <w:b/>
          <w:bCs/>
          <w:sz w:val="24"/>
          <w:szCs w:val="24"/>
          <w:lang w:eastAsia="es-EC"/>
        </w:rPr>
      </w:pPr>
      <w:r>
        <w:rPr>
          <w:b/>
          <w:bCs/>
          <w:sz w:val="24"/>
          <w:szCs w:val="24"/>
          <w:lang w:eastAsia="es-EC"/>
        </w:rPr>
        <w:t>Tabla 2. Monto proyecto por fuentes y años</w:t>
      </w:r>
    </w:p>
    <w:tbl>
      <w:tblPr>
        <w:tblW w:w="8338" w:type="dxa"/>
        <w:tblCellMar>
          <w:left w:w="70" w:type="dxa"/>
          <w:right w:w="70" w:type="dxa"/>
        </w:tblCellMar>
        <w:tblLook w:val="04A0" w:firstRow="1" w:lastRow="0" w:firstColumn="1" w:lastColumn="0" w:noHBand="0" w:noVBand="1"/>
      </w:tblPr>
      <w:tblGrid>
        <w:gridCol w:w="1128"/>
        <w:gridCol w:w="1590"/>
        <w:gridCol w:w="1497"/>
        <w:gridCol w:w="1612"/>
        <w:gridCol w:w="1221"/>
        <w:gridCol w:w="1290"/>
      </w:tblGrid>
      <w:tr w:rsidR="007B3093" w14:paraId="5A4F128C" w14:textId="77777777">
        <w:trPr>
          <w:trHeight w:val="312"/>
        </w:trPr>
        <w:tc>
          <w:tcPr>
            <w:tcW w:w="1128"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591A5D6C" w14:textId="77777777" w:rsidR="007B3093" w:rsidRDefault="00000000">
            <w:pPr>
              <w:spacing w:after="0" w:line="240" w:lineRule="auto"/>
              <w:jc w:val="center"/>
              <w:rPr>
                <w:rFonts w:ascii="Calibri" w:eastAsia="Times New Roman" w:hAnsi="Calibri" w:cs="Calibri"/>
                <w:b/>
                <w:bCs/>
                <w:color w:val="FFFFFF"/>
                <w:sz w:val="20"/>
                <w:szCs w:val="20"/>
                <w:lang w:eastAsia="es-EC"/>
              </w:rPr>
            </w:pPr>
            <w:r>
              <w:rPr>
                <w:rFonts w:ascii="Calibri" w:eastAsia="Times New Roman" w:hAnsi="Calibri" w:cs="Calibri"/>
                <w:b/>
                <w:bCs/>
                <w:color w:val="FFFFFF"/>
                <w:sz w:val="20"/>
                <w:szCs w:val="20"/>
                <w:lang w:eastAsia="es-EC"/>
              </w:rPr>
              <w:t>AÑO</w:t>
            </w:r>
          </w:p>
        </w:tc>
        <w:tc>
          <w:tcPr>
            <w:tcW w:w="1590" w:type="dxa"/>
            <w:tcBorders>
              <w:top w:val="single" w:sz="4" w:space="0" w:color="auto"/>
              <w:left w:val="nil"/>
              <w:bottom w:val="single" w:sz="4" w:space="0" w:color="auto"/>
              <w:right w:val="single" w:sz="4" w:space="0" w:color="auto"/>
            </w:tcBorders>
            <w:shd w:val="clear" w:color="000000" w:fill="538DD5"/>
            <w:noWrap/>
            <w:vAlign w:val="center"/>
            <w:hideMark/>
          </w:tcPr>
          <w:p w14:paraId="637EDB83" w14:textId="77777777" w:rsidR="007B3093" w:rsidRDefault="00000000">
            <w:pPr>
              <w:spacing w:after="0" w:line="240" w:lineRule="auto"/>
              <w:jc w:val="center"/>
              <w:rPr>
                <w:rFonts w:ascii="Calibri" w:eastAsia="Times New Roman" w:hAnsi="Calibri" w:cs="Calibri"/>
                <w:b/>
                <w:bCs/>
                <w:color w:val="FFFFFF"/>
                <w:sz w:val="20"/>
                <w:szCs w:val="20"/>
                <w:lang w:eastAsia="es-EC"/>
              </w:rPr>
            </w:pPr>
            <w:r>
              <w:rPr>
                <w:rFonts w:ascii="Calibri" w:eastAsia="Times New Roman" w:hAnsi="Calibri" w:cs="Calibri"/>
                <w:b/>
                <w:bCs/>
                <w:color w:val="FFFFFF"/>
                <w:sz w:val="20"/>
                <w:szCs w:val="20"/>
                <w:lang w:eastAsia="es-EC"/>
              </w:rPr>
              <w:t>FTE. BID</w:t>
            </w:r>
          </w:p>
        </w:tc>
        <w:tc>
          <w:tcPr>
            <w:tcW w:w="1497" w:type="dxa"/>
            <w:tcBorders>
              <w:top w:val="single" w:sz="4" w:space="0" w:color="auto"/>
              <w:left w:val="nil"/>
              <w:bottom w:val="single" w:sz="4" w:space="0" w:color="auto"/>
              <w:right w:val="single" w:sz="4" w:space="0" w:color="auto"/>
            </w:tcBorders>
            <w:shd w:val="clear" w:color="000000" w:fill="538DD5"/>
            <w:noWrap/>
            <w:vAlign w:val="center"/>
            <w:hideMark/>
          </w:tcPr>
          <w:p w14:paraId="14B82448" w14:textId="77777777" w:rsidR="007B3093" w:rsidRDefault="00000000">
            <w:pPr>
              <w:spacing w:after="0" w:line="240" w:lineRule="auto"/>
              <w:jc w:val="center"/>
              <w:rPr>
                <w:rFonts w:ascii="Calibri" w:eastAsia="Times New Roman" w:hAnsi="Calibri" w:cs="Calibri"/>
                <w:b/>
                <w:bCs/>
                <w:color w:val="FFFFFF"/>
                <w:sz w:val="20"/>
                <w:szCs w:val="20"/>
                <w:lang w:eastAsia="es-EC"/>
              </w:rPr>
            </w:pPr>
            <w:r>
              <w:rPr>
                <w:rFonts w:ascii="Calibri" w:eastAsia="Times New Roman" w:hAnsi="Calibri" w:cs="Calibri"/>
                <w:b/>
                <w:bCs/>
                <w:color w:val="FFFFFF"/>
                <w:sz w:val="20"/>
                <w:szCs w:val="20"/>
                <w:lang w:eastAsia="es-EC"/>
              </w:rPr>
              <w:t>FTE. FISCAL</w:t>
            </w:r>
          </w:p>
        </w:tc>
        <w:tc>
          <w:tcPr>
            <w:tcW w:w="1612" w:type="dxa"/>
            <w:tcBorders>
              <w:top w:val="single" w:sz="4" w:space="0" w:color="auto"/>
              <w:left w:val="nil"/>
              <w:bottom w:val="single" w:sz="4" w:space="0" w:color="auto"/>
              <w:right w:val="single" w:sz="4" w:space="0" w:color="auto"/>
            </w:tcBorders>
            <w:shd w:val="clear" w:color="000000" w:fill="538DD5"/>
            <w:noWrap/>
            <w:vAlign w:val="center"/>
            <w:hideMark/>
          </w:tcPr>
          <w:p w14:paraId="7754A303" w14:textId="77777777" w:rsidR="007B3093" w:rsidRDefault="00000000">
            <w:pPr>
              <w:spacing w:after="0" w:line="240" w:lineRule="auto"/>
              <w:jc w:val="center"/>
              <w:rPr>
                <w:rFonts w:ascii="Calibri" w:eastAsia="Times New Roman" w:hAnsi="Calibri" w:cs="Calibri"/>
                <w:b/>
                <w:bCs/>
                <w:color w:val="FFFFFF"/>
                <w:sz w:val="20"/>
                <w:szCs w:val="20"/>
                <w:lang w:eastAsia="es-EC"/>
              </w:rPr>
            </w:pPr>
            <w:r>
              <w:rPr>
                <w:rFonts w:ascii="Calibri" w:eastAsia="Times New Roman" w:hAnsi="Calibri" w:cs="Calibri"/>
                <w:b/>
                <w:bCs/>
                <w:color w:val="FFFFFF"/>
                <w:sz w:val="20"/>
                <w:szCs w:val="20"/>
                <w:lang w:eastAsia="es-EC"/>
              </w:rPr>
              <w:t>TOTAL</w:t>
            </w:r>
          </w:p>
        </w:tc>
        <w:tc>
          <w:tcPr>
            <w:tcW w:w="1221" w:type="dxa"/>
            <w:tcBorders>
              <w:top w:val="single" w:sz="4" w:space="0" w:color="auto"/>
              <w:left w:val="nil"/>
              <w:bottom w:val="single" w:sz="4" w:space="0" w:color="auto"/>
              <w:right w:val="single" w:sz="4" w:space="0" w:color="auto"/>
            </w:tcBorders>
            <w:shd w:val="clear" w:color="000000" w:fill="538DD5"/>
            <w:noWrap/>
            <w:vAlign w:val="center"/>
            <w:hideMark/>
          </w:tcPr>
          <w:p w14:paraId="04FEA786" w14:textId="77777777" w:rsidR="007B3093" w:rsidRDefault="00000000">
            <w:pPr>
              <w:spacing w:after="0" w:line="240" w:lineRule="auto"/>
              <w:jc w:val="center"/>
              <w:rPr>
                <w:rFonts w:ascii="Calibri" w:eastAsia="Times New Roman" w:hAnsi="Calibri" w:cs="Calibri"/>
                <w:b/>
                <w:bCs/>
                <w:color w:val="FFFFFF"/>
                <w:sz w:val="20"/>
                <w:szCs w:val="20"/>
                <w:lang w:eastAsia="es-EC"/>
              </w:rPr>
            </w:pPr>
            <w:r>
              <w:rPr>
                <w:rFonts w:ascii="Calibri" w:eastAsia="Times New Roman" w:hAnsi="Calibri" w:cs="Calibri"/>
                <w:b/>
                <w:bCs/>
                <w:color w:val="FFFFFF"/>
                <w:sz w:val="20"/>
                <w:szCs w:val="20"/>
                <w:lang w:eastAsia="es-EC"/>
              </w:rPr>
              <w:t>% EJEC.</w:t>
            </w:r>
          </w:p>
        </w:tc>
        <w:tc>
          <w:tcPr>
            <w:tcW w:w="1290" w:type="dxa"/>
            <w:tcBorders>
              <w:top w:val="single" w:sz="4" w:space="0" w:color="auto"/>
              <w:left w:val="nil"/>
              <w:bottom w:val="single" w:sz="4" w:space="0" w:color="auto"/>
              <w:right w:val="single" w:sz="4" w:space="0" w:color="auto"/>
            </w:tcBorders>
            <w:shd w:val="clear" w:color="000000" w:fill="538DD5"/>
            <w:noWrap/>
            <w:vAlign w:val="center"/>
            <w:hideMark/>
          </w:tcPr>
          <w:p w14:paraId="386D75DB" w14:textId="77777777" w:rsidR="007B3093" w:rsidRDefault="00000000">
            <w:pPr>
              <w:spacing w:after="0" w:line="240" w:lineRule="auto"/>
              <w:jc w:val="center"/>
              <w:rPr>
                <w:rFonts w:ascii="Calibri" w:eastAsia="Times New Roman" w:hAnsi="Calibri" w:cs="Calibri"/>
                <w:b/>
                <w:bCs/>
                <w:color w:val="FFFFFF"/>
                <w:sz w:val="20"/>
                <w:szCs w:val="20"/>
                <w:lang w:eastAsia="es-EC"/>
              </w:rPr>
            </w:pPr>
            <w:r>
              <w:rPr>
                <w:rFonts w:ascii="Calibri" w:eastAsia="Times New Roman" w:hAnsi="Calibri" w:cs="Calibri"/>
                <w:b/>
                <w:bCs/>
                <w:color w:val="FFFFFF"/>
                <w:sz w:val="20"/>
                <w:szCs w:val="20"/>
                <w:lang w:eastAsia="es-EC"/>
              </w:rPr>
              <w:t>EJEC. ACUM.</w:t>
            </w:r>
          </w:p>
        </w:tc>
      </w:tr>
      <w:tr w:rsidR="007B3093" w14:paraId="1202414E" w14:textId="77777777">
        <w:trPr>
          <w:trHeight w:val="312"/>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26876359"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2019</w:t>
            </w:r>
          </w:p>
        </w:tc>
        <w:tc>
          <w:tcPr>
            <w:tcW w:w="1590" w:type="dxa"/>
            <w:tcBorders>
              <w:top w:val="nil"/>
              <w:left w:val="nil"/>
              <w:bottom w:val="single" w:sz="4" w:space="0" w:color="auto"/>
              <w:right w:val="single" w:sz="4" w:space="0" w:color="auto"/>
            </w:tcBorders>
            <w:shd w:val="clear" w:color="auto" w:fill="auto"/>
            <w:noWrap/>
            <w:vAlign w:val="center"/>
            <w:hideMark/>
          </w:tcPr>
          <w:p w14:paraId="32FB02AF"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   </w:t>
            </w:r>
          </w:p>
        </w:tc>
        <w:tc>
          <w:tcPr>
            <w:tcW w:w="1497" w:type="dxa"/>
            <w:tcBorders>
              <w:top w:val="nil"/>
              <w:left w:val="nil"/>
              <w:bottom w:val="single" w:sz="4" w:space="0" w:color="auto"/>
              <w:right w:val="single" w:sz="4" w:space="0" w:color="auto"/>
            </w:tcBorders>
            <w:shd w:val="clear" w:color="auto" w:fill="auto"/>
            <w:noWrap/>
            <w:vAlign w:val="center"/>
            <w:hideMark/>
          </w:tcPr>
          <w:p w14:paraId="62A2B3A3"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14.774,58 </w:t>
            </w:r>
          </w:p>
        </w:tc>
        <w:tc>
          <w:tcPr>
            <w:tcW w:w="1612" w:type="dxa"/>
            <w:tcBorders>
              <w:top w:val="nil"/>
              <w:left w:val="nil"/>
              <w:bottom w:val="single" w:sz="4" w:space="0" w:color="auto"/>
              <w:right w:val="single" w:sz="4" w:space="0" w:color="auto"/>
            </w:tcBorders>
            <w:shd w:val="clear" w:color="auto" w:fill="auto"/>
            <w:noWrap/>
            <w:vAlign w:val="center"/>
            <w:hideMark/>
          </w:tcPr>
          <w:p w14:paraId="16D259AC"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14.774,58 </w:t>
            </w:r>
          </w:p>
        </w:tc>
        <w:tc>
          <w:tcPr>
            <w:tcW w:w="1221" w:type="dxa"/>
            <w:tcBorders>
              <w:top w:val="nil"/>
              <w:left w:val="nil"/>
              <w:bottom w:val="single" w:sz="4" w:space="0" w:color="auto"/>
              <w:right w:val="single" w:sz="4" w:space="0" w:color="auto"/>
            </w:tcBorders>
            <w:shd w:val="clear" w:color="auto" w:fill="auto"/>
            <w:vAlign w:val="center"/>
            <w:hideMark/>
          </w:tcPr>
          <w:p w14:paraId="1EC6CCB7"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0,29 </w:t>
            </w:r>
          </w:p>
        </w:tc>
        <w:tc>
          <w:tcPr>
            <w:tcW w:w="1290" w:type="dxa"/>
            <w:tcBorders>
              <w:top w:val="nil"/>
              <w:left w:val="nil"/>
              <w:bottom w:val="single" w:sz="4" w:space="0" w:color="auto"/>
              <w:right w:val="single" w:sz="4" w:space="0" w:color="auto"/>
            </w:tcBorders>
            <w:shd w:val="clear" w:color="auto" w:fill="auto"/>
            <w:vAlign w:val="center"/>
            <w:hideMark/>
          </w:tcPr>
          <w:p w14:paraId="4BA848EB"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0,29 </w:t>
            </w:r>
          </w:p>
        </w:tc>
      </w:tr>
      <w:tr w:rsidR="007B3093" w14:paraId="77BC201C" w14:textId="77777777">
        <w:trPr>
          <w:trHeight w:val="312"/>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7B901052"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2020</w:t>
            </w:r>
          </w:p>
        </w:tc>
        <w:tc>
          <w:tcPr>
            <w:tcW w:w="1590" w:type="dxa"/>
            <w:tcBorders>
              <w:top w:val="nil"/>
              <w:left w:val="nil"/>
              <w:bottom w:val="single" w:sz="4" w:space="0" w:color="auto"/>
              <w:right w:val="single" w:sz="4" w:space="0" w:color="auto"/>
            </w:tcBorders>
            <w:shd w:val="clear" w:color="auto" w:fill="auto"/>
            <w:noWrap/>
            <w:vAlign w:val="center"/>
            <w:hideMark/>
          </w:tcPr>
          <w:p w14:paraId="60CF0276"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263.644,43 </w:t>
            </w:r>
          </w:p>
        </w:tc>
        <w:tc>
          <w:tcPr>
            <w:tcW w:w="1497" w:type="dxa"/>
            <w:tcBorders>
              <w:top w:val="nil"/>
              <w:left w:val="nil"/>
              <w:bottom w:val="single" w:sz="4" w:space="0" w:color="auto"/>
              <w:right w:val="single" w:sz="4" w:space="0" w:color="auto"/>
            </w:tcBorders>
            <w:shd w:val="clear" w:color="auto" w:fill="auto"/>
            <w:noWrap/>
            <w:vAlign w:val="center"/>
            <w:hideMark/>
          </w:tcPr>
          <w:p w14:paraId="009E5FA2"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   </w:t>
            </w:r>
          </w:p>
        </w:tc>
        <w:tc>
          <w:tcPr>
            <w:tcW w:w="1612" w:type="dxa"/>
            <w:tcBorders>
              <w:top w:val="nil"/>
              <w:left w:val="nil"/>
              <w:bottom w:val="single" w:sz="4" w:space="0" w:color="auto"/>
              <w:right w:val="single" w:sz="4" w:space="0" w:color="auto"/>
            </w:tcBorders>
            <w:shd w:val="clear" w:color="auto" w:fill="auto"/>
            <w:noWrap/>
            <w:vAlign w:val="center"/>
            <w:hideMark/>
          </w:tcPr>
          <w:p w14:paraId="56C77981"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263.644,43 </w:t>
            </w:r>
          </w:p>
        </w:tc>
        <w:tc>
          <w:tcPr>
            <w:tcW w:w="1221" w:type="dxa"/>
            <w:tcBorders>
              <w:top w:val="nil"/>
              <w:left w:val="nil"/>
              <w:bottom w:val="single" w:sz="4" w:space="0" w:color="auto"/>
              <w:right w:val="single" w:sz="4" w:space="0" w:color="auto"/>
            </w:tcBorders>
            <w:shd w:val="clear" w:color="auto" w:fill="auto"/>
            <w:vAlign w:val="center"/>
            <w:hideMark/>
          </w:tcPr>
          <w:p w14:paraId="3D8D37C9"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5,09 </w:t>
            </w:r>
          </w:p>
        </w:tc>
        <w:tc>
          <w:tcPr>
            <w:tcW w:w="1290" w:type="dxa"/>
            <w:tcBorders>
              <w:top w:val="nil"/>
              <w:left w:val="nil"/>
              <w:bottom w:val="single" w:sz="4" w:space="0" w:color="auto"/>
              <w:right w:val="single" w:sz="4" w:space="0" w:color="auto"/>
            </w:tcBorders>
            <w:shd w:val="clear" w:color="auto" w:fill="auto"/>
            <w:vAlign w:val="center"/>
            <w:hideMark/>
          </w:tcPr>
          <w:p w14:paraId="6DA1EADD"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5,38 </w:t>
            </w:r>
          </w:p>
        </w:tc>
      </w:tr>
      <w:tr w:rsidR="007B3093" w14:paraId="4526CD42" w14:textId="77777777">
        <w:trPr>
          <w:trHeight w:val="312"/>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0728CDE2"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2021</w:t>
            </w:r>
          </w:p>
        </w:tc>
        <w:tc>
          <w:tcPr>
            <w:tcW w:w="1590" w:type="dxa"/>
            <w:tcBorders>
              <w:top w:val="nil"/>
              <w:left w:val="nil"/>
              <w:bottom w:val="single" w:sz="4" w:space="0" w:color="auto"/>
              <w:right w:val="single" w:sz="4" w:space="0" w:color="auto"/>
            </w:tcBorders>
            <w:shd w:val="clear" w:color="auto" w:fill="auto"/>
            <w:noWrap/>
            <w:vAlign w:val="center"/>
            <w:hideMark/>
          </w:tcPr>
          <w:p w14:paraId="436F0662"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621.140,14 </w:t>
            </w:r>
          </w:p>
        </w:tc>
        <w:tc>
          <w:tcPr>
            <w:tcW w:w="1497" w:type="dxa"/>
            <w:tcBorders>
              <w:top w:val="nil"/>
              <w:left w:val="nil"/>
              <w:bottom w:val="single" w:sz="4" w:space="0" w:color="auto"/>
              <w:right w:val="single" w:sz="4" w:space="0" w:color="auto"/>
            </w:tcBorders>
            <w:shd w:val="clear" w:color="auto" w:fill="auto"/>
            <w:noWrap/>
            <w:vAlign w:val="center"/>
            <w:hideMark/>
          </w:tcPr>
          <w:p w14:paraId="1554A8AF"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   </w:t>
            </w:r>
          </w:p>
        </w:tc>
        <w:tc>
          <w:tcPr>
            <w:tcW w:w="1612" w:type="dxa"/>
            <w:tcBorders>
              <w:top w:val="nil"/>
              <w:left w:val="nil"/>
              <w:bottom w:val="single" w:sz="4" w:space="0" w:color="auto"/>
              <w:right w:val="single" w:sz="4" w:space="0" w:color="auto"/>
            </w:tcBorders>
            <w:shd w:val="clear" w:color="auto" w:fill="auto"/>
            <w:noWrap/>
            <w:vAlign w:val="center"/>
            <w:hideMark/>
          </w:tcPr>
          <w:p w14:paraId="6BD7F533"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621.140,14 </w:t>
            </w:r>
          </w:p>
        </w:tc>
        <w:tc>
          <w:tcPr>
            <w:tcW w:w="1221" w:type="dxa"/>
            <w:tcBorders>
              <w:top w:val="nil"/>
              <w:left w:val="nil"/>
              <w:bottom w:val="single" w:sz="4" w:space="0" w:color="auto"/>
              <w:right w:val="single" w:sz="4" w:space="0" w:color="auto"/>
            </w:tcBorders>
            <w:shd w:val="clear" w:color="auto" w:fill="auto"/>
            <w:vAlign w:val="center"/>
            <w:hideMark/>
          </w:tcPr>
          <w:p w14:paraId="56E68523"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12,00 </w:t>
            </w:r>
          </w:p>
        </w:tc>
        <w:tc>
          <w:tcPr>
            <w:tcW w:w="1290" w:type="dxa"/>
            <w:tcBorders>
              <w:top w:val="nil"/>
              <w:left w:val="nil"/>
              <w:bottom w:val="single" w:sz="4" w:space="0" w:color="auto"/>
              <w:right w:val="single" w:sz="4" w:space="0" w:color="auto"/>
            </w:tcBorders>
            <w:shd w:val="clear" w:color="auto" w:fill="auto"/>
            <w:vAlign w:val="center"/>
            <w:hideMark/>
          </w:tcPr>
          <w:p w14:paraId="648E60DC"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17,38 </w:t>
            </w:r>
          </w:p>
        </w:tc>
      </w:tr>
      <w:tr w:rsidR="007B3093" w14:paraId="2EF0D62F" w14:textId="77777777">
        <w:trPr>
          <w:trHeight w:val="312"/>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7C9D480C"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2022</w:t>
            </w:r>
          </w:p>
        </w:tc>
        <w:tc>
          <w:tcPr>
            <w:tcW w:w="1590" w:type="dxa"/>
            <w:tcBorders>
              <w:top w:val="nil"/>
              <w:left w:val="nil"/>
              <w:bottom w:val="single" w:sz="4" w:space="0" w:color="auto"/>
              <w:right w:val="single" w:sz="4" w:space="0" w:color="auto"/>
            </w:tcBorders>
            <w:shd w:val="clear" w:color="auto" w:fill="auto"/>
            <w:noWrap/>
            <w:vAlign w:val="center"/>
            <w:hideMark/>
          </w:tcPr>
          <w:p w14:paraId="38E1E3DA"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808.942,27 </w:t>
            </w:r>
          </w:p>
        </w:tc>
        <w:tc>
          <w:tcPr>
            <w:tcW w:w="1497" w:type="dxa"/>
            <w:tcBorders>
              <w:top w:val="nil"/>
              <w:left w:val="nil"/>
              <w:bottom w:val="single" w:sz="4" w:space="0" w:color="auto"/>
              <w:right w:val="single" w:sz="4" w:space="0" w:color="auto"/>
            </w:tcBorders>
            <w:shd w:val="clear" w:color="auto" w:fill="auto"/>
            <w:noWrap/>
            <w:vAlign w:val="center"/>
            <w:hideMark/>
          </w:tcPr>
          <w:p w14:paraId="4CEF06D3"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   </w:t>
            </w:r>
          </w:p>
        </w:tc>
        <w:tc>
          <w:tcPr>
            <w:tcW w:w="1612" w:type="dxa"/>
            <w:tcBorders>
              <w:top w:val="nil"/>
              <w:left w:val="nil"/>
              <w:bottom w:val="single" w:sz="4" w:space="0" w:color="auto"/>
              <w:right w:val="single" w:sz="4" w:space="0" w:color="auto"/>
            </w:tcBorders>
            <w:shd w:val="clear" w:color="auto" w:fill="auto"/>
            <w:noWrap/>
            <w:vAlign w:val="center"/>
            <w:hideMark/>
          </w:tcPr>
          <w:p w14:paraId="08E5A452"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808.942,27 </w:t>
            </w:r>
          </w:p>
        </w:tc>
        <w:tc>
          <w:tcPr>
            <w:tcW w:w="1221" w:type="dxa"/>
            <w:tcBorders>
              <w:top w:val="nil"/>
              <w:left w:val="nil"/>
              <w:bottom w:val="single" w:sz="4" w:space="0" w:color="auto"/>
              <w:right w:val="single" w:sz="4" w:space="0" w:color="auto"/>
            </w:tcBorders>
            <w:shd w:val="clear" w:color="auto" w:fill="auto"/>
            <w:vAlign w:val="center"/>
            <w:hideMark/>
          </w:tcPr>
          <w:p w14:paraId="6CDDA531"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15,63 </w:t>
            </w:r>
          </w:p>
        </w:tc>
        <w:tc>
          <w:tcPr>
            <w:tcW w:w="1290" w:type="dxa"/>
            <w:tcBorders>
              <w:top w:val="nil"/>
              <w:left w:val="nil"/>
              <w:bottom w:val="single" w:sz="4" w:space="0" w:color="auto"/>
              <w:right w:val="single" w:sz="4" w:space="0" w:color="auto"/>
            </w:tcBorders>
            <w:shd w:val="clear" w:color="auto" w:fill="auto"/>
            <w:vAlign w:val="center"/>
            <w:hideMark/>
          </w:tcPr>
          <w:p w14:paraId="0E174CFA"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33,02 </w:t>
            </w:r>
          </w:p>
        </w:tc>
      </w:tr>
      <w:tr w:rsidR="007B3093" w14:paraId="7BDD1956" w14:textId="77777777">
        <w:trPr>
          <w:trHeight w:val="312"/>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685587DD"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2023</w:t>
            </w:r>
          </w:p>
        </w:tc>
        <w:tc>
          <w:tcPr>
            <w:tcW w:w="1590" w:type="dxa"/>
            <w:tcBorders>
              <w:top w:val="nil"/>
              <w:left w:val="nil"/>
              <w:bottom w:val="single" w:sz="4" w:space="0" w:color="auto"/>
              <w:right w:val="single" w:sz="4" w:space="0" w:color="auto"/>
            </w:tcBorders>
            <w:shd w:val="clear" w:color="auto" w:fill="auto"/>
            <w:noWrap/>
            <w:vAlign w:val="center"/>
            <w:hideMark/>
          </w:tcPr>
          <w:p w14:paraId="344A0B5E"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527.411,16 </w:t>
            </w:r>
          </w:p>
        </w:tc>
        <w:tc>
          <w:tcPr>
            <w:tcW w:w="1497" w:type="dxa"/>
            <w:tcBorders>
              <w:top w:val="nil"/>
              <w:left w:val="nil"/>
              <w:bottom w:val="single" w:sz="4" w:space="0" w:color="auto"/>
              <w:right w:val="single" w:sz="4" w:space="0" w:color="auto"/>
            </w:tcBorders>
            <w:shd w:val="clear" w:color="auto" w:fill="auto"/>
            <w:noWrap/>
            <w:vAlign w:val="center"/>
            <w:hideMark/>
          </w:tcPr>
          <w:p w14:paraId="17A2E613"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   </w:t>
            </w:r>
          </w:p>
        </w:tc>
        <w:tc>
          <w:tcPr>
            <w:tcW w:w="1612" w:type="dxa"/>
            <w:tcBorders>
              <w:top w:val="nil"/>
              <w:left w:val="nil"/>
              <w:bottom w:val="single" w:sz="4" w:space="0" w:color="auto"/>
              <w:right w:val="single" w:sz="4" w:space="0" w:color="auto"/>
            </w:tcBorders>
            <w:shd w:val="clear" w:color="auto" w:fill="auto"/>
            <w:noWrap/>
            <w:vAlign w:val="center"/>
            <w:hideMark/>
          </w:tcPr>
          <w:p w14:paraId="5F6120F8"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527.411,16 </w:t>
            </w:r>
          </w:p>
        </w:tc>
        <w:tc>
          <w:tcPr>
            <w:tcW w:w="1221" w:type="dxa"/>
            <w:tcBorders>
              <w:top w:val="nil"/>
              <w:left w:val="nil"/>
              <w:bottom w:val="single" w:sz="4" w:space="0" w:color="auto"/>
              <w:right w:val="single" w:sz="4" w:space="0" w:color="auto"/>
            </w:tcBorders>
            <w:shd w:val="clear" w:color="auto" w:fill="auto"/>
            <w:vAlign w:val="center"/>
            <w:hideMark/>
          </w:tcPr>
          <w:p w14:paraId="2C3AC188"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10,19 </w:t>
            </w:r>
          </w:p>
        </w:tc>
        <w:tc>
          <w:tcPr>
            <w:tcW w:w="1290" w:type="dxa"/>
            <w:tcBorders>
              <w:top w:val="nil"/>
              <w:left w:val="nil"/>
              <w:bottom w:val="single" w:sz="4" w:space="0" w:color="auto"/>
              <w:right w:val="single" w:sz="4" w:space="0" w:color="auto"/>
            </w:tcBorders>
            <w:shd w:val="clear" w:color="auto" w:fill="auto"/>
            <w:vAlign w:val="center"/>
            <w:hideMark/>
          </w:tcPr>
          <w:p w14:paraId="651F4669"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43,21 </w:t>
            </w:r>
          </w:p>
        </w:tc>
      </w:tr>
      <w:tr w:rsidR="007B3093" w14:paraId="741332A3" w14:textId="77777777">
        <w:trPr>
          <w:trHeight w:val="312"/>
        </w:trPr>
        <w:tc>
          <w:tcPr>
            <w:tcW w:w="1128" w:type="dxa"/>
            <w:tcBorders>
              <w:top w:val="nil"/>
              <w:left w:val="single" w:sz="4" w:space="0" w:color="auto"/>
              <w:bottom w:val="single" w:sz="4" w:space="0" w:color="auto"/>
              <w:right w:val="single" w:sz="4" w:space="0" w:color="auto"/>
            </w:tcBorders>
            <w:shd w:val="clear" w:color="000000" w:fill="FFFF00"/>
            <w:noWrap/>
            <w:vAlign w:val="center"/>
            <w:hideMark/>
          </w:tcPr>
          <w:p w14:paraId="6C21E75C"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2024</w:t>
            </w:r>
          </w:p>
        </w:tc>
        <w:tc>
          <w:tcPr>
            <w:tcW w:w="1590" w:type="dxa"/>
            <w:tcBorders>
              <w:top w:val="nil"/>
              <w:left w:val="nil"/>
              <w:bottom w:val="single" w:sz="4" w:space="0" w:color="auto"/>
              <w:right w:val="single" w:sz="4" w:space="0" w:color="auto"/>
            </w:tcBorders>
            <w:shd w:val="clear" w:color="000000" w:fill="FFFF00"/>
            <w:noWrap/>
            <w:vAlign w:val="center"/>
            <w:hideMark/>
          </w:tcPr>
          <w:p w14:paraId="6BB59CA5"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297.701,90 </w:t>
            </w:r>
          </w:p>
        </w:tc>
        <w:tc>
          <w:tcPr>
            <w:tcW w:w="1497" w:type="dxa"/>
            <w:tcBorders>
              <w:top w:val="nil"/>
              <w:left w:val="nil"/>
              <w:bottom w:val="single" w:sz="4" w:space="0" w:color="auto"/>
              <w:right w:val="single" w:sz="4" w:space="0" w:color="auto"/>
            </w:tcBorders>
            <w:shd w:val="clear" w:color="000000" w:fill="FFFF00"/>
            <w:noWrap/>
            <w:vAlign w:val="center"/>
            <w:hideMark/>
          </w:tcPr>
          <w:p w14:paraId="31475942"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   </w:t>
            </w:r>
          </w:p>
        </w:tc>
        <w:tc>
          <w:tcPr>
            <w:tcW w:w="1612" w:type="dxa"/>
            <w:tcBorders>
              <w:top w:val="nil"/>
              <w:left w:val="nil"/>
              <w:bottom w:val="single" w:sz="4" w:space="0" w:color="auto"/>
              <w:right w:val="single" w:sz="4" w:space="0" w:color="auto"/>
            </w:tcBorders>
            <w:shd w:val="clear" w:color="000000" w:fill="FFFF00"/>
            <w:noWrap/>
            <w:vAlign w:val="center"/>
            <w:hideMark/>
          </w:tcPr>
          <w:p w14:paraId="1938016F"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297.701,90 </w:t>
            </w:r>
          </w:p>
        </w:tc>
        <w:tc>
          <w:tcPr>
            <w:tcW w:w="1221" w:type="dxa"/>
            <w:tcBorders>
              <w:top w:val="nil"/>
              <w:left w:val="nil"/>
              <w:bottom w:val="single" w:sz="4" w:space="0" w:color="auto"/>
              <w:right w:val="single" w:sz="4" w:space="0" w:color="auto"/>
            </w:tcBorders>
            <w:shd w:val="clear" w:color="000000" w:fill="FFFF00"/>
            <w:vAlign w:val="center"/>
            <w:hideMark/>
          </w:tcPr>
          <w:p w14:paraId="149BCB9B"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5,75 </w:t>
            </w:r>
          </w:p>
        </w:tc>
        <w:tc>
          <w:tcPr>
            <w:tcW w:w="1290" w:type="dxa"/>
            <w:tcBorders>
              <w:top w:val="nil"/>
              <w:left w:val="nil"/>
              <w:bottom w:val="single" w:sz="4" w:space="0" w:color="auto"/>
              <w:right w:val="single" w:sz="4" w:space="0" w:color="auto"/>
            </w:tcBorders>
            <w:shd w:val="clear" w:color="000000" w:fill="FFFF00"/>
            <w:vAlign w:val="center"/>
            <w:hideMark/>
          </w:tcPr>
          <w:p w14:paraId="37DEA957"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48,96 </w:t>
            </w:r>
          </w:p>
        </w:tc>
      </w:tr>
      <w:tr w:rsidR="007B3093" w14:paraId="31BB7FF0" w14:textId="77777777">
        <w:trPr>
          <w:trHeight w:val="312"/>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1F8A94B9"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2025</w:t>
            </w:r>
          </w:p>
        </w:tc>
        <w:tc>
          <w:tcPr>
            <w:tcW w:w="1590" w:type="dxa"/>
            <w:tcBorders>
              <w:top w:val="nil"/>
              <w:left w:val="nil"/>
              <w:bottom w:val="single" w:sz="4" w:space="0" w:color="auto"/>
              <w:right w:val="single" w:sz="4" w:space="0" w:color="auto"/>
            </w:tcBorders>
            <w:shd w:val="clear" w:color="auto" w:fill="auto"/>
            <w:noWrap/>
            <w:vAlign w:val="center"/>
            <w:hideMark/>
          </w:tcPr>
          <w:p w14:paraId="22783A47"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2.641.181,01 </w:t>
            </w:r>
          </w:p>
        </w:tc>
        <w:tc>
          <w:tcPr>
            <w:tcW w:w="1497" w:type="dxa"/>
            <w:tcBorders>
              <w:top w:val="nil"/>
              <w:left w:val="nil"/>
              <w:bottom w:val="single" w:sz="4" w:space="0" w:color="auto"/>
              <w:right w:val="single" w:sz="4" w:space="0" w:color="auto"/>
            </w:tcBorders>
            <w:shd w:val="clear" w:color="auto" w:fill="auto"/>
            <w:noWrap/>
            <w:vAlign w:val="center"/>
            <w:hideMark/>
          </w:tcPr>
          <w:p w14:paraId="79606AB0"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   </w:t>
            </w:r>
          </w:p>
        </w:tc>
        <w:tc>
          <w:tcPr>
            <w:tcW w:w="1612" w:type="dxa"/>
            <w:tcBorders>
              <w:top w:val="nil"/>
              <w:left w:val="nil"/>
              <w:bottom w:val="single" w:sz="4" w:space="0" w:color="auto"/>
              <w:right w:val="single" w:sz="4" w:space="0" w:color="auto"/>
            </w:tcBorders>
            <w:shd w:val="clear" w:color="auto" w:fill="auto"/>
            <w:noWrap/>
            <w:vAlign w:val="center"/>
            <w:hideMark/>
          </w:tcPr>
          <w:p w14:paraId="02E9EB49" w14:textId="77777777" w:rsidR="007B3093" w:rsidRDefault="00000000">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   2.641.181,01 </w:t>
            </w:r>
          </w:p>
        </w:tc>
        <w:tc>
          <w:tcPr>
            <w:tcW w:w="1221" w:type="dxa"/>
            <w:tcBorders>
              <w:top w:val="nil"/>
              <w:left w:val="nil"/>
              <w:bottom w:val="single" w:sz="4" w:space="0" w:color="auto"/>
              <w:right w:val="single" w:sz="4" w:space="0" w:color="auto"/>
            </w:tcBorders>
            <w:shd w:val="clear" w:color="auto" w:fill="auto"/>
            <w:vAlign w:val="center"/>
            <w:hideMark/>
          </w:tcPr>
          <w:p w14:paraId="62F4010C"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51,04 </w:t>
            </w:r>
          </w:p>
        </w:tc>
        <w:tc>
          <w:tcPr>
            <w:tcW w:w="1290" w:type="dxa"/>
            <w:tcBorders>
              <w:top w:val="nil"/>
              <w:left w:val="nil"/>
              <w:bottom w:val="single" w:sz="4" w:space="0" w:color="auto"/>
              <w:right w:val="single" w:sz="4" w:space="0" w:color="auto"/>
            </w:tcBorders>
            <w:shd w:val="clear" w:color="auto" w:fill="auto"/>
            <w:vAlign w:val="center"/>
            <w:hideMark/>
          </w:tcPr>
          <w:p w14:paraId="45D905AC"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 xml:space="preserve">        100,00 </w:t>
            </w:r>
          </w:p>
        </w:tc>
      </w:tr>
      <w:tr w:rsidR="007B3093" w14:paraId="66EE5DA5" w14:textId="77777777">
        <w:trPr>
          <w:trHeight w:val="312"/>
        </w:trPr>
        <w:tc>
          <w:tcPr>
            <w:tcW w:w="1128" w:type="dxa"/>
            <w:tcBorders>
              <w:top w:val="nil"/>
              <w:left w:val="nil"/>
              <w:bottom w:val="nil"/>
              <w:right w:val="nil"/>
            </w:tcBorders>
            <w:shd w:val="clear" w:color="000000" w:fill="538DD5"/>
            <w:noWrap/>
            <w:vAlign w:val="center"/>
            <w:hideMark/>
          </w:tcPr>
          <w:p w14:paraId="0127D59C" w14:textId="77777777" w:rsidR="007B3093" w:rsidRDefault="00000000">
            <w:pPr>
              <w:spacing w:after="0" w:line="240" w:lineRule="auto"/>
              <w:jc w:val="center"/>
              <w:rPr>
                <w:rFonts w:ascii="Calibri" w:eastAsia="Times New Roman" w:hAnsi="Calibri" w:cs="Calibri"/>
                <w:b/>
                <w:bCs/>
                <w:color w:val="FFFFFF"/>
                <w:sz w:val="20"/>
                <w:szCs w:val="20"/>
                <w:lang w:eastAsia="es-EC"/>
              </w:rPr>
            </w:pPr>
            <w:r>
              <w:rPr>
                <w:rFonts w:ascii="Calibri" w:eastAsia="Times New Roman" w:hAnsi="Calibri" w:cs="Calibri"/>
                <w:b/>
                <w:bCs/>
                <w:color w:val="FFFFFF"/>
                <w:sz w:val="20"/>
                <w:szCs w:val="20"/>
                <w:lang w:eastAsia="es-EC"/>
              </w:rPr>
              <w:t>TOTAL:</w:t>
            </w:r>
          </w:p>
        </w:tc>
        <w:tc>
          <w:tcPr>
            <w:tcW w:w="1590" w:type="dxa"/>
            <w:tcBorders>
              <w:top w:val="nil"/>
              <w:left w:val="nil"/>
              <w:bottom w:val="nil"/>
              <w:right w:val="nil"/>
            </w:tcBorders>
            <w:shd w:val="clear" w:color="000000" w:fill="538DD5"/>
            <w:noWrap/>
            <w:vAlign w:val="center"/>
            <w:hideMark/>
          </w:tcPr>
          <w:p w14:paraId="703A76B8" w14:textId="77777777" w:rsidR="007B3093" w:rsidRDefault="00000000">
            <w:pPr>
              <w:spacing w:after="0" w:line="240" w:lineRule="auto"/>
              <w:jc w:val="right"/>
              <w:rPr>
                <w:rFonts w:ascii="Calibri" w:eastAsia="Times New Roman" w:hAnsi="Calibri" w:cs="Calibri"/>
                <w:b/>
                <w:bCs/>
                <w:color w:val="FFFFFF"/>
                <w:sz w:val="20"/>
                <w:szCs w:val="20"/>
                <w:lang w:eastAsia="es-EC"/>
              </w:rPr>
            </w:pPr>
            <w:r>
              <w:rPr>
                <w:rFonts w:ascii="Calibri" w:eastAsia="Times New Roman" w:hAnsi="Calibri" w:cs="Calibri"/>
                <w:b/>
                <w:bCs/>
                <w:color w:val="FFFFFF"/>
                <w:sz w:val="20"/>
                <w:szCs w:val="20"/>
                <w:lang w:eastAsia="es-EC"/>
              </w:rPr>
              <w:t xml:space="preserve">  5.160.020,91 </w:t>
            </w:r>
          </w:p>
        </w:tc>
        <w:tc>
          <w:tcPr>
            <w:tcW w:w="1497" w:type="dxa"/>
            <w:tcBorders>
              <w:top w:val="nil"/>
              <w:left w:val="nil"/>
              <w:bottom w:val="nil"/>
              <w:right w:val="nil"/>
            </w:tcBorders>
            <w:shd w:val="clear" w:color="000000" w:fill="538DD5"/>
            <w:noWrap/>
            <w:vAlign w:val="center"/>
            <w:hideMark/>
          </w:tcPr>
          <w:p w14:paraId="0DE961C4" w14:textId="77777777" w:rsidR="007B3093" w:rsidRDefault="00000000">
            <w:pPr>
              <w:spacing w:after="0" w:line="240" w:lineRule="auto"/>
              <w:jc w:val="right"/>
              <w:rPr>
                <w:rFonts w:ascii="Calibri" w:eastAsia="Times New Roman" w:hAnsi="Calibri" w:cs="Calibri"/>
                <w:b/>
                <w:bCs/>
                <w:color w:val="FFFFFF"/>
                <w:sz w:val="20"/>
                <w:szCs w:val="20"/>
                <w:lang w:eastAsia="es-EC"/>
              </w:rPr>
            </w:pPr>
            <w:r>
              <w:rPr>
                <w:rFonts w:ascii="Calibri" w:eastAsia="Times New Roman" w:hAnsi="Calibri" w:cs="Calibri"/>
                <w:b/>
                <w:bCs/>
                <w:color w:val="FFFFFF"/>
                <w:sz w:val="20"/>
                <w:szCs w:val="20"/>
                <w:lang w:eastAsia="es-EC"/>
              </w:rPr>
              <w:t xml:space="preserve">      14.774,58 </w:t>
            </w:r>
          </w:p>
        </w:tc>
        <w:tc>
          <w:tcPr>
            <w:tcW w:w="1612" w:type="dxa"/>
            <w:tcBorders>
              <w:top w:val="nil"/>
              <w:left w:val="nil"/>
              <w:bottom w:val="nil"/>
              <w:right w:val="nil"/>
            </w:tcBorders>
            <w:shd w:val="clear" w:color="000000" w:fill="538DD5"/>
            <w:noWrap/>
            <w:vAlign w:val="center"/>
            <w:hideMark/>
          </w:tcPr>
          <w:p w14:paraId="4D585107" w14:textId="77777777" w:rsidR="007B3093" w:rsidRDefault="00000000">
            <w:pPr>
              <w:spacing w:after="0" w:line="240" w:lineRule="auto"/>
              <w:jc w:val="right"/>
              <w:rPr>
                <w:rFonts w:ascii="Calibri" w:eastAsia="Times New Roman" w:hAnsi="Calibri" w:cs="Calibri"/>
                <w:b/>
                <w:bCs/>
                <w:color w:val="FFFFFF"/>
                <w:sz w:val="20"/>
                <w:szCs w:val="20"/>
                <w:lang w:eastAsia="es-EC"/>
              </w:rPr>
            </w:pPr>
            <w:r>
              <w:rPr>
                <w:rFonts w:ascii="Calibri" w:eastAsia="Times New Roman" w:hAnsi="Calibri" w:cs="Calibri"/>
                <w:b/>
                <w:bCs/>
                <w:color w:val="FFFFFF"/>
                <w:sz w:val="20"/>
                <w:szCs w:val="20"/>
                <w:lang w:eastAsia="es-EC"/>
              </w:rPr>
              <w:t xml:space="preserve">  5.174.795,49 </w:t>
            </w:r>
          </w:p>
        </w:tc>
        <w:tc>
          <w:tcPr>
            <w:tcW w:w="1221" w:type="dxa"/>
            <w:tcBorders>
              <w:top w:val="nil"/>
              <w:left w:val="nil"/>
              <w:bottom w:val="nil"/>
              <w:right w:val="nil"/>
            </w:tcBorders>
            <w:shd w:val="clear" w:color="000000" w:fill="538DD5"/>
            <w:noWrap/>
            <w:vAlign w:val="center"/>
            <w:hideMark/>
          </w:tcPr>
          <w:p w14:paraId="5029558E" w14:textId="77777777" w:rsidR="007B3093" w:rsidRDefault="00000000">
            <w:pPr>
              <w:spacing w:after="0" w:line="240" w:lineRule="auto"/>
              <w:jc w:val="right"/>
              <w:rPr>
                <w:rFonts w:ascii="Calibri" w:eastAsia="Times New Roman" w:hAnsi="Calibri" w:cs="Calibri"/>
                <w:b/>
                <w:bCs/>
                <w:color w:val="FFFFFF"/>
                <w:sz w:val="20"/>
                <w:szCs w:val="20"/>
                <w:lang w:eastAsia="es-EC"/>
              </w:rPr>
            </w:pPr>
            <w:r>
              <w:rPr>
                <w:rFonts w:ascii="Calibri" w:eastAsia="Times New Roman" w:hAnsi="Calibri" w:cs="Calibri"/>
                <w:b/>
                <w:bCs/>
                <w:color w:val="FFFFFF"/>
                <w:sz w:val="20"/>
                <w:szCs w:val="20"/>
                <w:lang w:eastAsia="es-EC"/>
              </w:rPr>
              <w:t xml:space="preserve">       100,00 </w:t>
            </w:r>
          </w:p>
        </w:tc>
        <w:tc>
          <w:tcPr>
            <w:tcW w:w="1290" w:type="dxa"/>
            <w:tcBorders>
              <w:top w:val="nil"/>
              <w:left w:val="nil"/>
              <w:bottom w:val="nil"/>
              <w:right w:val="nil"/>
            </w:tcBorders>
            <w:shd w:val="clear" w:color="auto" w:fill="auto"/>
            <w:noWrap/>
            <w:vAlign w:val="bottom"/>
            <w:hideMark/>
          </w:tcPr>
          <w:p w14:paraId="5CC40486" w14:textId="77777777" w:rsidR="007B3093" w:rsidRDefault="007B3093">
            <w:pPr>
              <w:spacing w:after="0" w:line="240" w:lineRule="auto"/>
              <w:jc w:val="right"/>
              <w:rPr>
                <w:rFonts w:ascii="Calibri" w:eastAsia="Times New Roman" w:hAnsi="Calibri" w:cs="Calibri"/>
                <w:b/>
                <w:bCs/>
                <w:color w:val="FFFFFF"/>
                <w:sz w:val="20"/>
                <w:szCs w:val="20"/>
                <w:lang w:eastAsia="es-EC"/>
              </w:rPr>
            </w:pPr>
          </w:p>
        </w:tc>
      </w:tr>
    </w:tbl>
    <w:p w14:paraId="618B8265" w14:textId="77777777" w:rsidR="007B3093" w:rsidRDefault="00000000">
      <w:pPr>
        <w:rPr>
          <w:bCs/>
          <w:sz w:val="18"/>
        </w:rPr>
      </w:pPr>
      <w:r>
        <w:rPr>
          <w:bCs/>
          <w:sz w:val="18"/>
        </w:rPr>
        <w:t xml:space="preserve">  Elaboración: EDG PROFIP</w:t>
      </w:r>
    </w:p>
    <w:p w14:paraId="40163568" w14:textId="77777777" w:rsidR="007B3093" w:rsidRDefault="007B3093">
      <w:pPr>
        <w:shd w:val="clear" w:color="auto" w:fill="FFFFFF"/>
        <w:tabs>
          <w:tab w:val="left" w:pos="845"/>
        </w:tabs>
        <w:jc w:val="both"/>
        <w:rPr>
          <w:lang w:val="es-ES"/>
        </w:rPr>
      </w:pPr>
    </w:p>
    <w:p w14:paraId="2F0BB305" w14:textId="77777777" w:rsidR="007B3093" w:rsidRDefault="00000000">
      <w:pPr>
        <w:shd w:val="clear" w:color="auto" w:fill="FFFFFF"/>
        <w:tabs>
          <w:tab w:val="left" w:pos="845"/>
        </w:tabs>
        <w:spacing w:after="0" w:line="360" w:lineRule="auto"/>
        <w:jc w:val="both"/>
        <w:rPr>
          <w:lang w:val="es-ES"/>
        </w:rPr>
      </w:pPr>
      <w:r>
        <w:rPr>
          <w:lang w:val="es-ES"/>
        </w:rPr>
        <w:t>El proyecto ha ejecutado los valores correspondientes a los años 2019, 2020, 2021, 2022, 2023 y 2024, que suman USD 2.533.614,48; y representa el 48,96% del monto total aprobado en dictamen, esto significa que para 2025 se prevé ejecutar el 51,04% del monto total del proyecto, con ello se lograría alcanzar el 100% de ejecución presupuestaria.</w:t>
      </w:r>
    </w:p>
    <w:p w14:paraId="6EDF914B" w14:textId="77777777" w:rsidR="007B3093" w:rsidRDefault="007B3093">
      <w:pPr>
        <w:shd w:val="clear" w:color="auto" w:fill="FFFFFF"/>
        <w:tabs>
          <w:tab w:val="left" w:pos="845"/>
        </w:tabs>
        <w:spacing w:after="0" w:line="360" w:lineRule="auto"/>
        <w:jc w:val="both"/>
        <w:rPr>
          <w:lang w:val="es-ES"/>
        </w:rPr>
      </w:pPr>
    </w:p>
    <w:p w14:paraId="11D5D938" w14:textId="77777777" w:rsidR="007B3093" w:rsidRDefault="00000000">
      <w:pPr>
        <w:shd w:val="clear" w:color="auto" w:fill="FFFFFF"/>
        <w:tabs>
          <w:tab w:val="left" w:pos="845"/>
        </w:tabs>
        <w:spacing w:after="0" w:line="360" w:lineRule="auto"/>
        <w:jc w:val="both"/>
        <w:rPr>
          <w:lang w:val="es-ES"/>
        </w:rPr>
      </w:pPr>
      <w:r>
        <w:rPr>
          <w:lang w:val="es-ES"/>
        </w:rPr>
        <w:t>A agosto de 2024, fecha en que se obtiene la actualización del dictamen de prioridad, se contempló conforme a los acuerdos con el financista BID, la ampliación del Contrato de Préstamo 4812/OC-EC, que financia el Programa de Modernización de la Administración Financiera EC-L1249, por un año adicional; aspecto que, fue gestionado por el ejecutor MEF.</w:t>
      </w:r>
    </w:p>
    <w:p w14:paraId="53FAED45" w14:textId="77777777" w:rsidR="007B3093" w:rsidRDefault="007B3093">
      <w:pPr>
        <w:shd w:val="clear" w:color="auto" w:fill="FFFFFF"/>
        <w:tabs>
          <w:tab w:val="left" w:pos="845"/>
        </w:tabs>
        <w:spacing w:after="0" w:line="360" w:lineRule="auto"/>
        <w:jc w:val="both"/>
        <w:rPr>
          <w:lang w:val="es-ES"/>
        </w:rPr>
      </w:pPr>
    </w:p>
    <w:p w14:paraId="5C6D452F" w14:textId="77777777" w:rsidR="007B3093" w:rsidRDefault="00000000">
      <w:pPr>
        <w:shd w:val="clear" w:color="auto" w:fill="FFFFFF"/>
        <w:tabs>
          <w:tab w:val="left" w:pos="845"/>
        </w:tabs>
        <w:spacing w:after="0" w:line="360" w:lineRule="auto"/>
        <w:jc w:val="both"/>
        <w:rPr>
          <w:lang w:val="es-ES"/>
        </w:rPr>
      </w:pPr>
      <w:r>
        <w:rPr>
          <w:lang w:val="es-ES"/>
        </w:rPr>
        <w:t xml:space="preserve">Por aspectos ajenos a la PGE, esta ampliación se emitió con fecha 7 de octubre de 2024, lo que implicó meses de aplazamiento de todas las gestiones y procesos programados a agosto, con la consiguiente postergación de los procesos dado la tardanza en la emisión de certificaciones plurianuales en 2024, además del cierre temprano del sistema </w:t>
      </w:r>
      <w:proofErr w:type="spellStart"/>
      <w:r>
        <w:rPr>
          <w:lang w:val="es-ES"/>
        </w:rPr>
        <w:t>Esigef</w:t>
      </w:r>
      <w:proofErr w:type="spellEnd"/>
      <w:r>
        <w:rPr>
          <w:lang w:val="es-ES"/>
        </w:rPr>
        <w:t>.</w:t>
      </w:r>
    </w:p>
    <w:p w14:paraId="67040319" w14:textId="77777777" w:rsidR="007B3093" w:rsidRDefault="007B3093">
      <w:pPr>
        <w:shd w:val="clear" w:color="auto" w:fill="FFFFFF"/>
        <w:tabs>
          <w:tab w:val="left" w:pos="845"/>
        </w:tabs>
        <w:spacing w:after="0" w:line="360" w:lineRule="auto"/>
        <w:jc w:val="both"/>
        <w:rPr>
          <w:lang w:val="es-ES"/>
        </w:rPr>
      </w:pPr>
    </w:p>
    <w:p w14:paraId="1FF7CCEC" w14:textId="77777777" w:rsidR="007B3093" w:rsidRDefault="00000000">
      <w:pPr>
        <w:shd w:val="clear" w:color="auto" w:fill="FFFFFF"/>
        <w:tabs>
          <w:tab w:val="left" w:pos="845"/>
        </w:tabs>
        <w:spacing w:after="0" w:line="360" w:lineRule="auto"/>
        <w:jc w:val="both"/>
        <w:rPr>
          <w:lang w:val="es-ES"/>
        </w:rPr>
      </w:pPr>
      <w:r>
        <w:rPr>
          <w:lang w:val="es-ES"/>
        </w:rPr>
        <w:lastRenderedPageBreak/>
        <w:t>Con esta dilación de varios meses, la PGE se dio a la tarea de identificar actividades que aunque programado el inicio de su ejecución en 2024, con los tiempos de gestión que se requiere para cada caso, no se alcanzaron a realizar en la fecha propuesta y fue necesario reprogramar a 2025 para su cumplimiento, en este aspecto se fundamenta la presente solicitud.</w:t>
      </w:r>
    </w:p>
    <w:p w14:paraId="007D305C" w14:textId="77777777" w:rsidR="007B3093" w:rsidRDefault="007B3093">
      <w:pPr>
        <w:shd w:val="clear" w:color="auto" w:fill="FFFFFF"/>
        <w:tabs>
          <w:tab w:val="left" w:pos="845"/>
        </w:tabs>
        <w:spacing w:after="0" w:line="360" w:lineRule="auto"/>
        <w:jc w:val="both"/>
        <w:rPr>
          <w:lang w:val="es-ES"/>
        </w:rPr>
      </w:pPr>
    </w:p>
    <w:p w14:paraId="5DB4FCDB" w14:textId="77777777" w:rsidR="007B3093" w:rsidRDefault="00000000">
      <w:pPr>
        <w:spacing w:after="0" w:line="360" w:lineRule="auto"/>
        <w:jc w:val="both"/>
        <w:rPr>
          <w:b/>
          <w:bCs/>
        </w:rPr>
      </w:pPr>
      <w:r>
        <w:rPr>
          <w:lang w:val="es-ES"/>
        </w:rPr>
        <w:t xml:space="preserve">Por el evento antes mencionado se precisa realizar la </w:t>
      </w:r>
      <w:r>
        <w:rPr>
          <w:b/>
          <w:bCs/>
          <w:lang w:val="es-ES"/>
        </w:rPr>
        <w:t>“</w:t>
      </w:r>
      <w:r>
        <w:rPr>
          <w:b/>
          <w:bCs/>
        </w:rPr>
        <w:t>Actualización del proyecto para Reprogramación del cronograma valorado dentro del plazo de prioridad vigente, considerando para el efecto el mismo tiempo de duración del proyecto y el mismo monto”,</w:t>
      </w:r>
      <w:r>
        <w:t xml:space="preserve"> se debe considerar adicionalmente que el proyecto está en su año final de ejecución.</w:t>
      </w:r>
    </w:p>
    <w:p w14:paraId="035549AF" w14:textId="77777777" w:rsidR="007B3093" w:rsidRDefault="00000000">
      <w:pPr>
        <w:shd w:val="clear" w:color="auto" w:fill="FFFFFF"/>
        <w:tabs>
          <w:tab w:val="left" w:pos="845"/>
        </w:tabs>
        <w:spacing w:after="0" w:line="360" w:lineRule="auto"/>
        <w:jc w:val="both"/>
        <w:rPr>
          <w:lang w:val="es-ES"/>
        </w:rPr>
      </w:pPr>
      <w:r>
        <w:rPr>
          <w:lang w:val="es-ES"/>
        </w:rPr>
        <w:t xml:space="preserve"> </w:t>
      </w:r>
    </w:p>
    <w:p w14:paraId="79F881A2" w14:textId="77777777" w:rsidR="007B3093" w:rsidRDefault="00000000">
      <w:pPr>
        <w:spacing w:after="0" w:line="360" w:lineRule="auto"/>
        <w:jc w:val="both"/>
        <w:rPr>
          <w:lang w:val="es-ES"/>
        </w:rPr>
      </w:pPr>
      <w:r>
        <w:rPr>
          <w:lang w:val="es-ES"/>
        </w:rPr>
        <w:t>Por otro lado, se señala que la fuente de financiamiento principal de este proyecto procede de recursos del BID, Contrato de Préstamo 4812/OC-EC, que financia el Programa de Modernización de la Administración Financiera EC-L1249, en el cual la Procuraduría General del Estado figura como subejecutor y MEF figura como ejecutor.</w:t>
      </w:r>
    </w:p>
    <w:p w14:paraId="4D92137F" w14:textId="77777777" w:rsidR="007B3093" w:rsidRDefault="007B3093">
      <w:pPr>
        <w:spacing w:after="0" w:line="360" w:lineRule="auto"/>
        <w:jc w:val="both"/>
        <w:rPr>
          <w:lang w:val="es-ES"/>
        </w:rPr>
      </w:pPr>
    </w:p>
    <w:p w14:paraId="7802D26A" w14:textId="77777777" w:rsidR="007B3093" w:rsidRDefault="00000000">
      <w:pPr>
        <w:spacing w:after="0" w:line="360" w:lineRule="auto"/>
        <w:jc w:val="both"/>
        <w:rPr>
          <w:lang w:val="es-ES"/>
        </w:rPr>
      </w:pPr>
      <w:r>
        <w:rPr>
          <w:lang w:val="es-ES"/>
        </w:rPr>
        <w:t>Es este contexto, se presenta el documento de proyecto actualizado que da cuenta de su planteamiento original en 2019 y las acciones cumplidas a través de su tiempo de gestión hasta 2024 y la reprogramación de actividades hasta 2025.</w:t>
      </w:r>
    </w:p>
    <w:p w14:paraId="1F4F2033" w14:textId="77777777" w:rsidR="007B3093" w:rsidRDefault="007B3093">
      <w:pPr>
        <w:rPr>
          <w:lang w:val="es-ES"/>
        </w:rPr>
      </w:pPr>
    </w:p>
    <w:p w14:paraId="39930963" w14:textId="77777777" w:rsidR="007B3093" w:rsidRDefault="00000000">
      <w:pPr>
        <w:pStyle w:val="Ttulo2"/>
        <w:numPr>
          <w:ilvl w:val="0"/>
          <w:numId w:val="1"/>
        </w:numPr>
        <w:spacing w:before="0" w:line="360" w:lineRule="auto"/>
        <w:rPr>
          <w:rFonts w:asciiTheme="minorHAnsi" w:hAnsiTheme="minorHAnsi" w:cstheme="minorHAnsi"/>
          <w:b/>
          <w:color w:val="auto"/>
          <w:sz w:val="22"/>
          <w:szCs w:val="22"/>
          <w:lang w:eastAsia="es-EC"/>
        </w:rPr>
      </w:pPr>
      <w:bookmarkStart w:id="9" w:name="_Toc195010045"/>
      <w:r>
        <w:rPr>
          <w:rFonts w:asciiTheme="minorHAnsi" w:hAnsiTheme="minorHAnsi" w:cstheme="minorHAnsi"/>
          <w:b/>
          <w:color w:val="auto"/>
          <w:sz w:val="22"/>
          <w:szCs w:val="22"/>
          <w:lang w:eastAsia="es-EC"/>
        </w:rPr>
        <w:t>DIAGNÓSTICO Y PROBLEMA</w:t>
      </w:r>
      <w:bookmarkEnd w:id="9"/>
    </w:p>
    <w:p w14:paraId="58DBF208" w14:textId="77777777" w:rsidR="007B3093" w:rsidRDefault="00000000">
      <w:pPr>
        <w:pStyle w:val="Ttulo2"/>
        <w:numPr>
          <w:ilvl w:val="1"/>
          <w:numId w:val="1"/>
        </w:numPr>
        <w:spacing w:before="0" w:line="360" w:lineRule="auto"/>
        <w:ind w:left="426"/>
        <w:rPr>
          <w:rFonts w:asciiTheme="minorHAnsi" w:hAnsiTheme="minorHAnsi" w:cstheme="minorHAnsi"/>
          <w:b/>
          <w:color w:val="auto"/>
          <w:sz w:val="22"/>
          <w:szCs w:val="22"/>
          <w:lang w:eastAsia="es-EC"/>
        </w:rPr>
      </w:pPr>
      <w:bookmarkStart w:id="10" w:name="_Toc195010046"/>
      <w:r>
        <w:rPr>
          <w:rFonts w:asciiTheme="minorHAnsi" w:hAnsiTheme="minorHAnsi" w:cstheme="minorHAnsi"/>
          <w:b/>
          <w:color w:val="auto"/>
          <w:sz w:val="22"/>
          <w:szCs w:val="22"/>
          <w:lang w:eastAsia="es-EC"/>
        </w:rPr>
        <w:t>Descripción de la situación del sector, área o zona de intervención y de influencia para el desarrollo del proyecto.</w:t>
      </w:r>
      <w:bookmarkEnd w:id="10"/>
    </w:p>
    <w:p w14:paraId="08E0F94C" w14:textId="77777777" w:rsidR="007B3093" w:rsidRDefault="00000000">
      <w:pPr>
        <w:spacing w:after="120" w:line="360" w:lineRule="auto"/>
        <w:ind w:left="66"/>
        <w:jc w:val="both"/>
      </w:pPr>
      <w:r>
        <w:t xml:space="preserve">La Procuraduría General del Estado tiene la competencia de la defensa jurídica del interés público y el patrimonio del Estado. Su rol faculta a la institución dar soporte jurídico a las actuaciones del sector público, así como precautelar los intereses y recursos públicos en el patrocinio de diferentes causas en las que el Estado ha sido parte. </w:t>
      </w:r>
    </w:p>
    <w:p w14:paraId="39C88AAA" w14:textId="77777777" w:rsidR="007B3093" w:rsidRDefault="00000000">
      <w:pPr>
        <w:spacing w:after="120" w:line="360" w:lineRule="auto"/>
        <w:ind w:left="66"/>
        <w:jc w:val="both"/>
      </w:pPr>
      <w:r>
        <w:t>El control de la legalidad de los actos y contratos del Estado, así como la defensa del interés público y del patrimonio estatal, a cargo de la Procuraduría General del Estado, enfrenta retos particularmente complejos como: la transparencia y la lucha contra la corrupción, el respeto del estado constitucional de derechos y justicia, la gestión eficiente del sector público como medio para superar las inequidades sociales y apoyar un modelo de desarrollo sustentable. Todo ello, exige fortalecer el diseño e implementación de la estructura y funciones de este organismo, consolidando sus capacidades legales, técnicas, financieras y administrativas.</w:t>
      </w:r>
    </w:p>
    <w:p w14:paraId="5D7C5C1F" w14:textId="77777777" w:rsidR="007B3093" w:rsidRDefault="00000000">
      <w:pPr>
        <w:spacing w:after="120" w:line="360" w:lineRule="auto"/>
        <w:ind w:left="66"/>
        <w:jc w:val="both"/>
      </w:pPr>
      <w:proofErr w:type="gramStart"/>
      <w:r>
        <w:lastRenderedPageBreak/>
        <w:t>En relación a</w:t>
      </w:r>
      <w:proofErr w:type="gramEnd"/>
      <w:r>
        <w:t xml:space="preserve"> lo antes mencionado, la Constitución de la República del Ecuador, señala que:</w:t>
      </w:r>
    </w:p>
    <w:p w14:paraId="06E6EC3A" w14:textId="77777777" w:rsidR="007B3093" w:rsidRDefault="00000000">
      <w:pPr>
        <w:spacing w:after="120" w:line="360" w:lineRule="auto"/>
        <w:ind w:left="66"/>
        <w:jc w:val="both"/>
      </w:pPr>
      <w:r>
        <w:t xml:space="preserve">“Art. </w:t>
      </w:r>
      <w:proofErr w:type="gramStart"/>
      <w:r>
        <w:t>235  La</w:t>
      </w:r>
      <w:proofErr w:type="gramEnd"/>
      <w:r>
        <w:t xml:space="preserve"> Procuraduría General del Estado es un organismo público, técnico jurídico, con autonomía administrativa, presupuestaria y financiera, dirigido y representado por el Procurador General del Estado, designado para un período de cuatro años”.</w:t>
      </w:r>
    </w:p>
    <w:p w14:paraId="6401342D" w14:textId="77777777" w:rsidR="007B3093" w:rsidRDefault="00000000">
      <w:pPr>
        <w:spacing w:after="120" w:line="360" w:lineRule="auto"/>
        <w:ind w:left="66"/>
        <w:jc w:val="both"/>
      </w:pPr>
      <w:r>
        <w:t>Además, en la Ley Orgánica de la Procuraduría General del Estado se determina:</w:t>
      </w:r>
    </w:p>
    <w:p w14:paraId="1D3B8AA6" w14:textId="77777777" w:rsidR="007B3093" w:rsidRDefault="00000000">
      <w:pPr>
        <w:spacing w:after="120" w:line="360" w:lineRule="auto"/>
        <w:ind w:left="66"/>
        <w:jc w:val="both"/>
      </w:pPr>
      <w:r>
        <w:t xml:space="preserve">“Art. 1   La Procuraduría General del Estado es un organismo público de control, con personería jurídica, patrimonio y fondos propios, autonomía administrativa, presupuestaria y financiera, dirigido y representado legalmente por el Procurador General del Estado. Tendrá su sede en la Capital de la República y podrá establecer delegaciones distritales o provinciales, </w:t>
      </w:r>
      <w:proofErr w:type="gramStart"/>
      <w:r>
        <w:t>de acuerdo a</w:t>
      </w:r>
      <w:proofErr w:type="gramEnd"/>
      <w:r>
        <w:t xml:space="preserve"> sus necesidades administrativas”. </w:t>
      </w:r>
    </w:p>
    <w:p w14:paraId="1042D627" w14:textId="77777777" w:rsidR="007B3093" w:rsidRDefault="00000000">
      <w:pPr>
        <w:spacing w:after="120" w:line="360" w:lineRule="auto"/>
        <w:ind w:left="66"/>
        <w:jc w:val="both"/>
      </w:pPr>
      <w:proofErr w:type="gramStart"/>
      <w:r>
        <w:t>De acuerdo a</w:t>
      </w:r>
      <w:proofErr w:type="gramEnd"/>
      <w:r>
        <w:t xml:space="preserve"> la legislación vigente, </w:t>
      </w:r>
      <w:r>
        <w:rPr>
          <w:b/>
        </w:rPr>
        <w:t>la institución cuenta con autonomía para proponer e implementar normativas, instrumentos y planes que mejoren los procesos y la gestión misional de todas sus unidades operativas.</w:t>
      </w:r>
      <w:r>
        <w:t xml:space="preserve"> Actualmente, los conjuntos de estas unidades operativas incluyen: la Oficina Matriz ubicada en la ciudad de Quito, cinco Direcciones Regionales (Guayas, Azuay, Manabí, Chimborazo y Loja) y quince</w:t>
      </w:r>
      <w:r>
        <w:rPr>
          <w:rFonts w:cstheme="minorHAnsi"/>
        </w:rPr>
        <w:t xml:space="preserve"> Oficinas Provinciales (Tungurahua, Santa Elena, El Oro, Los Ríos #2, Galápagos #2, Cañar, Morona Santiago, Zamora Chinchipe, Sucumbíos, Imbabura, Carchi, Esmeraldas y Santo Domingo de los Tsáchilas); para cumplir con su gestión misional la PGE a la fecha, esto es septiembre de 2024, </w:t>
      </w:r>
      <w:r>
        <w:t>cuenta con 433 servidores públicos.</w:t>
      </w:r>
    </w:p>
    <w:p w14:paraId="6F1E5375" w14:textId="77777777" w:rsidR="007B3093" w:rsidRDefault="00000000">
      <w:pPr>
        <w:spacing w:after="120" w:line="360" w:lineRule="auto"/>
        <w:ind w:left="66"/>
        <w:jc w:val="both"/>
      </w:pPr>
      <w:r>
        <w:t>Es necesario plasmar que para el período 2018-2022, el Procurador General del Estado designado por el Pleno del Consejo de Participación Ciudadana y Control Social Transitorio fue el Dr. Íñigo Salvador Crespo, posesionado el 31 de julio de 2018, quien en su calidad de máxima autoridad institucional y buscando fortalecer la gestión misional de la institución consideró necesario realizar un análisis detallado que tome en cuenta las capacidades y debilidades de la entidad, a fin de determinar la situación  de la institución, y fortalecer su institucionalidad a través del tiempo.</w:t>
      </w:r>
    </w:p>
    <w:p w14:paraId="79749FAB" w14:textId="77777777" w:rsidR="007B3093" w:rsidRDefault="00000000">
      <w:pPr>
        <w:spacing w:after="120" w:line="360" w:lineRule="auto"/>
        <w:ind w:left="66"/>
        <w:jc w:val="both"/>
      </w:pPr>
      <w:r>
        <w:t>Producto del análisis efectuado se determinó:</w:t>
      </w:r>
    </w:p>
    <w:p w14:paraId="0A1E602E" w14:textId="77777777" w:rsidR="007B3093" w:rsidRDefault="00000000">
      <w:pPr>
        <w:pStyle w:val="Prrafodelista"/>
        <w:numPr>
          <w:ilvl w:val="0"/>
          <w:numId w:val="86"/>
        </w:numPr>
        <w:spacing w:after="120" w:line="360" w:lineRule="auto"/>
        <w:jc w:val="both"/>
      </w:pPr>
      <w:r>
        <w:t>La PGE requería actualizar los instrumentos de planificación institucional vigentes a esa fecha.</w:t>
      </w:r>
    </w:p>
    <w:p w14:paraId="4A5C7E55" w14:textId="77777777" w:rsidR="007B3093" w:rsidRDefault="00000000">
      <w:pPr>
        <w:pStyle w:val="Prrafodelista"/>
        <w:numPr>
          <w:ilvl w:val="0"/>
          <w:numId w:val="86"/>
        </w:numPr>
        <w:spacing w:after="120" w:line="360" w:lineRule="auto"/>
        <w:contextualSpacing w:val="0"/>
        <w:jc w:val="both"/>
      </w:pPr>
      <w:r>
        <w:t xml:space="preserve">Se consideró el estatuto y reglamento que contenía las atribuciones y productos de las unidades operativas en ese momento. </w:t>
      </w:r>
    </w:p>
    <w:p w14:paraId="59675081" w14:textId="77777777" w:rsidR="007B3093" w:rsidRDefault="00000000">
      <w:pPr>
        <w:pStyle w:val="Prrafodelista"/>
        <w:numPr>
          <w:ilvl w:val="0"/>
          <w:numId w:val="86"/>
        </w:numPr>
        <w:spacing w:after="120" w:line="360" w:lineRule="auto"/>
        <w:contextualSpacing w:val="0"/>
        <w:jc w:val="both"/>
      </w:pPr>
      <w:r>
        <w:lastRenderedPageBreak/>
        <w:t>Otro aspecto determinante fue que la gestión desarrollada por la Procuraduría General del Estado al ejercer la representación judicial debía explotar las potencialidades de soluciones informáticas para los trámites que se atendían, que respondieran a una tendencia innovadora en la restructuración de los procesos internos, la optimización en el uso de los recursos, la eficaz resolución de los casos patrocinados y el aumento de la cobertura de los servicios institucionales.</w:t>
      </w:r>
    </w:p>
    <w:p w14:paraId="6B884598" w14:textId="77777777" w:rsidR="007B3093" w:rsidRDefault="00000000">
      <w:pPr>
        <w:pStyle w:val="Prrafodelista"/>
        <w:numPr>
          <w:ilvl w:val="0"/>
          <w:numId w:val="86"/>
        </w:numPr>
        <w:spacing w:after="120" w:line="360" w:lineRule="auto"/>
        <w:contextualSpacing w:val="0"/>
        <w:jc w:val="both"/>
      </w:pPr>
      <w:r>
        <w:t>En ese contexto, para cumplir con lo dispuesto en la Constitución y en la Ley Orgánica de la PGE, la Procuraduría General del Estado en ese momento brindaba sus servicios a través de 7 áreas misionales, que se describían en el Estatuto Orgánico de Gestión por Procesos de la PGE, detalladas a continuación:</w:t>
      </w:r>
    </w:p>
    <w:p w14:paraId="65E2C52A" w14:textId="77777777" w:rsidR="007B3093" w:rsidRDefault="00000000">
      <w:pPr>
        <w:pStyle w:val="Prrafodelista"/>
        <w:numPr>
          <w:ilvl w:val="0"/>
          <w:numId w:val="87"/>
        </w:numPr>
        <w:spacing w:after="120" w:line="360" w:lineRule="auto"/>
        <w:jc w:val="both"/>
      </w:pPr>
      <w:r>
        <w:rPr>
          <w:b/>
          <w:bCs/>
        </w:rPr>
        <w:t>Dirección Nacional de Patrocinio:</w:t>
      </w:r>
      <w:r>
        <w:t xml:space="preserve"> Actúa obligatoriamente como parte procesal en los juicios en los que intervienen entidades estatales sin personería jurídica; asimismo, supervisa el desarrollo de los juicios en los que sean parte entidades públicas con personería jurídica, sin perjuicio de comparecer a estos juicios como parte procesal.</w:t>
      </w:r>
    </w:p>
    <w:p w14:paraId="47B2BA4B" w14:textId="77777777" w:rsidR="007B3093" w:rsidRDefault="00000000">
      <w:pPr>
        <w:pStyle w:val="Prrafodelista"/>
        <w:numPr>
          <w:ilvl w:val="0"/>
          <w:numId w:val="87"/>
        </w:numPr>
        <w:spacing w:after="120" w:line="360" w:lineRule="auto"/>
        <w:jc w:val="both"/>
      </w:pPr>
      <w:r>
        <w:rPr>
          <w:b/>
          <w:bCs/>
        </w:rPr>
        <w:t>Dirección Nacional de Asuntos Internacionales y Arbitraje:</w:t>
      </w:r>
      <w:r>
        <w:t xml:space="preserve"> Unidad responsable de la defensa de los intereses del Estado en jurisdicción internacional en los que se ventilan asuntos del Estado; de los arbitrajes nacionales e internacionales; y, de la elaboración de los proyectos de autorización y dictámenes previos a la firma de convenios arbitrales. Supervisa el desarrollo de los procesos en los que sean parte el Estado o entidades públicas que se encuentren acreditadas en el exterior como contraparte nacional. Tiene a su cargo además todos los asuntos de índole internacional en los que se requiera la participación de la Procuraduría General del Estado.</w:t>
      </w:r>
    </w:p>
    <w:p w14:paraId="2EA1A783" w14:textId="77777777" w:rsidR="007B3093" w:rsidRDefault="00000000">
      <w:pPr>
        <w:pStyle w:val="Prrafodelista"/>
        <w:numPr>
          <w:ilvl w:val="0"/>
          <w:numId w:val="87"/>
        </w:numPr>
        <w:spacing w:after="120" w:line="360" w:lineRule="auto"/>
        <w:jc w:val="both"/>
      </w:pPr>
      <w:r>
        <w:rPr>
          <w:b/>
          <w:bCs/>
        </w:rPr>
        <w:t>Dirección Nacional de Derechos Humanos:</w:t>
      </w:r>
      <w:r>
        <w:t xml:space="preserve"> Unidad responsable de ejercer la representación y defensa judicial del Estado ante Organismos Internacionales de Derechos Humanos que soliciten la adopción de medidas de prevención, investigación, sanción y reparación de casos de derechos humanos, precautelando el interés del Estado ecuatoriano.</w:t>
      </w:r>
    </w:p>
    <w:p w14:paraId="0AA42562" w14:textId="77777777" w:rsidR="007B3093" w:rsidRDefault="00000000">
      <w:pPr>
        <w:pStyle w:val="Prrafodelista"/>
        <w:numPr>
          <w:ilvl w:val="0"/>
          <w:numId w:val="87"/>
        </w:numPr>
        <w:spacing w:after="120" w:line="360" w:lineRule="auto"/>
        <w:jc w:val="both"/>
      </w:pPr>
      <w:r>
        <w:rPr>
          <w:b/>
          <w:bCs/>
        </w:rPr>
        <w:t>Dirección Nacional de Consultoría</w:t>
      </w:r>
      <w:r>
        <w:t>: Unidad responsable de la redacción de los proyectos de absolución de consultas sobre la inteligencia y aplicación de las normas legales o de otro orden jurídico, en las diversas materias de competencia de la Procuraduría General del Estado y someterlos a conocimiento y decisión del Procurador General del Estado.</w:t>
      </w:r>
    </w:p>
    <w:p w14:paraId="563ADD71" w14:textId="77777777" w:rsidR="007B3093" w:rsidRDefault="00000000">
      <w:pPr>
        <w:pStyle w:val="Prrafodelista"/>
        <w:numPr>
          <w:ilvl w:val="0"/>
          <w:numId w:val="87"/>
        </w:numPr>
        <w:spacing w:after="120" w:line="360" w:lineRule="auto"/>
        <w:jc w:val="both"/>
      </w:pPr>
      <w:r>
        <w:rPr>
          <w:b/>
          <w:bCs/>
        </w:rPr>
        <w:lastRenderedPageBreak/>
        <w:t>Dirección Nacional de Control de la Legalidad de Contratos</w:t>
      </w:r>
      <w:r>
        <w:t>: Unidad responsable de realizar el control posterior de los actos y contratos que celebren las entidades y organismos del sector público; así como de prestar asesoría y capacitar en materia legal en el ámbito de contratación pública, orientando la gestión hacia una contratación eficaz.</w:t>
      </w:r>
    </w:p>
    <w:p w14:paraId="2B4E24C6" w14:textId="77777777" w:rsidR="007B3093" w:rsidRDefault="00000000">
      <w:pPr>
        <w:pStyle w:val="Prrafodelista"/>
        <w:numPr>
          <w:ilvl w:val="0"/>
          <w:numId w:val="87"/>
        </w:numPr>
        <w:spacing w:after="120" w:line="360" w:lineRule="auto"/>
        <w:jc w:val="both"/>
      </w:pPr>
      <w:r>
        <w:rPr>
          <w:b/>
          <w:bCs/>
        </w:rPr>
        <w:t>Dirección Nacional de Iniciativa Legislativa e Investigaciones Jurídicas</w:t>
      </w:r>
      <w:r>
        <w:t>: Unidad responsable de redactar, presentar, sustentar y defender proyectos de ley, de iniciativa de la Procuraduría General del Estado, en el ámbito de sus competencias; así como de promover la investigación jurídica, a través de publicaciones -guías y manuales para la formación continua de los abogados- articulados a la capacitación.</w:t>
      </w:r>
    </w:p>
    <w:p w14:paraId="6FE588E8" w14:textId="77777777" w:rsidR="007B3093" w:rsidRDefault="00000000">
      <w:pPr>
        <w:pStyle w:val="Prrafodelista"/>
        <w:numPr>
          <w:ilvl w:val="0"/>
          <w:numId w:val="87"/>
        </w:numPr>
        <w:spacing w:after="120" w:line="360" w:lineRule="auto"/>
        <w:jc w:val="both"/>
      </w:pPr>
      <w:r>
        <w:rPr>
          <w:b/>
          <w:bCs/>
        </w:rPr>
        <w:t>Dirección Nacional de Mediación</w:t>
      </w:r>
      <w:r>
        <w:t>: Unidad responsable de facilitar la solución de controversias entre entidades del sector público o entre éstas con personas naturales o jurídicas del sector privado, que solicitaren la intervención del Centro de Mediación de la Procuraduría General del Estado.</w:t>
      </w:r>
    </w:p>
    <w:p w14:paraId="53C22956" w14:textId="77777777" w:rsidR="007B3093" w:rsidRDefault="007B3093">
      <w:pPr>
        <w:pStyle w:val="Prrafodelista"/>
        <w:spacing w:after="120" w:line="360" w:lineRule="auto"/>
        <w:ind w:left="426"/>
        <w:jc w:val="both"/>
        <w:rPr>
          <w:color w:val="FF0000"/>
        </w:rPr>
      </w:pPr>
    </w:p>
    <w:p w14:paraId="5AB8A839" w14:textId="77777777" w:rsidR="007B3093" w:rsidRDefault="00000000">
      <w:pPr>
        <w:pStyle w:val="Prrafodelista"/>
        <w:spacing w:after="120" w:line="360" w:lineRule="auto"/>
        <w:ind w:left="142"/>
        <w:jc w:val="both"/>
      </w:pPr>
      <w:r>
        <w:t xml:space="preserve">Para el año 2019, con la finalidad de fortalecer la gestión pública, el Gobierno Nacional inició el diseño e implementación del PROGRAMA DE MODERNIZACIÓN DE LA ADMINISTRACIÓN FINANCIERA (EC-L1249) con el Banco Interamericano de Desarrollo BID, que tiene como objetivo aumentar la eficiencia y transparencia de la gestión de los recursos públicos, a través de la modernización tecnológica de la gestión financiera y del fortalecimiento institucional del Ministerio de Economía y Finanzas MEF y la Procuraduría General del Estado PGE, ejecutores de la gestión de la administración financiera en el país. </w:t>
      </w:r>
    </w:p>
    <w:p w14:paraId="791A86B1" w14:textId="77777777" w:rsidR="007B3093" w:rsidRDefault="007B3093">
      <w:pPr>
        <w:pStyle w:val="Prrafodelista"/>
        <w:spacing w:after="120" w:line="360" w:lineRule="auto"/>
        <w:ind w:left="142"/>
        <w:jc w:val="both"/>
      </w:pPr>
    </w:p>
    <w:p w14:paraId="09AE3B66" w14:textId="77777777" w:rsidR="007B3093" w:rsidRDefault="00000000">
      <w:pPr>
        <w:pStyle w:val="Prrafodelista"/>
        <w:spacing w:after="120" w:line="360" w:lineRule="auto"/>
        <w:ind w:left="142"/>
        <w:jc w:val="both"/>
      </w:pPr>
      <w:r>
        <w:t>Para ello, el mencionado programa se estructuró en los siguientes componentes:</w:t>
      </w:r>
    </w:p>
    <w:p w14:paraId="7C297EB5" w14:textId="77777777" w:rsidR="007B3093" w:rsidRDefault="00000000">
      <w:pPr>
        <w:spacing w:after="120" w:line="360" w:lineRule="auto"/>
        <w:ind w:left="142"/>
        <w:jc w:val="both"/>
      </w:pPr>
      <w:r>
        <w:rPr>
          <w:b/>
        </w:rPr>
        <w:t>Componente 1. Modernización Tecnológica de la Gestión Financiera MEF.</w:t>
      </w:r>
      <w:r>
        <w:t xml:space="preserve"> - Este componente busca la implantación de una plataforma única de gestión de la información del ciclo financiero-contable de la administración pública, dotando a las entidades del gobierno central y descentralizado, de una herramienta digital que apoye todo el ciclo de presupuestación y ejecución del gasto público.</w:t>
      </w:r>
    </w:p>
    <w:p w14:paraId="5EEEF0F8" w14:textId="77777777" w:rsidR="007B3093" w:rsidRDefault="00000000">
      <w:pPr>
        <w:spacing w:after="120" w:line="360" w:lineRule="auto"/>
        <w:ind w:left="142"/>
        <w:jc w:val="both"/>
      </w:pPr>
      <w:r>
        <w:rPr>
          <w:b/>
        </w:rPr>
        <w:t xml:space="preserve">Componente 2.  Fortalecimiento institucional del MEF. </w:t>
      </w:r>
      <w:r>
        <w:t xml:space="preserve">- Este componente gestionará al desarrollo de las capacidades institucionales del MEF a fin de mejorar el desempeño de sus responsabilidades sobre la gestión de los recursos públicos. </w:t>
      </w:r>
    </w:p>
    <w:p w14:paraId="0F9F46D1" w14:textId="77777777" w:rsidR="007B3093" w:rsidRDefault="00000000">
      <w:pPr>
        <w:spacing w:after="120" w:line="360" w:lineRule="auto"/>
        <w:ind w:left="142"/>
        <w:jc w:val="both"/>
      </w:pPr>
      <w:r>
        <w:rPr>
          <w:b/>
        </w:rPr>
        <w:lastRenderedPageBreak/>
        <w:t>Componente 3. Fortalecimiento Institucional de la PGE.</w:t>
      </w:r>
      <w:r>
        <w:t xml:space="preserve"> - Este componente tiene acción directa sobre la institucionalidad de la Procuraduría General del Estado; se orienta a consolidar la capacidad de la defensa legal del interés público y el patrimonio del Estado para controlar los pasivos contingentes por litigios.</w:t>
      </w:r>
    </w:p>
    <w:p w14:paraId="6C6C88E7" w14:textId="77777777" w:rsidR="007B3093" w:rsidRDefault="00000000">
      <w:pPr>
        <w:spacing w:after="120" w:line="360" w:lineRule="auto"/>
        <w:ind w:left="142"/>
        <w:jc w:val="both"/>
      </w:pPr>
      <w:r>
        <w:t>En atención a lo descrito, para operativizar los recursos del Contrato de Préstamo No. 4812/OC-EC, que financia el Programa de Modernización de la Administración Financiera (EC-L1249), se crean tres proyectos, dos que acogen los Componentes 1 y 2 para ser ejecutados por MEF  y el tercer Proyecto: “Fortalecimiento Institucional de la Procuraduría General del Estado PROFIP”, que se gestiona para ser ejecutado por la Procuraduría General del Estado amparado bajo el paraguas del Componente 3 anotado en párrafos precedentes.</w:t>
      </w:r>
    </w:p>
    <w:p w14:paraId="1ACD02FA" w14:textId="77777777" w:rsidR="007B3093" w:rsidRDefault="00000000">
      <w:pPr>
        <w:spacing w:after="120" w:line="360" w:lineRule="auto"/>
        <w:ind w:left="142"/>
        <w:jc w:val="both"/>
      </w:pPr>
      <w:r>
        <w:t>Con asignación de CUP 195900000.0000.384324, este proyecto a través del tiempo ha recibido por parte de la Secretaría Nacional de Planificación los siguientes dictámenes de prioridad:</w:t>
      </w: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2618"/>
      </w:tblGrid>
      <w:tr w:rsidR="007B3093" w14:paraId="6C44D394" w14:textId="77777777">
        <w:tc>
          <w:tcPr>
            <w:tcW w:w="4181" w:type="dxa"/>
          </w:tcPr>
          <w:p w14:paraId="45F7EA71" w14:textId="77777777" w:rsidR="007B3093" w:rsidRDefault="00000000">
            <w:pPr>
              <w:spacing w:after="0" w:line="240" w:lineRule="auto"/>
              <w:jc w:val="center"/>
            </w:pPr>
            <w:r>
              <w:t>Oficio No. SENPLADES-SIP-2019-0412-OF</w:t>
            </w:r>
          </w:p>
        </w:tc>
        <w:tc>
          <w:tcPr>
            <w:tcW w:w="2618" w:type="dxa"/>
          </w:tcPr>
          <w:p w14:paraId="52E9BEAD" w14:textId="77777777" w:rsidR="007B3093" w:rsidRDefault="00000000">
            <w:pPr>
              <w:spacing w:after="0" w:line="240" w:lineRule="auto"/>
              <w:jc w:val="center"/>
            </w:pPr>
            <w:r>
              <w:t>Junio 7 de 2019</w:t>
            </w:r>
          </w:p>
        </w:tc>
      </w:tr>
      <w:tr w:rsidR="007B3093" w14:paraId="57F14D6F" w14:textId="77777777">
        <w:tc>
          <w:tcPr>
            <w:tcW w:w="4181" w:type="dxa"/>
          </w:tcPr>
          <w:p w14:paraId="2775C1B7" w14:textId="77777777" w:rsidR="007B3093" w:rsidRDefault="00000000">
            <w:pPr>
              <w:spacing w:after="0" w:line="240" w:lineRule="auto"/>
              <w:jc w:val="center"/>
            </w:pPr>
            <w:r>
              <w:t>Oficio No. SNP-SNP-SGP-2022-0098-O</w:t>
            </w:r>
          </w:p>
        </w:tc>
        <w:tc>
          <w:tcPr>
            <w:tcW w:w="2618" w:type="dxa"/>
          </w:tcPr>
          <w:p w14:paraId="6B954126" w14:textId="77777777" w:rsidR="007B3093" w:rsidRDefault="00000000">
            <w:pPr>
              <w:spacing w:after="0" w:line="240" w:lineRule="auto"/>
              <w:jc w:val="center"/>
            </w:pPr>
            <w:r>
              <w:t>Agosto 30 de 2022</w:t>
            </w:r>
          </w:p>
        </w:tc>
      </w:tr>
      <w:tr w:rsidR="007B3093" w14:paraId="618D9629" w14:textId="77777777">
        <w:tc>
          <w:tcPr>
            <w:tcW w:w="4181" w:type="dxa"/>
          </w:tcPr>
          <w:p w14:paraId="5F347443" w14:textId="77777777" w:rsidR="007B3093" w:rsidRDefault="00000000">
            <w:pPr>
              <w:spacing w:after="0" w:line="240" w:lineRule="auto"/>
              <w:jc w:val="center"/>
            </w:pPr>
            <w:r>
              <w:t>Oficio No. SNP-SNP-SGP-2024-0095-O</w:t>
            </w:r>
          </w:p>
        </w:tc>
        <w:tc>
          <w:tcPr>
            <w:tcW w:w="2618" w:type="dxa"/>
          </w:tcPr>
          <w:p w14:paraId="7A5D1F7A" w14:textId="77777777" w:rsidR="007B3093" w:rsidRDefault="00000000">
            <w:pPr>
              <w:spacing w:after="0" w:line="240" w:lineRule="auto"/>
              <w:jc w:val="center"/>
            </w:pPr>
            <w:r>
              <w:t>Febrero 28 de 2024 *</w:t>
            </w:r>
          </w:p>
        </w:tc>
      </w:tr>
      <w:tr w:rsidR="007B3093" w14:paraId="5CFE8BE6" w14:textId="77777777">
        <w:tc>
          <w:tcPr>
            <w:tcW w:w="4181" w:type="dxa"/>
          </w:tcPr>
          <w:p w14:paraId="0FC69311" w14:textId="77777777" w:rsidR="007B3093" w:rsidRDefault="00000000">
            <w:pPr>
              <w:spacing w:after="0" w:line="240" w:lineRule="auto"/>
              <w:jc w:val="center"/>
            </w:pPr>
            <w:r>
              <w:t>Oficio No. SNP-SNP-SGP-2024-0268-O</w:t>
            </w:r>
          </w:p>
        </w:tc>
        <w:tc>
          <w:tcPr>
            <w:tcW w:w="2618" w:type="dxa"/>
          </w:tcPr>
          <w:p w14:paraId="5004A36E" w14:textId="77777777" w:rsidR="007B3093" w:rsidRDefault="00000000">
            <w:pPr>
              <w:spacing w:after="0" w:line="240" w:lineRule="auto"/>
              <w:jc w:val="center"/>
            </w:pPr>
            <w:r>
              <w:t>Agosto 02 de 2024</w:t>
            </w:r>
          </w:p>
        </w:tc>
      </w:tr>
      <w:tr w:rsidR="007B3093" w14:paraId="0689612D" w14:textId="77777777">
        <w:tc>
          <w:tcPr>
            <w:tcW w:w="4181" w:type="dxa"/>
          </w:tcPr>
          <w:p w14:paraId="2C49E7B3" w14:textId="77777777" w:rsidR="007B3093" w:rsidRDefault="00000000">
            <w:pPr>
              <w:spacing w:after="0" w:line="240" w:lineRule="auto"/>
              <w:jc w:val="center"/>
            </w:pPr>
            <w:r>
              <w:t>Oficio No. SNP-SNP-SGP-2024-0466-O</w:t>
            </w:r>
          </w:p>
        </w:tc>
        <w:tc>
          <w:tcPr>
            <w:tcW w:w="2618" w:type="dxa"/>
          </w:tcPr>
          <w:p w14:paraId="2A4A7C25" w14:textId="77777777" w:rsidR="007B3093" w:rsidRDefault="00000000">
            <w:pPr>
              <w:spacing w:after="0" w:line="240" w:lineRule="auto"/>
              <w:jc w:val="center"/>
            </w:pPr>
            <w:r>
              <w:t>Noviembre 22 de 2024 *</w:t>
            </w:r>
          </w:p>
        </w:tc>
      </w:tr>
    </w:tbl>
    <w:p w14:paraId="5F61A4A2" w14:textId="77777777" w:rsidR="007B3093" w:rsidRDefault="00000000">
      <w:pPr>
        <w:pStyle w:val="Prrafodelista"/>
        <w:numPr>
          <w:ilvl w:val="0"/>
          <w:numId w:val="90"/>
        </w:numPr>
        <w:spacing w:after="0" w:line="240" w:lineRule="auto"/>
        <w:rPr>
          <w:sz w:val="20"/>
          <w:szCs w:val="20"/>
        </w:rPr>
      </w:pPr>
      <w:r>
        <w:rPr>
          <w:sz w:val="20"/>
          <w:szCs w:val="20"/>
        </w:rPr>
        <w:t>Corresponde a Reprogramación de Cronograma</w:t>
      </w:r>
    </w:p>
    <w:p w14:paraId="3FF5B7EA" w14:textId="77777777" w:rsidR="007B3093" w:rsidRDefault="007B3093">
      <w:pPr>
        <w:spacing w:after="0" w:line="240" w:lineRule="auto"/>
      </w:pPr>
    </w:p>
    <w:p w14:paraId="509D5669" w14:textId="77777777" w:rsidR="007B3093" w:rsidRDefault="00000000">
      <w:pPr>
        <w:spacing w:after="0" w:line="360" w:lineRule="auto"/>
        <w:ind w:left="68"/>
        <w:jc w:val="both"/>
      </w:pPr>
      <w:r>
        <w:t xml:space="preserve">Su ejecución encaminada a fortalecer la gestión de la PGE se ha realizado hasta 2024 conforme a lo programado, implicando la gestión de cinco componentes para alcanzar finalmente la optimización de los procesos institucionales y su sistematización.  </w:t>
      </w:r>
    </w:p>
    <w:p w14:paraId="3F08E225" w14:textId="77777777" w:rsidR="007B3093" w:rsidRDefault="007B3093">
      <w:pPr>
        <w:spacing w:after="0" w:line="360" w:lineRule="auto"/>
        <w:ind w:left="68"/>
        <w:jc w:val="both"/>
      </w:pPr>
    </w:p>
    <w:p w14:paraId="52D883C6" w14:textId="77777777" w:rsidR="007B3093" w:rsidRDefault="00000000">
      <w:pPr>
        <w:pStyle w:val="Sinespaciado"/>
        <w:spacing w:line="360" w:lineRule="auto"/>
        <w:jc w:val="both"/>
      </w:pPr>
      <w:r>
        <w:t>Considerando todas las causas identificadas que dan lugar al problema, y cada una de las consecuencias que se originan de esas causas, el problema identificado se define de la siguiente manera:</w:t>
      </w:r>
    </w:p>
    <w:p w14:paraId="57443711" w14:textId="77777777" w:rsidR="007B3093" w:rsidRDefault="00000000">
      <w:pPr>
        <w:shd w:val="clear" w:color="auto" w:fill="FFFFFF"/>
        <w:tabs>
          <w:tab w:val="left" w:pos="1644"/>
        </w:tabs>
        <w:spacing w:line="360" w:lineRule="auto"/>
        <w:jc w:val="both"/>
      </w:pPr>
      <w:r>
        <w:rPr>
          <w:noProof/>
          <w:lang w:val="en-US"/>
        </w:rPr>
        <mc:AlternateContent>
          <mc:Choice Requires="wpg">
            <w:drawing>
              <wp:anchor distT="0" distB="0" distL="114300" distR="114300" simplePos="0" relativeHeight="251658240" behindDoc="0" locked="0" layoutInCell="1" allowOverlap="1" wp14:anchorId="7F100F2F" wp14:editId="262389D1">
                <wp:simplePos x="0" y="0"/>
                <wp:positionH relativeFrom="margin">
                  <wp:posOffset>107521</wp:posOffset>
                </wp:positionH>
                <wp:positionV relativeFrom="paragraph">
                  <wp:posOffset>59513</wp:posOffset>
                </wp:positionV>
                <wp:extent cx="5465135" cy="925032"/>
                <wp:effectExtent l="0" t="0" r="21590" b="27940"/>
                <wp:wrapNone/>
                <wp:docPr id="156" name="Grupo 156"/>
                <wp:cNvGraphicFramePr/>
                <a:graphic xmlns:a="http://schemas.openxmlformats.org/drawingml/2006/main">
                  <a:graphicData uri="http://schemas.microsoft.com/office/word/2010/wordprocessingGroup">
                    <wpg:wgp>
                      <wpg:cNvGrpSpPr/>
                      <wpg:grpSpPr>
                        <a:xfrm>
                          <a:off x="0" y="0"/>
                          <a:ext cx="5465135" cy="925032"/>
                          <a:chOff x="0" y="0"/>
                          <a:chExt cx="5465135" cy="925032"/>
                        </a:xfrm>
                      </wpg:grpSpPr>
                      <wps:wsp>
                        <wps:cNvPr id="25" name="25 Rectángulo redondeado"/>
                        <wps:cNvSpPr>
                          <a:spLocks/>
                        </wps:cNvSpPr>
                        <wps:spPr>
                          <a:xfrm>
                            <a:off x="0" y="0"/>
                            <a:ext cx="1129665" cy="914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F68767" w14:textId="77777777" w:rsidR="007B3093" w:rsidRDefault="00000000">
                              <w:pPr>
                                <w:jc w:val="center"/>
                                <w:rPr>
                                  <w:rFonts w:cstheme="minorHAnsi"/>
                                  <w:bCs/>
                                  <w:color w:val="000000" w:themeColor="text1"/>
                                  <w:sz w:val="24"/>
                                </w:rPr>
                              </w:pPr>
                              <w:r>
                                <w:rPr>
                                  <w:rFonts w:cstheme="minorHAnsi"/>
                                  <w:bCs/>
                                  <w:color w:val="000000" w:themeColor="text1"/>
                                  <w:sz w:val="24"/>
                                </w:rPr>
                                <w:t>CAUSAS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Rectángulo redondeado"/>
                        <wps:cNvSpPr>
                          <a:spLocks/>
                        </wps:cNvSpPr>
                        <wps:spPr>
                          <a:xfrm>
                            <a:off x="3902149" y="0"/>
                            <a:ext cx="1562986" cy="914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51D1F6" w14:textId="77777777" w:rsidR="007B3093" w:rsidRDefault="00000000">
                              <w:pPr>
                                <w:jc w:val="center"/>
                                <w:rPr>
                                  <w:rFonts w:cstheme="minorHAnsi"/>
                                  <w:bCs/>
                                  <w:color w:val="000000" w:themeColor="text1"/>
                                  <w:sz w:val="24"/>
                                </w:rPr>
                              </w:pPr>
                              <w:r>
                                <w:rPr>
                                  <w:rFonts w:cstheme="minorHAnsi"/>
                                  <w:bCs/>
                                  <w:color w:val="000000" w:themeColor="text1"/>
                                  <w:sz w:val="24"/>
                                </w:rPr>
                                <w:t>CONSECUENCIAS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29 Recortar rectángulo de esquina diagonal"/>
                        <wps:cNvSpPr>
                          <a:spLocks/>
                        </wps:cNvSpPr>
                        <wps:spPr>
                          <a:xfrm>
                            <a:off x="1754372" y="10632"/>
                            <a:ext cx="1535430" cy="914400"/>
                          </a:xfrm>
                          <a:prstGeom prst="snip2Diag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E68AC5" w14:textId="77777777" w:rsidR="007B3093" w:rsidRDefault="00000000">
                              <w:pPr>
                                <w:jc w:val="center"/>
                                <w:rPr>
                                  <w:rFonts w:cstheme="minorHAnsi"/>
                                  <w:bCs/>
                                  <w:color w:val="000000" w:themeColor="text1"/>
                                  <w:sz w:val="24"/>
                                </w:rPr>
                              </w:pPr>
                              <w:r>
                                <w:rPr>
                                  <w:rFonts w:cstheme="minorHAnsi"/>
                                  <w:bCs/>
                                  <w:color w:val="000000" w:themeColor="text1"/>
                                  <w:sz w:val="24"/>
                                </w:rPr>
                                <w:t>PROBLEMA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26 Flecha derecha"/>
                        <wps:cNvSpPr>
                          <a:spLocks/>
                        </wps:cNvSpPr>
                        <wps:spPr>
                          <a:xfrm>
                            <a:off x="1137684" y="167905"/>
                            <a:ext cx="61531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33 Flecha derecha"/>
                        <wps:cNvSpPr>
                          <a:spLocks/>
                        </wps:cNvSpPr>
                        <wps:spPr>
                          <a:xfrm>
                            <a:off x="3285460" y="157273"/>
                            <a:ext cx="61531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00F2F" id="Grupo 156" o:spid="_x0000_s1028" style="position:absolute;left:0;text-align:left;margin-left:8.45pt;margin-top:4.7pt;width:430.35pt;height:72.85pt;z-index:251658240;mso-position-horizontal-relative:margin" coordsize="5465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">
                <v:roundrect id="25 Rectángulo redondeado" o:spid="_x0000_s1029" style="position:absolute;width:1129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" fillcolor="#deeaf6 [660]" strokecolor="#1f4d78 [1604]" strokeweight="1pt">
                  <v:stroke joinstyle="miter"/>
                  <v:path arrowok="t"/>
                  <v:textbox>
                    <w:txbxContent>
                      <w:p w14:paraId="16F68767" w14:textId="77777777" w:rsidR="007B3093" w:rsidRDefault="00000000">
                        <w:pPr>
                          <w:jc w:val="center"/>
                          <w:rPr>
                            <w:rFonts w:cstheme="minorHAnsi"/>
                            <w:bCs/>
                            <w:color w:val="000000" w:themeColor="text1"/>
                            <w:sz w:val="24"/>
                          </w:rPr>
                        </w:pPr>
                        <w:r>
                          <w:rPr>
                            <w:rFonts w:cstheme="minorHAnsi"/>
                            <w:bCs/>
                            <w:color w:val="000000" w:themeColor="text1"/>
                            <w:sz w:val="24"/>
                          </w:rPr>
                          <w:t>CAUSAS</w:t>
                        </w:r>
                      </w:p>
                    </w:txbxContent>
                  </v:textbox>
                </v:roundrect>
                <v:roundrect id="11 Rectángulo redondeado" o:spid="_x0000_s1030" style="position:absolute;left:39021;width:1563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" fillcolor="#deeaf6 [660]" strokecolor="#1f4d78 [1604]" strokeweight="1pt">
                  <v:stroke joinstyle="miter"/>
                  <v:path arrowok="t"/>
                  <v:textbox>
                    <w:txbxContent>
                      <w:p w14:paraId="6751D1F6" w14:textId="77777777" w:rsidR="007B3093" w:rsidRDefault="00000000">
                        <w:pPr>
                          <w:jc w:val="center"/>
                          <w:rPr>
                            <w:rFonts w:cstheme="minorHAnsi"/>
                            <w:bCs/>
                            <w:color w:val="000000" w:themeColor="text1"/>
                            <w:sz w:val="24"/>
                          </w:rPr>
                        </w:pPr>
                        <w:r>
                          <w:rPr>
                            <w:rFonts w:cstheme="minorHAnsi"/>
                            <w:bCs/>
                            <w:color w:val="000000" w:themeColor="text1"/>
                            <w:sz w:val="24"/>
                          </w:rPr>
                          <w:t>CONSECUENCIAS</w:t>
                        </w:r>
                      </w:p>
                    </w:txbxContent>
                  </v:textbox>
                </v:roundrect>
                <v:shape id="29 Recortar rectángulo de esquina diagonal" o:spid="_x0000_s1031" style="position:absolute;left:17543;top:106;width:15355;height:9144;visibility:visible;mso-wrap-style:square;v-text-anchor:middle" coordsize="153543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" adj="-11796480,,5400" path="m,l1383027,r152403,152403l1535430,914400r,l152403,914400,,761997,,xe" fillcolor="#acb9ca [1311]" strokecolor="#1f4d78 [1604]" strokeweight="1pt">
                  <v:stroke joinstyle="miter"/>
                  <v:formulas/>
                  <v:path arrowok="t" o:connecttype="custom" o:connectlocs="0,0;1383027,0;1535430,152403;1535430,914400;1535430,914400;152403,914400;0,761997;0,0" o:connectangles="0,0,0,0,0,0,0,0" textboxrect="0,0,1535430,914400"/>
                  <v:textbox>
                    <w:txbxContent>
                      <w:p w14:paraId="53E68AC5" w14:textId="77777777" w:rsidR="007B3093" w:rsidRDefault="00000000">
                        <w:pPr>
                          <w:jc w:val="center"/>
                          <w:rPr>
                            <w:rFonts w:cstheme="minorHAnsi"/>
                            <w:bCs/>
                            <w:color w:val="000000" w:themeColor="text1"/>
                            <w:sz w:val="24"/>
                          </w:rPr>
                        </w:pPr>
                        <w:r>
                          <w:rPr>
                            <w:rFonts w:cstheme="minorHAnsi"/>
                            <w:bCs/>
                            <w:color w:val="000000" w:themeColor="text1"/>
                            <w:sz w:val="24"/>
                          </w:rPr>
                          <w:t>PROBLEMA CENTRAL</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6 Flecha derecha" o:spid="_x0000_s1032" type="#_x0000_t13" style="position:absolute;left:11376;top:1679;width:6153;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" adj="13096" fillcolor="#5b9bd5 [3204]" strokecolor="#1f4d78 [1604]" strokeweight="1pt">
                  <v:path arrowok="t"/>
                </v:shape>
                <v:shape id="33 Flecha derecha" o:spid="_x0000_s1033" type="#_x0000_t13" style="position:absolute;left:32854;top:1572;width:6153;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" adj="13096" fillcolor="#4f81bd" strokecolor="#385d8a" strokeweight="2pt">
                  <v:path arrowok="t"/>
                </v:shape>
                <w10:wrap anchorx="margin"/>
              </v:group>
            </w:pict>
          </mc:Fallback>
        </mc:AlternateContent>
      </w:r>
      <w:r>
        <w:tab/>
      </w:r>
    </w:p>
    <w:p w14:paraId="6F0175D8" w14:textId="77777777" w:rsidR="007B3093" w:rsidRDefault="007B3093">
      <w:pPr>
        <w:shd w:val="clear" w:color="auto" w:fill="FFFFFF"/>
        <w:tabs>
          <w:tab w:val="left" w:pos="379"/>
          <w:tab w:val="left" w:pos="2323"/>
        </w:tabs>
        <w:spacing w:line="360" w:lineRule="auto"/>
        <w:jc w:val="both"/>
      </w:pPr>
    </w:p>
    <w:p w14:paraId="2612C42D" w14:textId="77777777" w:rsidR="007B3093" w:rsidRDefault="007B3093">
      <w:pPr>
        <w:shd w:val="clear" w:color="auto" w:fill="FFFFFF"/>
        <w:tabs>
          <w:tab w:val="left" w:pos="379"/>
          <w:tab w:val="left" w:pos="2323"/>
        </w:tabs>
        <w:spacing w:line="360" w:lineRule="auto"/>
        <w:jc w:val="both"/>
      </w:pPr>
    </w:p>
    <w:p w14:paraId="38FCAA9F" w14:textId="77777777" w:rsidR="007B3093" w:rsidRDefault="007B3093">
      <w:pPr>
        <w:spacing w:after="0" w:line="360" w:lineRule="auto"/>
        <w:jc w:val="both"/>
      </w:pPr>
    </w:p>
    <w:p w14:paraId="502A590C" w14:textId="77777777" w:rsidR="007B3093" w:rsidRDefault="00000000">
      <w:pPr>
        <w:spacing w:after="0" w:line="360" w:lineRule="auto"/>
        <w:jc w:val="both"/>
        <w:sectPr w:rsidR="007B3093">
          <w:headerReference w:type="default" r:id="rId11"/>
          <w:footerReference w:type="default" r:id="rId12"/>
          <w:pgSz w:w="11906" w:h="16838"/>
          <w:pgMar w:top="1843" w:right="1701" w:bottom="1417" w:left="1701" w:header="568" w:footer="708" w:gutter="0"/>
          <w:cols w:space="708"/>
          <w:docGrid w:linePitch="360"/>
        </w:sectPr>
      </w:pPr>
      <w:r>
        <w:t>En ese sentido acogiendo la metodología de la Secretaría Nacional de Planificación a continuación se expone el Árbol de Problemas que surge del análisis de esta situación:</w:t>
      </w:r>
    </w:p>
    <w:p w14:paraId="03A6FF8C" w14:textId="77777777" w:rsidR="007B3093" w:rsidRDefault="00000000">
      <w:pPr>
        <w:pStyle w:val="Ttulo2"/>
        <w:numPr>
          <w:ilvl w:val="1"/>
          <w:numId w:val="93"/>
        </w:numPr>
        <w:spacing w:before="0" w:line="360" w:lineRule="auto"/>
        <w:rPr>
          <w:rFonts w:asciiTheme="minorHAnsi" w:hAnsiTheme="minorHAnsi" w:cstheme="minorHAnsi"/>
          <w:b/>
          <w:color w:val="auto"/>
          <w:sz w:val="22"/>
          <w:szCs w:val="22"/>
          <w:lang w:eastAsia="es-EC"/>
        </w:rPr>
      </w:pPr>
      <w:bookmarkStart w:id="11" w:name="_Toc195010047"/>
      <w:r>
        <w:rPr>
          <w:rFonts w:asciiTheme="minorHAnsi" w:hAnsiTheme="minorHAnsi" w:cstheme="minorHAnsi"/>
          <w:b/>
          <w:color w:val="auto"/>
          <w:sz w:val="22"/>
          <w:szCs w:val="22"/>
          <w:lang w:eastAsia="es-EC"/>
        </w:rPr>
        <w:lastRenderedPageBreak/>
        <w:t>Identificación, descripción y diagnóstico del problema</w:t>
      </w:r>
      <w:bookmarkEnd w:id="11"/>
    </w:p>
    <w:p w14:paraId="38A65DB3" w14:textId="77777777" w:rsidR="007B3093" w:rsidRDefault="00000000">
      <w:pPr>
        <w:spacing w:after="0" w:line="360" w:lineRule="auto"/>
        <w:contextualSpacing/>
        <w:jc w:val="center"/>
        <w:rPr>
          <w:rFonts w:cstheme="minorHAnsi"/>
          <w:b/>
        </w:rPr>
      </w:pPr>
      <w:r>
        <w:rPr>
          <w:rFonts w:cstheme="minorHAnsi"/>
          <w:b/>
        </w:rPr>
        <w:t>Gráfico No. 1: Árbol de problemas de la Procuraduría General del Estado</w:t>
      </w:r>
    </w:p>
    <w:p w14:paraId="61656C93" w14:textId="77777777" w:rsidR="007B3093" w:rsidRDefault="00000000">
      <w:pPr>
        <w:spacing w:after="0" w:line="360" w:lineRule="auto"/>
        <w:contextualSpacing/>
        <w:jc w:val="center"/>
        <w:rPr>
          <w:rFonts w:cstheme="minorHAnsi"/>
        </w:rPr>
      </w:pPr>
      <w:r>
        <w:rPr>
          <w:rFonts w:cstheme="minorHAnsi"/>
          <w:noProof/>
          <w:lang w:val="en-US"/>
        </w:rPr>
        <w:drawing>
          <wp:inline distT="0" distB="0" distL="0" distR="0" wp14:anchorId="3C6AE7A0" wp14:editId="6C44B0A6">
            <wp:extent cx="9160879" cy="4619501"/>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82402" cy="4630354"/>
                    </a:xfrm>
                    <a:prstGeom prst="rect">
                      <a:avLst/>
                    </a:prstGeom>
                    <a:noFill/>
                  </pic:spPr>
                </pic:pic>
              </a:graphicData>
            </a:graphic>
          </wp:inline>
        </w:drawing>
      </w:r>
    </w:p>
    <w:p w14:paraId="0B03275C" w14:textId="77777777" w:rsidR="007B3093" w:rsidRDefault="00000000">
      <w:pPr>
        <w:spacing w:after="0" w:line="360" w:lineRule="auto"/>
        <w:contextualSpacing/>
        <w:jc w:val="center"/>
        <w:rPr>
          <w:rFonts w:cstheme="minorHAnsi"/>
          <w:b/>
          <w:sz w:val="20"/>
        </w:rPr>
      </w:pPr>
      <w:r>
        <w:rPr>
          <w:rFonts w:cstheme="minorHAnsi"/>
          <w:b/>
          <w:sz w:val="20"/>
        </w:rPr>
        <w:t>Fuente y elaboración: Consultoría para el Fortalecimiento de la Gestión Institucional de la PGE</w:t>
      </w:r>
    </w:p>
    <w:p w14:paraId="1309B3BD" w14:textId="77777777" w:rsidR="007B3093" w:rsidRDefault="007B3093">
      <w:pPr>
        <w:spacing w:after="0" w:line="360" w:lineRule="auto"/>
        <w:contextualSpacing/>
        <w:jc w:val="both"/>
        <w:rPr>
          <w:rFonts w:cstheme="minorHAnsi"/>
        </w:rPr>
        <w:sectPr w:rsidR="007B3093">
          <w:pgSz w:w="16838" w:h="11906" w:orient="landscape"/>
          <w:pgMar w:top="1701" w:right="1843" w:bottom="1701" w:left="1417" w:header="568" w:footer="708" w:gutter="0"/>
          <w:cols w:space="708"/>
          <w:docGrid w:linePitch="360"/>
        </w:sectPr>
      </w:pPr>
    </w:p>
    <w:p w14:paraId="76411FCA" w14:textId="77777777" w:rsidR="007B3093" w:rsidRDefault="00000000">
      <w:pPr>
        <w:spacing w:after="120" w:line="360" w:lineRule="auto"/>
        <w:jc w:val="both"/>
        <w:rPr>
          <w:rFonts w:cstheme="minorHAnsi"/>
        </w:rPr>
      </w:pPr>
      <w:r>
        <w:rPr>
          <w:rFonts w:cstheme="minorHAnsi"/>
        </w:rPr>
        <w:lastRenderedPageBreak/>
        <w:t xml:space="preserve">Como se puede observar en el Gráfico No. 1, el problema central que se identificó es: </w:t>
      </w:r>
    </w:p>
    <w:p w14:paraId="3B6D892F" w14:textId="77777777" w:rsidR="007B3093" w:rsidRDefault="00000000">
      <w:pPr>
        <w:spacing w:after="120" w:line="360" w:lineRule="auto"/>
        <w:jc w:val="both"/>
        <w:rPr>
          <w:b/>
          <w:bCs/>
          <w:sz w:val="24"/>
          <w:szCs w:val="24"/>
        </w:rPr>
      </w:pPr>
      <w:r>
        <w:rPr>
          <w:rFonts w:cstheme="minorHAnsi"/>
          <w:b/>
          <w:bCs/>
          <w:sz w:val="24"/>
          <w:szCs w:val="24"/>
        </w:rPr>
        <w:t xml:space="preserve">“Limitada capacidad </w:t>
      </w:r>
      <w:r>
        <w:rPr>
          <w:b/>
          <w:bCs/>
          <w:sz w:val="24"/>
          <w:szCs w:val="24"/>
        </w:rPr>
        <w:t>institucional de la Procuraduría General del Estado para cumplir las funciones establecidas por la constitución y la ley.</w:t>
      </w:r>
    </w:p>
    <w:p w14:paraId="7434B334" w14:textId="77777777" w:rsidR="007B3093" w:rsidRDefault="00000000">
      <w:pPr>
        <w:spacing w:after="120" w:line="360" w:lineRule="auto"/>
        <w:jc w:val="both"/>
      </w:pPr>
      <w:r>
        <w:t xml:space="preserve">A la Procuraduría General del Estado le corresponde: </w:t>
      </w:r>
    </w:p>
    <w:p w14:paraId="24CBB7A5" w14:textId="77777777" w:rsidR="007B3093" w:rsidRDefault="00000000">
      <w:pPr>
        <w:pStyle w:val="Prrafodelista"/>
        <w:numPr>
          <w:ilvl w:val="0"/>
          <w:numId w:val="88"/>
        </w:numPr>
        <w:spacing w:after="120" w:line="360" w:lineRule="auto"/>
        <w:jc w:val="both"/>
        <w:rPr>
          <w:sz w:val="24"/>
          <w:szCs w:val="24"/>
        </w:rPr>
      </w:pPr>
      <w:r>
        <w:t>La representación judicial del Estado</w:t>
      </w:r>
    </w:p>
    <w:p w14:paraId="36510232" w14:textId="77777777" w:rsidR="007B3093" w:rsidRDefault="00000000">
      <w:pPr>
        <w:pStyle w:val="Prrafodelista"/>
        <w:numPr>
          <w:ilvl w:val="0"/>
          <w:numId w:val="88"/>
        </w:numPr>
        <w:spacing w:after="120" w:line="360" w:lineRule="auto"/>
        <w:jc w:val="both"/>
        <w:rPr>
          <w:sz w:val="24"/>
          <w:szCs w:val="24"/>
        </w:rPr>
      </w:pPr>
      <w:r>
        <w:t>El patrocinio del Estado y de sus instituciones</w:t>
      </w:r>
    </w:p>
    <w:p w14:paraId="5CCDF60E" w14:textId="77777777" w:rsidR="007B3093" w:rsidRDefault="00000000">
      <w:pPr>
        <w:pStyle w:val="Prrafodelista"/>
        <w:numPr>
          <w:ilvl w:val="0"/>
          <w:numId w:val="88"/>
        </w:numPr>
        <w:spacing w:after="120" w:line="360" w:lineRule="auto"/>
        <w:jc w:val="both"/>
        <w:rPr>
          <w:sz w:val="24"/>
          <w:szCs w:val="24"/>
        </w:rPr>
      </w:pPr>
      <w:r>
        <w:t>El asesoramiento legal y la absolución de las consultas jurídicas a los organismos y entidades del sector público con carácter vinculante, sobre la inteligencia o aplicación de la ley, en aquellos temas en que la Constitución o la ley no otorguen competencias a otras autoridades u organismos; y,</w:t>
      </w:r>
    </w:p>
    <w:p w14:paraId="64655246" w14:textId="77777777" w:rsidR="007B3093" w:rsidRDefault="00000000">
      <w:pPr>
        <w:pStyle w:val="Prrafodelista"/>
        <w:numPr>
          <w:ilvl w:val="0"/>
          <w:numId w:val="88"/>
        </w:numPr>
        <w:spacing w:after="120" w:line="360" w:lineRule="auto"/>
        <w:jc w:val="both"/>
        <w:rPr>
          <w:sz w:val="24"/>
          <w:szCs w:val="24"/>
        </w:rPr>
      </w:pPr>
      <w:r>
        <w:t>El controlar con sujeción a la ley los actos y contratos que suscriban los organismos y entidades del sector público</w:t>
      </w:r>
      <w:r>
        <w:rPr>
          <w:vertAlign w:val="superscript"/>
        </w:rPr>
        <w:footnoteReference w:id="2"/>
      </w:r>
      <w:r>
        <w:t>.</w:t>
      </w:r>
    </w:p>
    <w:p w14:paraId="1E122372" w14:textId="77777777" w:rsidR="007B3093" w:rsidRDefault="00000000">
      <w:pPr>
        <w:spacing w:after="120" w:line="360" w:lineRule="auto"/>
        <w:jc w:val="both"/>
      </w:pPr>
      <w:r>
        <w:t>Se detectó que el óptimo cumplimiento de estas competencias se ha visto afectado por las carencias presentadas a nivel institucional que se reflejan en el árbol de problemas, siendo que el servicio público debe orientarse a generar un aporte a la seguridad jurídica del Estado con confiabilidad, transparencia y solidez.</w:t>
      </w:r>
    </w:p>
    <w:p w14:paraId="38E681FD" w14:textId="77777777" w:rsidR="007B3093" w:rsidRDefault="00000000">
      <w:pPr>
        <w:spacing w:after="120" w:line="360" w:lineRule="auto"/>
        <w:jc w:val="both"/>
      </w:pPr>
      <w:r>
        <w:t xml:space="preserve">En ese sentido el cumplimiento de estas funciones en la </w:t>
      </w:r>
      <w:proofErr w:type="gramStart"/>
      <w:r>
        <w:t>PGE,</w:t>
      </w:r>
      <w:proofErr w:type="gramEnd"/>
      <w:r>
        <w:t xml:space="preserve"> se vio limitado a causa del problema central, que surge como resultado de los cinco aspectos identificados en el árbol de problemas, al respecto se incluye el análisis correspondiente:  </w:t>
      </w:r>
    </w:p>
    <w:p w14:paraId="7E159BE0" w14:textId="77777777" w:rsidR="007B3093" w:rsidRDefault="007B3093">
      <w:pPr>
        <w:spacing w:after="120" w:line="360" w:lineRule="auto"/>
        <w:jc w:val="both"/>
      </w:pPr>
    </w:p>
    <w:p w14:paraId="1E09DFD5" w14:textId="77777777" w:rsidR="007B3093" w:rsidRDefault="00000000">
      <w:pPr>
        <w:pStyle w:val="Prrafodelista"/>
        <w:numPr>
          <w:ilvl w:val="1"/>
          <w:numId w:val="31"/>
        </w:numPr>
        <w:spacing w:after="120" w:line="360" w:lineRule="auto"/>
        <w:jc w:val="both"/>
        <w:rPr>
          <w:b/>
        </w:rPr>
      </w:pPr>
      <w:r>
        <w:rPr>
          <w:b/>
        </w:rPr>
        <w:t>Ausencia de Modelo de Gestión</w:t>
      </w:r>
    </w:p>
    <w:p w14:paraId="7BDCA0CD" w14:textId="77777777" w:rsidR="007B3093" w:rsidRDefault="00000000">
      <w:pPr>
        <w:spacing w:after="120" w:line="360" w:lineRule="auto"/>
        <w:jc w:val="both"/>
      </w:pPr>
      <w:r>
        <w:t>En lo que se refiere a Modelo de Gestión se dejó constancia de la carencia de procesos mejorados a 2018, esto tanto en unidades sustantivas, como en procesos adjetivos, ello determinó la incapacidad de monitoreo, seguimiento y mejora de las intervenciones.  Adicionalmente se reflexionó que la institución por avocarse a procesos de legalidad a 2018 gestionaba sus temas con una estructura carente de agilidad lo que imposibilitó la solución oportuna de las causas.</w:t>
      </w:r>
    </w:p>
    <w:p w14:paraId="5A11E20A" w14:textId="77777777" w:rsidR="007B3093" w:rsidRDefault="00000000">
      <w:pPr>
        <w:spacing w:after="120" w:line="360" w:lineRule="auto"/>
        <w:jc w:val="both"/>
      </w:pPr>
      <w:r>
        <w:lastRenderedPageBreak/>
        <w:t xml:space="preserve">Al carecer de procesos mejorados el funcionamiento institucional era complejo y tendiente a caer en la inoperancia; adicionalmente la institución operaba con tecnología obsoleta, tanto en software como en hardware.  </w:t>
      </w:r>
    </w:p>
    <w:p w14:paraId="7B19865A" w14:textId="77777777" w:rsidR="007B3093" w:rsidRDefault="00000000">
      <w:pPr>
        <w:spacing w:after="120" w:line="360" w:lineRule="auto"/>
        <w:jc w:val="both"/>
      </w:pPr>
      <w:r>
        <w:t xml:space="preserve">El escenario de las tecnologías y sus avances en el mundo contrasta con las </w:t>
      </w:r>
      <w:r>
        <w:rPr>
          <w:b/>
        </w:rPr>
        <w:t>capacidades informáticas</w:t>
      </w:r>
      <w:r>
        <w:t xml:space="preserve"> de la Procuraduría General del Estado, las posibilidades que presenta la informática y la conectividad estaban por explotarse, en ámbitos como: nuevos sistemas, mejora de los equipamientos, gobierno electrónico, portal institucional, etc., que ayuden a eliminar las restricciones en la parcelación de los sistemas, la restricción del flujo de información por mala discriminación en el establecimiento de perfiles, la </w:t>
      </w:r>
      <w:r>
        <w:rPr>
          <w:b/>
        </w:rPr>
        <w:t>falta de cobertura territorial de los sistemas y el déficit de reportes</w:t>
      </w:r>
      <w:r>
        <w:t xml:space="preserve">. </w:t>
      </w:r>
    </w:p>
    <w:p w14:paraId="1D441A0B" w14:textId="77777777" w:rsidR="007B3093" w:rsidRDefault="00000000">
      <w:pPr>
        <w:spacing w:after="0" w:line="360" w:lineRule="auto"/>
        <w:jc w:val="both"/>
        <w:rPr>
          <w:rFonts w:cstheme="minorHAnsi"/>
        </w:rPr>
      </w:pPr>
      <w:r>
        <w:t>Entre otros temas relevantes la Unidad de Informática identificó una lista de los requerimientos</w:t>
      </w:r>
      <w:r>
        <w:rPr>
          <w:rFonts w:cstheme="minorHAnsi"/>
        </w:rPr>
        <w:t xml:space="preserve"> que se consideran necesarios para la institución, a continuación:</w:t>
      </w:r>
    </w:p>
    <w:p w14:paraId="58A7C879" w14:textId="77777777" w:rsidR="007B3093" w:rsidRDefault="00000000">
      <w:pPr>
        <w:pStyle w:val="Prrafodelista"/>
        <w:numPr>
          <w:ilvl w:val="0"/>
          <w:numId w:val="3"/>
        </w:numPr>
        <w:autoSpaceDE w:val="0"/>
        <w:autoSpaceDN w:val="0"/>
        <w:adjustRightInd w:val="0"/>
        <w:spacing w:after="0" w:line="360" w:lineRule="auto"/>
        <w:ind w:left="426"/>
        <w:jc w:val="both"/>
        <w:rPr>
          <w:rFonts w:cstheme="minorHAnsi"/>
        </w:rPr>
      </w:pPr>
      <w:r>
        <w:rPr>
          <w:rFonts w:cstheme="minorHAnsi"/>
        </w:rPr>
        <w:t>Sistema de Talento Humano</w:t>
      </w:r>
      <w:r>
        <w:rPr>
          <w:rStyle w:val="Refdenotaalpie"/>
          <w:rFonts w:cstheme="minorHAnsi"/>
        </w:rPr>
        <w:footnoteReference w:id="3"/>
      </w:r>
      <w:r>
        <w:rPr>
          <w:rFonts w:cstheme="minorHAnsi"/>
        </w:rPr>
        <w:t xml:space="preserve">. </w:t>
      </w:r>
      <w:r>
        <w:rPr>
          <w:rFonts w:cstheme="minorHAnsi"/>
        </w:rPr>
        <w:tab/>
      </w:r>
    </w:p>
    <w:p w14:paraId="37C2B7CD" w14:textId="77777777" w:rsidR="007B3093" w:rsidRDefault="00000000">
      <w:pPr>
        <w:pStyle w:val="Prrafodelista"/>
        <w:numPr>
          <w:ilvl w:val="0"/>
          <w:numId w:val="3"/>
        </w:numPr>
        <w:autoSpaceDE w:val="0"/>
        <w:autoSpaceDN w:val="0"/>
        <w:adjustRightInd w:val="0"/>
        <w:spacing w:after="0" w:line="360" w:lineRule="auto"/>
        <w:ind w:left="426"/>
        <w:jc w:val="both"/>
        <w:rPr>
          <w:rFonts w:cstheme="minorHAnsi"/>
        </w:rPr>
      </w:pPr>
      <w:r>
        <w:rPr>
          <w:rFonts w:cstheme="minorHAnsi"/>
        </w:rPr>
        <w:t xml:space="preserve">Desarrollo del SGT para trámites internos y externos (CODI).  </w:t>
      </w:r>
      <w:r>
        <w:rPr>
          <w:rFonts w:cstheme="minorHAnsi"/>
        </w:rPr>
        <w:tab/>
      </w:r>
    </w:p>
    <w:p w14:paraId="44121840" w14:textId="77777777" w:rsidR="007B3093" w:rsidRDefault="00000000">
      <w:pPr>
        <w:pStyle w:val="Prrafodelista"/>
        <w:numPr>
          <w:ilvl w:val="0"/>
          <w:numId w:val="3"/>
        </w:numPr>
        <w:autoSpaceDE w:val="0"/>
        <w:autoSpaceDN w:val="0"/>
        <w:adjustRightInd w:val="0"/>
        <w:spacing w:after="0" w:line="360" w:lineRule="auto"/>
        <w:ind w:left="426"/>
        <w:jc w:val="both"/>
        <w:rPr>
          <w:rFonts w:cstheme="minorHAnsi"/>
        </w:rPr>
      </w:pPr>
      <w:r>
        <w:rPr>
          <w:rFonts w:cstheme="minorHAnsi"/>
        </w:rPr>
        <w:t>Desarrollo flujo Asesoría Legal Externa de Gabinete.</w:t>
      </w:r>
      <w:r>
        <w:rPr>
          <w:rFonts w:cstheme="minorHAnsi"/>
        </w:rPr>
        <w:tab/>
      </w:r>
    </w:p>
    <w:p w14:paraId="053934DB" w14:textId="77777777" w:rsidR="007B3093" w:rsidRDefault="00000000">
      <w:pPr>
        <w:pStyle w:val="Prrafodelista"/>
        <w:numPr>
          <w:ilvl w:val="0"/>
          <w:numId w:val="3"/>
        </w:numPr>
        <w:autoSpaceDE w:val="0"/>
        <w:autoSpaceDN w:val="0"/>
        <w:adjustRightInd w:val="0"/>
        <w:spacing w:after="0" w:line="360" w:lineRule="auto"/>
        <w:ind w:left="426"/>
        <w:jc w:val="both"/>
        <w:rPr>
          <w:rFonts w:cstheme="minorHAnsi"/>
        </w:rPr>
      </w:pPr>
      <w:r>
        <w:rPr>
          <w:rFonts w:cstheme="minorHAnsi"/>
        </w:rPr>
        <w:t>Configuración e implantación de módulo de digitalización de seguimiento de trámites internos para Coordinación Institucional.</w:t>
      </w:r>
    </w:p>
    <w:p w14:paraId="7EAD74B8" w14:textId="77777777" w:rsidR="007B3093" w:rsidRDefault="00000000">
      <w:pPr>
        <w:pStyle w:val="Prrafodelista"/>
        <w:numPr>
          <w:ilvl w:val="0"/>
          <w:numId w:val="3"/>
        </w:numPr>
        <w:autoSpaceDE w:val="0"/>
        <w:autoSpaceDN w:val="0"/>
        <w:adjustRightInd w:val="0"/>
        <w:spacing w:after="0" w:line="360" w:lineRule="auto"/>
        <w:ind w:left="426"/>
        <w:jc w:val="both"/>
        <w:rPr>
          <w:rFonts w:cstheme="minorHAnsi"/>
        </w:rPr>
      </w:pPr>
      <w:r>
        <w:rPr>
          <w:rFonts w:cstheme="minorHAnsi"/>
        </w:rPr>
        <w:t>Expediente Electrónico Secretaría General.</w:t>
      </w:r>
    </w:p>
    <w:p w14:paraId="5F63BBC4" w14:textId="77777777" w:rsidR="007B3093" w:rsidRDefault="00000000">
      <w:pPr>
        <w:pStyle w:val="Prrafodelista"/>
        <w:numPr>
          <w:ilvl w:val="0"/>
          <w:numId w:val="3"/>
        </w:numPr>
        <w:autoSpaceDE w:val="0"/>
        <w:autoSpaceDN w:val="0"/>
        <w:adjustRightInd w:val="0"/>
        <w:spacing w:after="0" w:line="360" w:lineRule="auto"/>
        <w:ind w:left="426"/>
        <w:jc w:val="both"/>
        <w:rPr>
          <w:rFonts w:cstheme="minorHAnsi"/>
        </w:rPr>
      </w:pPr>
      <w:r>
        <w:rPr>
          <w:rFonts w:cstheme="minorHAnsi"/>
        </w:rPr>
        <w:t>Ejecución de la Ley de Optimización y eficiencia de trámites administrativos.</w:t>
      </w:r>
    </w:p>
    <w:p w14:paraId="10273109" w14:textId="77777777" w:rsidR="007B3093" w:rsidRDefault="00000000">
      <w:pPr>
        <w:pStyle w:val="Prrafodelista"/>
        <w:numPr>
          <w:ilvl w:val="0"/>
          <w:numId w:val="3"/>
        </w:numPr>
        <w:autoSpaceDE w:val="0"/>
        <w:autoSpaceDN w:val="0"/>
        <w:adjustRightInd w:val="0"/>
        <w:spacing w:after="0" w:line="360" w:lineRule="auto"/>
        <w:ind w:left="426"/>
        <w:jc w:val="both"/>
        <w:rPr>
          <w:rFonts w:cstheme="minorHAnsi"/>
        </w:rPr>
      </w:pPr>
      <w:r>
        <w:rPr>
          <w:rFonts w:cstheme="minorHAnsi"/>
        </w:rPr>
        <w:t>Análisis del Sistema Administrativo.</w:t>
      </w:r>
    </w:p>
    <w:p w14:paraId="4A90F026" w14:textId="77777777" w:rsidR="007B3093" w:rsidRDefault="00000000">
      <w:pPr>
        <w:pStyle w:val="Prrafodelista"/>
        <w:numPr>
          <w:ilvl w:val="0"/>
          <w:numId w:val="3"/>
        </w:numPr>
        <w:autoSpaceDE w:val="0"/>
        <w:autoSpaceDN w:val="0"/>
        <w:adjustRightInd w:val="0"/>
        <w:spacing w:after="0" w:line="360" w:lineRule="auto"/>
        <w:ind w:left="426"/>
        <w:jc w:val="both"/>
        <w:rPr>
          <w:rFonts w:cstheme="minorHAnsi"/>
        </w:rPr>
      </w:pPr>
      <w:r>
        <w:rPr>
          <w:rFonts w:cstheme="minorHAnsi"/>
        </w:rPr>
        <w:t>Índice de Contexto del Centro de Mediación (avance: 35%).</w:t>
      </w:r>
    </w:p>
    <w:p w14:paraId="3559BF64" w14:textId="77777777" w:rsidR="007B3093" w:rsidRDefault="007B3093">
      <w:pPr>
        <w:autoSpaceDE w:val="0"/>
        <w:autoSpaceDN w:val="0"/>
        <w:adjustRightInd w:val="0"/>
        <w:spacing w:after="0" w:line="360" w:lineRule="auto"/>
        <w:contextualSpacing/>
        <w:jc w:val="both"/>
        <w:rPr>
          <w:rFonts w:cstheme="minorHAnsi"/>
        </w:rPr>
      </w:pPr>
    </w:p>
    <w:p w14:paraId="4F103425" w14:textId="77777777" w:rsidR="007B3093" w:rsidRDefault="00000000">
      <w:pPr>
        <w:autoSpaceDE w:val="0"/>
        <w:autoSpaceDN w:val="0"/>
        <w:adjustRightInd w:val="0"/>
        <w:spacing w:after="0" w:line="360" w:lineRule="auto"/>
        <w:contextualSpacing/>
        <w:jc w:val="both"/>
        <w:rPr>
          <w:rFonts w:cstheme="minorHAnsi"/>
        </w:rPr>
      </w:pPr>
      <w:r>
        <w:rPr>
          <w:rFonts w:cstheme="minorHAnsi"/>
        </w:rPr>
        <w:t>A esta lista se deben adicionar los requerimientos respecto del mantenimiento de sistemas:</w:t>
      </w:r>
    </w:p>
    <w:p w14:paraId="3BAD60F5" w14:textId="77777777" w:rsidR="007B3093" w:rsidRDefault="00000000">
      <w:pPr>
        <w:pStyle w:val="Prrafodelista"/>
        <w:numPr>
          <w:ilvl w:val="0"/>
          <w:numId w:val="2"/>
        </w:numPr>
        <w:autoSpaceDE w:val="0"/>
        <w:autoSpaceDN w:val="0"/>
        <w:adjustRightInd w:val="0"/>
        <w:spacing w:after="0" w:line="360" w:lineRule="auto"/>
        <w:ind w:left="426"/>
        <w:jc w:val="both"/>
        <w:rPr>
          <w:rFonts w:cstheme="minorHAnsi"/>
        </w:rPr>
      </w:pPr>
      <w:r>
        <w:rPr>
          <w:rFonts w:cstheme="minorHAnsi"/>
        </w:rPr>
        <w:t xml:space="preserve">Actualización de los flujos de trabajo de las oficinas de Guayaquil, Machala y Galápagos del proceso de Centro de Mediación. </w:t>
      </w:r>
      <w:r>
        <w:rPr>
          <w:rFonts w:cstheme="minorHAnsi"/>
        </w:rPr>
        <w:tab/>
      </w:r>
    </w:p>
    <w:p w14:paraId="056D77F7" w14:textId="77777777" w:rsidR="007B3093" w:rsidRDefault="00000000">
      <w:pPr>
        <w:pStyle w:val="Prrafodelista"/>
        <w:numPr>
          <w:ilvl w:val="0"/>
          <w:numId w:val="2"/>
        </w:numPr>
        <w:autoSpaceDE w:val="0"/>
        <w:autoSpaceDN w:val="0"/>
        <w:adjustRightInd w:val="0"/>
        <w:spacing w:after="120" w:line="360" w:lineRule="auto"/>
        <w:ind w:left="426"/>
        <w:contextualSpacing w:val="0"/>
        <w:jc w:val="both"/>
        <w:rPr>
          <w:rFonts w:cstheme="minorHAnsi"/>
        </w:rPr>
      </w:pPr>
      <w:r>
        <w:rPr>
          <w:rFonts w:cstheme="minorHAnsi"/>
        </w:rPr>
        <w:t>Actualización del flujo de trabajo de la Dirección Nacional de Consultoría con 2 subdirecciones para control.</w:t>
      </w:r>
    </w:p>
    <w:p w14:paraId="539FF3DB" w14:textId="77777777" w:rsidR="007B3093" w:rsidRDefault="00000000">
      <w:pPr>
        <w:pStyle w:val="Prrafodelista"/>
        <w:spacing w:after="120" w:line="360" w:lineRule="auto"/>
        <w:ind w:left="142"/>
        <w:contextualSpacing w:val="0"/>
        <w:jc w:val="both"/>
      </w:pPr>
      <w:r>
        <w:t xml:space="preserve">Por otro lado, si bien el subfactor “herramientas”, recibió un resultado positivo en la “Medición de Clima Laboral y Cultura Organizacional” que realizó el Ministerio del Trabajo, previamente </w:t>
      </w:r>
      <w:r>
        <w:lastRenderedPageBreak/>
        <w:t xml:space="preserve">citado, cabe destacar que las unidades institucionales presentaban carencias de: laptops, impresoras, escáneres, wifi, conexiones más rápidas a internet, copiadoras, etc. </w:t>
      </w:r>
    </w:p>
    <w:p w14:paraId="3A5AEA15" w14:textId="77777777" w:rsidR="007B3093" w:rsidRDefault="007B3093">
      <w:pPr>
        <w:pStyle w:val="Prrafodelista"/>
        <w:spacing w:after="120" w:line="360" w:lineRule="auto"/>
        <w:ind w:left="142"/>
        <w:contextualSpacing w:val="0"/>
        <w:jc w:val="both"/>
      </w:pPr>
    </w:p>
    <w:p w14:paraId="4CD2F315" w14:textId="77777777" w:rsidR="007B3093" w:rsidRDefault="00000000">
      <w:pPr>
        <w:pStyle w:val="Prrafodelista"/>
        <w:spacing w:after="120" w:line="360" w:lineRule="auto"/>
        <w:ind w:left="142"/>
        <w:contextualSpacing w:val="0"/>
        <w:jc w:val="both"/>
      </w:pPr>
      <w:r>
        <w:t xml:space="preserve">En la medición realizada por el Ministerio de Trabajo en noviembre de 2018, se estableció una </w:t>
      </w:r>
      <w:r>
        <w:rPr>
          <w:b/>
        </w:rPr>
        <w:t>recomendación respecto a implementar acciones de mejora, en las instalaciones</w:t>
      </w:r>
      <w:r>
        <w:t xml:space="preserve"> de la Procuraduría General del Estado</w:t>
      </w:r>
      <w:r>
        <w:rPr>
          <w:vertAlign w:val="superscript"/>
        </w:rPr>
        <w:footnoteReference w:id="4"/>
      </w:r>
      <w:r>
        <w:t>. En lo que se refiere al edificio matriz, algunas oficinas se identificaron como demasiado grandes, con paredes fijas que restringían las posibilidades de repartir las áreas de trabajo. En las unidades desconcentradas también se presentaron problemáticas de infraestructura, conectividad y tecnología.</w:t>
      </w:r>
    </w:p>
    <w:p w14:paraId="53C44318" w14:textId="77777777" w:rsidR="007B3093" w:rsidRDefault="00000000">
      <w:pPr>
        <w:pStyle w:val="Prrafodelista"/>
        <w:spacing w:after="120" w:line="360" w:lineRule="auto"/>
        <w:ind w:left="142"/>
        <w:contextualSpacing w:val="0"/>
        <w:jc w:val="both"/>
      </w:pPr>
      <w:r>
        <w:t xml:space="preserve">Teniendo en cuenta la estructura de la Procuraduría General del Estado, que caracteriza a la institución como una unidad intensiva en trabajo, las restricciones que se identificaron para cubrir las </w:t>
      </w:r>
      <w:r>
        <w:rPr>
          <w:b/>
        </w:rPr>
        <w:t>necesidades de capacitación</w:t>
      </w:r>
      <w:r>
        <w:t xml:space="preserve"> fueron especialmente relevantes. Sobre todo, en un ámbito donde los cambios en la legislación y la doctrina obligan a una actualización constante para poder cubrir las demandas y consultas de las instituciones estatales que constituyen el cliente externo de la entidad.</w:t>
      </w:r>
    </w:p>
    <w:p w14:paraId="2B4EE116" w14:textId="77777777" w:rsidR="007B3093" w:rsidRDefault="00000000">
      <w:pPr>
        <w:pStyle w:val="Prrafodelista"/>
        <w:spacing w:after="120" w:line="360" w:lineRule="auto"/>
        <w:ind w:left="142"/>
        <w:contextualSpacing w:val="0"/>
        <w:jc w:val="both"/>
      </w:pPr>
      <w:r>
        <w:t xml:space="preserve">Al déficit de soluciones tecnológicas, instalaciones adecuadas, equipamiento y capacitación, se sumó la </w:t>
      </w:r>
      <w:r>
        <w:rPr>
          <w:b/>
        </w:rPr>
        <w:t>ausencia de un “Modelo de Gestión” documentado</w:t>
      </w:r>
      <w:r>
        <w:t>.  La Procuraduría General del Estado carecía de un instrumento que de cuentas de la especificidad de su modelo de gestión incluyendo la forma de organización y procesos para la provisión de sus servicios.</w:t>
      </w:r>
    </w:p>
    <w:p w14:paraId="0C1DDC04" w14:textId="77777777" w:rsidR="007B3093" w:rsidRDefault="007B3093">
      <w:pPr>
        <w:pStyle w:val="Prrafodelista"/>
        <w:spacing w:after="120" w:line="360" w:lineRule="auto"/>
        <w:ind w:left="142" w:firstLine="425"/>
        <w:contextualSpacing w:val="0"/>
        <w:jc w:val="both"/>
      </w:pPr>
    </w:p>
    <w:p w14:paraId="708E42D1" w14:textId="77777777" w:rsidR="007B3093" w:rsidRDefault="00000000">
      <w:pPr>
        <w:pStyle w:val="Prrafodelista"/>
        <w:numPr>
          <w:ilvl w:val="1"/>
          <w:numId w:val="31"/>
        </w:numPr>
        <w:spacing w:after="120" w:line="360" w:lineRule="auto"/>
        <w:jc w:val="both"/>
        <w:rPr>
          <w:b/>
        </w:rPr>
      </w:pPr>
      <w:r>
        <w:rPr>
          <w:b/>
        </w:rPr>
        <w:t>Limitada capacidad para defensa legal del Estado</w:t>
      </w:r>
    </w:p>
    <w:p w14:paraId="1CA64310" w14:textId="77777777" w:rsidR="007B3093" w:rsidRDefault="00000000">
      <w:pPr>
        <w:pStyle w:val="Prrafodelista"/>
        <w:spacing w:after="120" w:line="360" w:lineRule="auto"/>
        <w:ind w:left="142"/>
        <w:contextualSpacing w:val="0"/>
        <w:jc w:val="both"/>
      </w:pPr>
      <w:r>
        <w:t xml:space="preserve">Hay que señalar la acumulación de causas activas que se enfrentó, por ejemplo, en la actividad de patrocinio en el año 2018 tuvo cerca de 98 mil </w:t>
      </w:r>
      <w:r>
        <w:rPr>
          <w:b/>
        </w:rPr>
        <w:t>causas activas, que se han ido acumulando durante el tiempo</w:t>
      </w:r>
      <w:r>
        <w:t xml:space="preserve">.   </w:t>
      </w:r>
      <w:proofErr w:type="gramStart"/>
      <w:r>
        <w:t>De acuerdo a</w:t>
      </w:r>
      <w:proofErr w:type="gramEnd"/>
      <w:r>
        <w:t xml:space="preserve"> los registros de la Unidad de Informática, tras una depuración, los trámites acumulados de la Dirección de Patrocinio bajaron de alrededor de 155 mil en 2013 a alrededor de 88 mil en 2014. </w:t>
      </w:r>
      <w:proofErr w:type="gramStart"/>
      <w:r>
        <w:t>De acuerdo a</w:t>
      </w:r>
      <w:proofErr w:type="gramEnd"/>
      <w:r>
        <w:t xml:space="preserve"> lo anterior se requeriría una acción de revisión, validación y solución de trámites nuevamente.</w:t>
      </w:r>
    </w:p>
    <w:p w14:paraId="31678F76" w14:textId="77777777" w:rsidR="007B3093" w:rsidRDefault="00000000">
      <w:pPr>
        <w:pStyle w:val="Prrafodelista"/>
        <w:spacing w:after="120" w:line="360" w:lineRule="auto"/>
        <w:ind w:left="142"/>
        <w:contextualSpacing w:val="0"/>
        <w:jc w:val="both"/>
      </w:pPr>
      <w:r>
        <w:t xml:space="preserve">La falta de monitoreo de metas y resultados, la generación de información respecto de los tiempos de respuesta, la ausencia de una solución informática que aumenten la eficiencia de la actividad diaria, la incompleta interconexión con las unidades desconcentradas, etc., </w:t>
      </w:r>
      <w:r>
        <w:rPr>
          <w:b/>
        </w:rPr>
        <w:t xml:space="preserve">son la </w:t>
      </w:r>
      <w:r>
        <w:rPr>
          <w:b/>
        </w:rPr>
        <w:lastRenderedPageBreak/>
        <w:t>causa del incremento de tiempos de respuesta</w:t>
      </w:r>
      <w:r>
        <w:t xml:space="preserve"> a requerimientos generados por los clientes externos.</w:t>
      </w:r>
    </w:p>
    <w:p w14:paraId="6CF762C1" w14:textId="77777777" w:rsidR="007B3093" w:rsidRDefault="007B3093">
      <w:pPr>
        <w:pStyle w:val="Prrafodelista"/>
        <w:spacing w:after="120" w:line="360" w:lineRule="auto"/>
        <w:ind w:left="142"/>
        <w:contextualSpacing w:val="0"/>
        <w:jc w:val="both"/>
      </w:pPr>
    </w:p>
    <w:p w14:paraId="69946B7D" w14:textId="77777777" w:rsidR="007B3093" w:rsidRDefault="00000000">
      <w:pPr>
        <w:pStyle w:val="Prrafodelista"/>
        <w:numPr>
          <w:ilvl w:val="1"/>
          <w:numId w:val="31"/>
        </w:numPr>
        <w:spacing w:after="120" w:line="360" w:lineRule="auto"/>
        <w:jc w:val="both"/>
        <w:rPr>
          <w:b/>
        </w:rPr>
      </w:pPr>
      <w:r>
        <w:rPr>
          <w:b/>
        </w:rPr>
        <w:t>Capacidad Limitada de control, consultoría y asesoría legal de la PGE</w:t>
      </w:r>
    </w:p>
    <w:p w14:paraId="7DEC9178" w14:textId="77777777" w:rsidR="007B3093" w:rsidRDefault="00000000">
      <w:pPr>
        <w:pStyle w:val="Prrafodelista"/>
        <w:spacing w:after="120" w:line="360" w:lineRule="auto"/>
        <w:ind w:left="142"/>
        <w:contextualSpacing w:val="0"/>
        <w:jc w:val="both"/>
        <w:rPr>
          <w:rFonts w:cstheme="minorHAnsi"/>
        </w:rPr>
      </w:pPr>
      <w:r>
        <w:t>Otra causa que contribuye al problema detectado fue la problemática derivada de las abstenciones anuales que se presentan en las solicitudes recibidas por la Dirección de Consultoría, que se</w:t>
      </w:r>
      <w:r>
        <w:rPr>
          <w:rFonts w:cstheme="minorHAnsi"/>
        </w:rPr>
        <w:t xml:space="preserve"> muestran en Tabla 3, para los dos semestres del año 2018:</w:t>
      </w:r>
    </w:p>
    <w:p w14:paraId="77959A7B" w14:textId="77777777" w:rsidR="007B3093" w:rsidRDefault="007B3093">
      <w:pPr>
        <w:pStyle w:val="Prrafodelista"/>
        <w:spacing w:after="120" w:line="360" w:lineRule="auto"/>
        <w:ind w:left="142" w:firstLine="425"/>
        <w:contextualSpacing w:val="0"/>
        <w:jc w:val="both"/>
        <w:rPr>
          <w:rFonts w:cstheme="minorHAnsi"/>
        </w:rPr>
      </w:pPr>
    </w:p>
    <w:p w14:paraId="4154647C" w14:textId="77777777" w:rsidR="007B3093" w:rsidRDefault="00000000">
      <w:pPr>
        <w:autoSpaceDE w:val="0"/>
        <w:autoSpaceDN w:val="0"/>
        <w:adjustRightInd w:val="0"/>
        <w:spacing w:after="0" w:line="360" w:lineRule="auto"/>
        <w:ind w:left="-502" w:right="-1"/>
        <w:jc w:val="center"/>
        <w:rPr>
          <w:rFonts w:cstheme="minorHAnsi"/>
        </w:rPr>
      </w:pPr>
      <w:r>
        <w:rPr>
          <w:rFonts w:cstheme="minorHAnsi"/>
          <w:b/>
        </w:rPr>
        <w:t>Tabla 3: Causal de abstenciones por semestre del año 2018.</w:t>
      </w:r>
    </w:p>
    <w:p w14:paraId="5D9FB001" w14:textId="77777777" w:rsidR="007B3093" w:rsidRDefault="00000000">
      <w:pPr>
        <w:autoSpaceDE w:val="0"/>
        <w:autoSpaceDN w:val="0"/>
        <w:adjustRightInd w:val="0"/>
        <w:spacing w:after="0" w:line="360" w:lineRule="auto"/>
        <w:ind w:left="-502" w:right="-1"/>
        <w:jc w:val="center"/>
        <w:rPr>
          <w:rFonts w:cstheme="minorHAnsi"/>
        </w:rPr>
      </w:pPr>
      <w:r>
        <w:rPr>
          <w:rFonts w:cstheme="minorHAnsi"/>
          <w:noProof/>
          <w:lang w:val="en-US"/>
        </w:rPr>
        <w:drawing>
          <wp:inline distT="0" distB="0" distL="0" distR="0" wp14:anchorId="2239D41B" wp14:editId="1F8AD6C5">
            <wp:extent cx="6156188" cy="28346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9387" cy="2854531"/>
                    </a:xfrm>
                    <a:prstGeom prst="rect">
                      <a:avLst/>
                    </a:prstGeom>
                    <a:noFill/>
                    <a:ln>
                      <a:noFill/>
                    </a:ln>
                  </pic:spPr>
                </pic:pic>
              </a:graphicData>
            </a:graphic>
          </wp:inline>
        </w:drawing>
      </w:r>
    </w:p>
    <w:p w14:paraId="522FF0BA" w14:textId="77777777" w:rsidR="007B3093" w:rsidRDefault="00000000">
      <w:pPr>
        <w:autoSpaceDE w:val="0"/>
        <w:autoSpaceDN w:val="0"/>
        <w:adjustRightInd w:val="0"/>
        <w:spacing w:after="0" w:line="360" w:lineRule="auto"/>
        <w:contextualSpacing/>
        <w:rPr>
          <w:rFonts w:cstheme="minorHAnsi"/>
          <w:b/>
          <w:sz w:val="18"/>
          <w:szCs w:val="20"/>
        </w:rPr>
      </w:pPr>
      <w:r>
        <w:rPr>
          <w:rFonts w:cstheme="minorHAnsi"/>
          <w:b/>
          <w:sz w:val="18"/>
          <w:szCs w:val="20"/>
        </w:rPr>
        <w:t>Fuente y Elaboración:</w:t>
      </w:r>
      <w:r>
        <w:rPr>
          <w:rFonts w:cstheme="minorHAnsi"/>
          <w:sz w:val="20"/>
        </w:rPr>
        <w:t xml:space="preserve"> </w:t>
      </w:r>
      <w:r>
        <w:rPr>
          <w:rFonts w:cstheme="minorHAnsi"/>
          <w:b/>
          <w:sz w:val="18"/>
          <w:szCs w:val="20"/>
        </w:rPr>
        <w:t>Dirección de Consultoría – PGE</w:t>
      </w:r>
    </w:p>
    <w:p w14:paraId="1432EBA9" w14:textId="77777777" w:rsidR="007B3093" w:rsidRDefault="007B3093">
      <w:pPr>
        <w:autoSpaceDE w:val="0"/>
        <w:autoSpaceDN w:val="0"/>
        <w:adjustRightInd w:val="0"/>
        <w:spacing w:after="0" w:line="360" w:lineRule="auto"/>
        <w:contextualSpacing/>
        <w:jc w:val="center"/>
        <w:rPr>
          <w:rFonts w:cstheme="minorHAnsi"/>
          <w:b/>
          <w:sz w:val="20"/>
          <w:szCs w:val="20"/>
        </w:rPr>
      </w:pPr>
    </w:p>
    <w:p w14:paraId="00876EF1" w14:textId="77777777" w:rsidR="007B3093" w:rsidRDefault="00000000">
      <w:pPr>
        <w:pStyle w:val="Prrafodelista"/>
        <w:spacing w:after="120" w:line="360" w:lineRule="auto"/>
        <w:ind w:left="142"/>
        <w:contextualSpacing w:val="0"/>
        <w:jc w:val="both"/>
      </w:pPr>
      <w:r>
        <w:t xml:space="preserve">La </w:t>
      </w:r>
      <w:r>
        <w:rPr>
          <w:b/>
        </w:rPr>
        <w:t>alta devolución de solicitudes de consultoría</w:t>
      </w:r>
      <w:r>
        <w:t xml:space="preserve"> mostrados en la tabla anterior tuvo como origen diversos motivos relacionados con la </w:t>
      </w:r>
      <w:r>
        <w:rPr>
          <w:b/>
        </w:rPr>
        <w:t>falta de cumplimiento de requisitos</w:t>
      </w:r>
      <w:r>
        <w:t xml:space="preserve"> por parte de los clientes externos o la falta de pertinencia jurídica para atender las consultas, debidas generalmente al desconocimiento de estos requisitos.</w:t>
      </w:r>
    </w:p>
    <w:p w14:paraId="66B7BE08" w14:textId="77777777" w:rsidR="007B3093" w:rsidRDefault="00000000">
      <w:pPr>
        <w:pStyle w:val="Prrafodelista"/>
        <w:spacing w:after="120" w:line="360" w:lineRule="auto"/>
        <w:ind w:left="142"/>
        <w:contextualSpacing w:val="0"/>
        <w:jc w:val="both"/>
      </w:pPr>
      <w:r>
        <w:t>El incremento de los tiempos de respuesta y la devolución de solicitudes, causan al final la prolongación de los procesos judiciales del Estado, lo que a su vez genera un incremento de su costo; disminuyendo la eficiencia conjunta de la gestión pública y aumentando el riesgo fiscal.</w:t>
      </w:r>
    </w:p>
    <w:p w14:paraId="320238BC" w14:textId="77777777" w:rsidR="007B3093" w:rsidRDefault="00000000">
      <w:pPr>
        <w:pStyle w:val="Prrafodelista"/>
        <w:spacing w:after="120" w:line="360" w:lineRule="auto"/>
        <w:ind w:left="142"/>
        <w:contextualSpacing w:val="0"/>
        <w:jc w:val="both"/>
      </w:pPr>
      <w:r>
        <w:t xml:space="preserve">Por otro lado, el </w:t>
      </w:r>
      <w:r>
        <w:rPr>
          <w:b/>
        </w:rPr>
        <w:t>conocimiento parcial y/o desconocimiento del ámbito de acción de la Procuraduría General del Estado</w:t>
      </w:r>
      <w:r>
        <w:t xml:space="preserve">, por parte de las instituciones estatales, sumada a la actitud </w:t>
      </w:r>
      <w:r>
        <w:lastRenderedPageBreak/>
        <w:t>pasiva y reactiva de la entidad, para la cual su acción empieza al recibir un requerimiento en ventanilla, podría llevar a que un grupo de entidades públicas no acudan a la institución.</w:t>
      </w:r>
    </w:p>
    <w:p w14:paraId="1A4764F5" w14:textId="77777777" w:rsidR="007B3093" w:rsidRDefault="007B3093">
      <w:pPr>
        <w:pStyle w:val="Prrafodelista"/>
        <w:spacing w:after="120" w:line="360" w:lineRule="auto"/>
        <w:ind w:left="142" w:firstLine="425"/>
        <w:contextualSpacing w:val="0"/>
        <w:jc w:val="both"/>
      </w:pPr>
    </w:p>
    <w:p w14:paraId="3FF8CA9E" w14:textId="77777777" w:rsidR="007B3093" w:rsidRDefault="007B3093">
      <w:pPr>
        <w:pStyle w:val="Prrafodelista"/>
        <w:spacing w:after="120" w:line="360" w:lineRule="auto"/>
        <w:ind w:left="142" w:firstLine="425"/>
        <w:contextualSpacing w:val="0"/>
        <w:jc w:val="both"/>
      </w:pPr>
    </w:p>
    <w:p w14:paraId="4681F168" w14:textId="77777777" w:rsidR="007B3093" w:rsidRDefault="00000000">
      <w:pPr>
        <w:pStyle w:val="Prrafodelista"/>
        <w:numPr>
          <w:ilvl w:val="1"/>
          <w:numId w:val="31"/>
        </w:numPr>
        <w:spacing w:after="120" w:line="360" w:lineRule="auto"/>
        <w:jc w:val="both"/>
        <w:rPr>
          <w:b/>
        </w:rPr>
      </w:pPr>
      <w:r>
        <w:rPr>
          <w:b/>
        </w:rPr>
        <w:t xml:space="preserve">Limitada capacidad de atención de los centros de mediación de la PGE </w:t>
      </w:r>
    </w:p>
    <w:p w14:paraId="0216ECBD" w14:textId="77777777" w:rsidR="007B3093" w:rsidRDefault="00000000">
      <w:pPr>
        <w:pStyle w:val="Prrafodelista"/>
        <w:spacing w:after="120" w:line="360" w:lineRule="auto"/>
        <w:ind w:left="142"/>
        <w:contextualSpacing w:val="0"/>
        <w:jc w:val="both"/>
      </w:pPr>
      <w:r>
        <w:t xml:space="preserve">Las unidades desconcentradas presentan una </w:t>
      </w:r>
      <w:r>
        <w:rPr>
          <w:b/>
        </w:rPr>
        <w:t>débil estructura en el territorio</w:t>
      </w:r>
      <w:r>
        <w:t xml:space="preserve"> para atención en los centros de mediación. Algunas de ellas con limitaciones de recursos humanos e inadecuada interconexión con la matriz</w:t>
      </w:r>
      <w:r>
        <w:rPr>
          <w:vertAlign w:val="superscript"/>
        </w:rPr>
        <w:footnoteReference w:id="5"/>
      </w:r>
      <w:r>
        <w:t xml:space="preserve">. Elementos causados por la falta de definiciones a nivel territorial debido a la ausencia de modelo de gestión. Sumado al </w:t>
      </w:r>
      <w:r>
        <w:rPr>
          <w:b/>
        </w:rPr>
        <w:t>incremento de casos de mediación</w:t>
      </w:r>
      <w:r>
        <w:t xml:space="preserve"> presentados en los centros que maneja la PGE a nivel nacional, limitaron la capacidad de respuesta.</w:t>
      </w:r>
    </w:p>
    <w:p w14:paraId="4484CCDA" w14:textId="77777777" w:rsidR="007B3093" w:rsidRDefault="007B3093">
      <w:pPr>
        <w:spacing w:after="120" w:line="360" w:lineRule="auto"/>
        <w:jc w:val="both"/>
      </w:pPr>
    </w:p>
    <w:p w14:paraId="35B397E5" w14:textId="77777777" w:rsidR="007B3093" w:rsidRDefault="00000000">
      <w:pPr>
        <w:pStyle w:val="Prrafodelista"/>
        <w:numPr>
          <w:ilvl w:val="1"/>
          <w:numId w:val="31"/>
        </w:numPr>
        <w:spacing w:after="120" w:line="360" w:lineRule="auto"/>
        <w:jc w:val="both"/>
        <w:rPr>
          <w:b/>
        </w:rPr>
      </w:pPr>
      <w:r>
        <w:rPr>
          <w:b/>
        </w:rPr>
        <w:t>Ausencia de estrategia institucional y comunicacional</w:t>
      </w:r>
    </w:p>
    <w:p w14:paraId="45D70EB9" w14:textId="77777777" w:rsidR="007B3093" w:rsidRDefault="00000000">
      <w:pPr>
        <w:pStyle w:val="Prrafodelista"/>
        <w:spacing w:after="120" w:line="360" w:lineRule="auto"/>
        <w:ind w:left="142"/>
        <w:contextualSpacing w:val="0"/>
        <w:jc w:val="both"/>
      </w:pPr>
      <w:r>
        <w:t>Acorde a la Medición de Clima Laboral y Cultura Organizacional</w:t>
      </w:r>
      <w:r>
        <w:rPr>
          <w:vertAlign w:val="superscript"/>
        </w:rPr>
        <w:footnoteReference w:id="6"/>
      </w:r>
      <w:r>
        <w:t xml:space="preserve"> elaborado por el Ministerio de Trabajo a la Procuraduría General del Estado durante el año 2018, en el que se identificó que la institución funciona bajo una </w:t>
      </w:r>
      <w:r>
        <w:rPr>
          <w:b/>
        </w:rPr>
        <w:t>cultura organizativa de tipo jerarquizada</w:t>
      </w:r>
      <w:r>
        <w:t>, conforme a la percepción del 39% de su talento humano, como resultado de las encuestas que para efecto del informe se realizaron.</w:t>
      </w:r>
    </w:p>
    <w:p w14:paraId="665CA393" w14:textId="77777777" w:rsidR="007B3093" w:rsidRDefault="00000000">
      <w:pPr>
        <w:pStyle w:val="Prrafodelista"/>
        <w:spacing w:after="120" w:line="360" w:lineRule="auto"/>
        <w:ind w:left="142"/>
        <w:contextualSpacing w:val="0"/>
        <w:jc w:val="both"/>
      </w:pPr>
      <w:r>
        <w:t>Adicionalmente, en el año 2018 la Contraloría General del Estado ejecutó la revisión de las recomendaciones del Informe 11962-4-2014 “Examen especial al seguimiento del Plan Operativo Anual 2013”, realizado a la Procuraduría General del Estado, en su gestión entre septiembre de 2013 y julio de 2017. En su informe se establecen errores y omisiones en el ámbito del uso de indicadores que habrían restringido los resultados que la Procuraduría General del Estado podría haber obtenido</w:t>
      </w:r>
      <w:r>
        <w:rPr>
          <w:vertAlign w:val="superscript"/>
        </w:rPr>
        <w:footnoteReference w:id="7"/>
      </w:r>
      <w:r>
        <w:t>.</w:t>
      </w:r>
    </w:p>
    <w:p w14:paraId="0AFC2C7A" w14:textId="77777777" w:rsidR="007B3093" w:rsidRDefault="00000000">
      <w:pPr>
        <w:pStyle w:val="Prrafodelista"/>
        <w:spacing w:after="120" w:line="360" w:lineRule="auto"/>
        <w:ind w:left="142"/>
        <w:contextualSpacing w:val="0"/>
        <w:jc w:val="both"/>
      </w:pPr>
      <w:r>
        <w:t xml:space="preserve">La problemática de la </w:t>
      </w:r>
      <w:r>
        <w:rPr>
          <w:b/>
        </w:rPr>
        <w:t>inadecuada batería de indicadores y la restricción en la generación de información institucional</w:t>
      </w:r>
      <w:r>
        <w:t xml:space="preserve"> a la que se asocia y la cultura institucional jerarquizada, tradicional en el sector público (burocrática), que se describe, son un reflejo sintomático de la </w:t>
      </w:r>
      <w:r>
        <w:rPr>
          <w:b/>
        </w:rPr>
        <w:t xml:space="preserve">débil </w:t>
      </w:r>
      <w:r>
        <w:rPr>
          <w:b/>
        </w:rPr>
        <w:lastRenderedPageBreak/>
        <w:t>estrategia</w:t>
      </w:r>
      <w:r>
        <w:t xml:space="preserve"> </w:t>
      </w:r>
      <w:r>
        <w:rPr>
          <w:b/>
        </w:rPr>
        <w:t>institucional</w:t>
      </w:r>
      <w:r>
        <w:t xml:space="preserve"> por parte de la Procuraduría General del Estado, que refleje los resultados que busca (impactos), y su solución de generación de “valor público”.</w:t>
      </w:r>
    </w:p>
    <w:p w14:paraId="0742F148" w14:textId="77777777" w:rsidR="007B3093" w:rsidRDefault="00000000">
      <w:pPr>
        <w:pStyle w:val="Prrafodelista"/>
        <w:spacing w:after="120" w:line="360" w:lineRule="auto"/>
        <w:ind w:left="142"/>
        <w:contextualSpacing w:val="0"/>
        <w:jc w:val="both"/>
        <w:rPr>
          <w:rFonts w:cstheme="minorHAnsi"/>
        </w:rPr>
      </w:pPr>
      <w:r>
        <w:rPr>
          <w:rFonts w:cstheme="minorHAnsi"/>
        </w:rPr>
        <w:t xml:space="preserve">Debido al impacto social, político y económico que tienen las causas interpuestas al Estado ecuatoriano, a nivel nacional e internacional es necesario generar una </w:t>
      </w:r>
      <w:r>
        <w:rPr>
          <w:rFonts w:cstheme="minorHAnsi"/>
          <w:b/>
        </w:rPr>
        <w:t>estrategia comunicacional</w:t>
      </w:r>
      <w:r>
        <w:rPr>
          <w:rFonts w:cstheme="minorHAnsi"/>
        </w:rPr>
        <w:t xml:space="preserve"> adecuada que permita informar de manera correcta a la opinión pública la realidad jurídica del Ecuador.</w:t>
      </w:r>
    </w:p>
    <w:p w14:paraId="2E2F0A09" w14:textId="77777777" w:rsidR="007B3093" w:rsidRDefault="00000000">
      <w:pPr>
        <w:pStyle w:val="Ttulo2"/>
        <w:numPr>
          <w:ilvl w:val="1"/>
          <w:numId w:val="93"/>
        </w:numPr>
        <w:spacing w:before="0" w:line="360" w:lineRule="auto"/>
        <w:rPr>
          <w:rFonts w:asciiTheme="minorHAnsi" w:hAnsiTheme="minorHAnsi" w:cstheme="minorHAnsi"/>
          <w:b/>
          <w:color w:val="auto"/>
          <w:sz w:val="22"/>
          <w:szCs w:val="22"/>
          <w:lang w:eastAsia="es-EC"/>
        </w:rPr>
      </w:pPr>
      <w:bookmarkStart w:id="12" w:name="_Toc195010048"/>
      <w:r>
        <w:rPr>
          <w:rFonts w:asciiTheme="minorHAnsi" w:hAnsiTheme="minorHAnsi" w:cstheme="minorHAnsi"/>
          <w:b/>
          <w:color w:val="auto"/>
          <w:sz w:val="22"/>
          <w:szCs w:val="22"/>
          <w:lang w:eastAsia="es-EC"/>
        </w:rPr>
        <w:t>Línea base del proyecto</w:t>
      </w:r>
      <w:bookmarkEnd w:id="12"/>
    </w:p>
    <w:p w14:paraId="5DA0BB8E" w14:textId="77777777" w:rsidR="007B3093" w:rsidRDefault="00000000">
      <w:pPr>
        <w:spacing w:after="120" w:line="360" w:lineRule="auto"/>
        <w:jc w:val="both"/>
        <w:rPr>
          <w:rFonts w:cstheme="minorHAnsi"/>
        </w:rPr>
      </w:pPr>
      <w:r>
        <w:rPr>
          <w:rFonts w:cstheme="minorHAnsi"/>
        </w:rPr>
        <w:t>Hasta el 2018, la PGE presenta los siguientes resultados en cumplimiento del mandato establecido en la Constitución y la Ley de la Procuraduría:</w:t>
      </w:r>
    </w:p>
    <w:p w14:paraId="7A4830F1" w14:textId="77777777" w:rsidR="007B3093" w:rsidRDefault="00000000">
      <w:pPr>
        <w:spacing w:after="120" w:line="360" w:lineRule="auto"/>
        <w:jc w:val="both"/>
        <w:rPr>
          <w:rFonts w:cstheme="minorHAnsi"/>
        </w:rPr>
      </w:pPr>
      <w:r>
        <w:rPr>
          <w:rFonts w:cstheme="minorHAnsi"/>
        </w:rPr>
        <w:t>En cuanto a Defensa del Estado:</w:t>
      </w:r>
    </w:p>
    <w:p w14:paraId="3E8A7F24" w14:textId="77777777" w:rsidR="007B3093" w:rsidRDefault="00000000">
      <w:pPr>
        <w:pStyle w:val="Prrafodelista"/>
        <w:numPr>
          <w:ilvl w:val="1"/>
          <w:numId w:val="3"/>
        </w:numPr>
        <w:spacing w:after="120" w:line="360" w:lineRule="auto"/>
        <w:ind w:left="993"/>
        <w:jc w:val="both"/>
        <w:rPr>
          <w:rFonts w:cstheme="minorHAnsi"/>
        </w:rPr>
      </w:pPr>
      <w:r>
        <w:rPr>
          <w:rFonts w:cstheme="minorHAnsi"/>
        </w:rPr>
        <w:t>Patrocinio: Hasta diciembre del 2018 existían un total de 97.253 causas activas, durante ese año ingresaron un total de 13.172 causas nuevas y se resolvieron 9.506.</w:t>
      </w:r>
    </w:p>
    <w:p w14:paraId="623C7000" w14:textId="77777777" w:rsidR="007B3093" w:rsidRDefault="00000000">
      <w:pPr>
        <w:pStyle w:val="Prrafodelista"/>
        <w:numPr>
          <w:ilvl w:val="1"/>
          <w:numId w:val="3"/>
        </w:numPr>
        <w:spacing w:after="120" w:line="360" w:lineRule="auto"/>
        <w:ind w:left="993"/>
        <w:jc w:val="both"/>
        <w:rPr>
          <w:rFonts w:cstheme="minorHAnsi"/>
        </w:rPr>
      </w:pPr>
      <w:r>
        <w:rPr>
          <w:rFonts w:cstheme="minorHAnsi"/>
        </w:rPr>
        <w:t>Asuntos Internacionales: Hasta diciembre del 2018 existían un total de 39 causas activas, durante ese año ingresaron un total de 20 causas nuevas y se resolvieron 9.</w:t>
      </w:r>
    </w:p>
    <w:p w14:paraId="43A1ADBB" w14:textId="77777777" w:rsidR="007B3093" w:rsidRDefault="00000000">
      <w:pPr>
        <w:pStyle w:val="Prrafodelista"/>
        <w:numPr>
          <w:ilvl w:val="1"/>
          <w:numId w:val="3"/>
        </w:numPr>
        <w:spacing w:after="120" w:line="360" w:lineRule="auto"/>
        <w:ind w:left="993"/>
        <w:jc w:val="both"/>
        <w:rPr>
          <w:rFonts w:cstheme="minorHAnsi"/>
        </w:rPr>
      </w:pPr>
      <w:r>
        <w:rPr>
          <w:rFonts w:cstheme="minorHAnsi"/>
        </w:rPr>
        <w:t>Derechos Humanos: Hasta diciembre del 2018 existían un total de 666 causas activas, durante ese año ingresaron un total de 112 causas nuevas y se resolvieron 5.</w:t>
      </w:r>
    </w:p>
    <w:p w14:paraId="2C92B0D5" w14:textId="77777777" w:rsidR="007B3093" w:rsidRDefault="00000000">
      <w:pPr>
        <w:spacing w:after="120" w:line="360" w:lineRule="auto"/>
        <w:jc w:val="both"/>
        <w:rPr>
          <w:rFonts w:cstheme="minorHAnsi"/>
        </w:rPr>
      </w:pPr>
      <w:r>
        <w:rPr>
          <w:rFonts w:cstheme="minorHAnsi"/>
        </w:rPr>
        <w:t>En cuanto a mediación, consultoría y control de la legalidad:</w:t>
      </w:r>
    </w:p>
    <w:p w14:paraId="1296A350" w14:textId="77777777" w:rsidR="007B3093" w:rsidRDefault="00000000">
      <w:pPr>
        <w:pStyle w:val="Prrafodelista"/>
        <w:numPr>
          <w:ilvl w:val="1"/>
          <w:numId w:val="3"/>
        </w:numPr>
        <w:spacing w:after="120" w:line="360" w:lineRule="auto"/>
        <w:ind w:left="993"/>
        <w:jc w:val="both"/>
        <w:rPr>
          <w:rFonts w:cstheme="minorHAnsi"/>
        </w:rPr>
      </w:pPr>
      <w:r>
        <w:rPr>
          <w:rFonts w:cstheme="minorHAnsi"/>
        </w:rPr>
        <w:t>Mediación: Hasta diciembre del 2018 existían un total de 2.472 casos, durante ese año ingresaron un total de 1.492 casos nuevos y se resolvieron 1.091</w:t>
      </w:r>
    </w:p>
    <w:p w14:paraId="3803F5ED" w14:textId="77777777" w:rsidR="007B3093" w:rsidRDefault="00000000">
      <w:pPr>
        <w:pStyle w:val="Prrafodelista"/>
        <w:numPr>
          <w:ilvl w:val="1"/>
          <w:numId w:val="3"/>
        </w:numPr>
        <w:spacing w:after="120" w:line="360" w:lineRule="auto"/>
        <w:ind w:left="993"/>
        <w:jc w:val="both"/>
        <w:rPr>
          <w:rFonts w:cstheme="minorHAnsi"/>
        </w:rPr>
      </w:pPr>
      <w:r>
        <w:rPr>
          <w:rFonts w:cstheme="minorHAnsi"/>
        </w:rPr>
        <w:t>Consultoría: Hasta diciembre del 2018 existían un total de 588 consultas, las cuales fueron absueltas, pero solamente 111 con pronunciamiento.</w:t>
      </w:r>
    </w:p>
    <w:p w14:paraId="0AFE51FA" w14:textId="77777777" w:rsidR="007B3093" w:rsidRDefault="00000000">
      <w:pPr>
        <w:pStyle w:val="Prrafodelista"/>
        <w:numPr>
          <w:ilvl w:val="1"/>
          <w:numId w:val="3"/>
        </w:numPr>
        <w:spacing w:after="120" w:line="360" w:lineRule="auto"/>
        <w:ind w:left="993"/>
        <w:jc w:val="both"/>
        <w:rPr>
          <w:rFonts w:cstheme="minorHAnsi"/>
        </w:rPr>
      </w:pPr>
      <w:r>
        <w:rPr>
          <w:rFonts w:cstheme="minorHAnsi"/>
        </w:rPr>
        <w:t>Control de la Legalidad: Hasta diciembre del 2018 existían un total de 292 causas activas, de las cuáles fueron terminados con informe final 167.</w:t>
      </w:r>
    </w:p>
    <w:p w14:paraId="599BA53B" w14:textId="77777777" w:rsidR="007B3093" w:rsidRDefault="00000000">
      <w:pPr>
        <w:spacing w:after="120" w:line="360" w:lineRule="auto"/>
        <w:jc w:val="both"/>
        <w:rPr>
          <w:rFonts w:cstheme="minorHAnsi"/>
        </w:rPr>
      </w:pPr>
      <w:r>
        <w:rPr>
          <w:rFonts w:cstheme="minorHAnsi"/>
        </w:rPr>
        <w:t>En total durante el 2018 en la Procuraduría General del Estado existieron 101.310 casos, causas y consultas activas, de las cuáles en el 2018 ingresaron 15.676 y fueron resueltas 10.889.</w:t>
      </w:r>
    </w:p>
    <w:p w14:paraId="431EB83A" w14:textId="77777777" w:rsidR="007B3093" w:rsidRDefault="00000000">
      <w:pPr>
        <w:spacing w:after="120" w:line="360" w:lineRule="auto"/>
        <w:jc w:val="both"/>
        <w:rPr>
          <w:rFonts w:cstheme="minorHAnsi"/>
        </w:rPr>
      </w:pPr>
      <w:r>
        <w:rPr>
          <w:rFonts w:cstheme="minorHAnsi"/>
        </w:rPr>
        <w:t xml:space="preserve">A diciembre de 2018 se detectó que la Procuraduría General del Estado carecía de un diagnóstico situacional en profundidad, de un plan de gestión del cambio y de un modelo de gestión, que permitan orienten su accionar. </w:t>
      </w:r>
    </w:p>
    <w:p w14:paraId="0C8E6336" w14:textId="77777777" w:rsidR="007B3093" w:rsidRDefault="00000000">
      <w:pPr>
        <w:spacing w:after="120" w:line="360" w:lineRule="auto"/>
        <w:jc w:val="both"/>
        <w:rPr>
          <w:rFonts w:cstheme="minorHAnsi"/>
        </w:rPr>
      </w:pPr>
      <w:r>
        <w:rPr>
          <w:rFonts w:cstheme="minorHAnsi"/>
        </w:rPr>
        <w:t xml:space="preserve">Adicionalmente, no dispone de un Sistema Informático Integrado de Gestión Interna, de procesos y análisis de datos.  El sistema de gestión documental es insuficiente y el hardware con </w:t>
      </w:r>
      <w:r>
        <w:rPr>
          <w:rFonts w:cstheme="minorHAnsi"/>
        </w:rPr>
        <w:lastRenderedPageBreak/>
        <w:t>el que trabaja la Institución no dispone de las capacidades tecnológicas para soportar la gestión institucional.</w:t>
      </w:r>
    </w:p>
    <w:p w14:paraId="4D80D5CC" w14:textId="77777777" w:rsidR="007B3093" w:rsidRDefault="00000000">
      <w:pPr>
        <w:spacing w:after="120" w:line="360" w:lineRule="auto"/>
        <w:jc w:val="both"/>
        <w:rPr>
          <w:rFonts w:cstheme="minorHAnsi"/>
        </w:rPr>
      </w:pPr>
      <w:r>
        <w:rPr>
          <w:rFonts w:cstheme="minorHAnsi"/>
        </w:rPr>
        <w:t>La PGE no cuenta con interoperabilidades con sistemas de otras instituciones como Contraloría General del Estado, Fiscalía General del Estado, Unidad de Análisis Financiero o Ministerio de Economía y Finanzas.</w:t>
      </w:r>
    </w:p>
    <w:p w14:paraId="6296E260" w14:textId="77777777" w:rsidR="007B3093" w:rsidRDefault="00000000">
      <w:pPr>
        <w:spacing w:after="120" w:line="360" w:lineRule="auto"/>
        <w:jc w:val="both"/>
        <w:rPr>
          <w:rFonts w:cstheme="minorHAnsi"/>
        </w:rPr>
      </w:pPr>
      <w:r>
        <w:rPr>
          <w:rFonts w:cstheme="minorHAnsi"/>
        </w:rPr>
        <w:t>A diciembre de 2018, la Procuraduría carecía de una estrategia de comunicación acorde con las directrices comunicaciones de la administración en funciones.</w:t>
      </w:r>
    </w:p>
    <w:p w14:paraId="517772F6" w14:textId="77777777" w:rsidR="007B3093" w:rsidRDefault="00000000">
      <w:pPr>
        <w:spacing w:after="120" w:line="360" w:lineRule="auto"/>
        <w:jc w:val="both"/>
        <w:rPr>
          <w:rFonts w:cstheme="minorHAnsi"/>
        </w:rPr>
      </w:pPr>
      <w:r>
        <w:rPr>
          <w:rFonts w:cstheme="minorHAnsi"/>
        </w:rPr>
        <w:t>Adicionalmente, los equipos de la Dirección de Comunicación son obsoletos, algunas licencias se encuentran caducadas, por lo que se requiere adquirir equipamiento nuevo y renovar licencias.</w:t>
      </w:r>
    </w:p>
    <w:p w14:paraId="6E822B65" w14:textId="77777777" w:rsidR="007B3093" w:rsidRDefault="00000000">
      <w:pPr>
        <w:spacing w:after="120" w:line="360" w:lineRule="auto"/>
        <w:jc w:val="both"/>
        <w:rPr>
          <w:rFonts w:cstheme="minorHAnsi"/>
        </w:rPr>
      </w:pPr>
      <w:r>
        <w:rPr>
          <w:rFonts w:cstheme="minorHAnsi"/>
        </w:rPr>
        <w:t>En virtud de lo anterior, el personal del área de Comunicación no se encuentra capacitado aún en tecnologías modernas para comunicación y equipamiento que se adquirirá para comunicación.</w:t>
      </w:r>
    </w:p>
    <w:p w14:paraId="12C7AE57" w14:textId="77777777" w:rsidR="007B3093" w:rsidRDefault="00000000">
      <w:pPr>
        <w:spacing w:after="120" w:line="360" w:lineRule="auto"/>
        <w:jc w:val="both"/>
        <w:rPr>
          <w:rFonts w:cstheme="minorHAnsi"/>
        </w:rPr>
      </w:pPr>
      <w:r>
        <w:rPr>
          <w:rFonts w:cstheme="minorHAnsi"/>
        </w:rPr>
        <w:t>Debido a las nuevas directrices comunicacionales de la administración en funciones, no se disponía de material de difusión que permitiera comunicar adecuada y oportunamente el desarrollo de la gestión.</w:t>
      </w:r>
    </w:p>
    <w:p w14:paraId="117801C5" w14:textId="77777777" w:rsidR="007B3093" w:rsidRDefault="00000000">
      <w:pPr>
        <w:spacing w:after="120" w:line="360" w:lineRule="auto"/>
        <w:jc w:val="both"/>
        <w:rPr>
          <w:rFonts w:cstheme="minorHAnsi"/>
        </w:rPr>
      </w:pPr>
      <w:r>
        <w:rPr>
          <w:rFonts w:cstheme="minorHAnsi"/>
        </w:rPr>
        <w:t>Finalmente, a diciembre de 2018, la PGE no disponía de encuestas de percepción de la ciudadanía, ni inicial ni final.</w:t>
      </w:r>
    </w:p>
    <w:p w14:paraId="43E8A4F4" w14:textId="77777777" w:rsidR="007B3093" w:rsidRDefault="00000000">
      <w:pPr>
        <w:spacing w:after="120" w:line="360" w:lineRule="auto"/>
        <w:jc w:val="both"/>
        <w:rPr>
          <w:rFonts w:cstheme="minorHAnsi"/>
        </w:rPr>
      </w:pPr>
      <w:r>
        <w:rPr>
          <w:rFonts w:cstheme="minorHAnsi"/>
        </w:rPr>
        <w:t>Debido al impacto social, político y económico que pueden tener las causas interpuestas al Estado, tanto a nivel nacional como internacionalmente es necesario generar una estrategia comunicacional adecuada que permita informar de manera correcta a la opinión pública la realidad jurídica del Ecuador.</w:t>
      </w:r>
    </w:p>
    <w:p w14:paraId="4F0CFBEE" w14:textId="77777777" w:rsidR="007B3093" w:rsidRDefault="00000000">
      <w:pPr>
        <w:spacing w:after="120" w:line="360" w:lineRule="auto"/>
        <w:jc w:val="both"/>
        <w:rPr>
          <w:rFonts w:cstheme="minorHAnsi"/>
        </w:rPr>
      </w:pPr>
      <w:r>
        <w:rPr>
          <w:rFonts w:cstheme="minorHAnsi"/>
        </w:rPr>
        <w:t xml:space="preserve">Por el tipo de servicios que brinda la Procuraduría y por la ausencia de información </w:t>
      </w:r>
      <w:proofErr w:type="gramStart"/>
      <w:r>
        <w:rPr>
          <w:rFonts w:cstheme="minorHAnsi"/>
        </w:rPr>
        <w:t>en relación a</w:t>
      </w:r>
      <w:proofErr w:type="gramEnd"/>
      <w:r>
        <w:rPr>
          <w:rFonts w:cstheme="minorHAnsi"/>
        </w:rPr>
        <w:t xml:space="preserve"> los mismos, la </w:t>
      </w:r>
      <w:r>
        <w:t>línea</w:t>
      </w:r>
      <w:r>
        <w:rPr>
          <w:rFonts w:cstheme="minorHAnsi"/>
        </w:rPr>
        <w:t xml:space="preserve"> de base a 2018 se construyó considerando elementos cualitativos y de gestión. Se establecieron en su momento los siguientes elementos:</w:t>
      </w:r>
    </w:p>
    <w:p w14:paraId="4029CAC1" w14:textId="77777777" w:rsidR="007B3093" w:rsidRDefault="00000000">
      <w:pPr>
        <w:pStyle w:val="Prrafodelista"/>
        <w:numPr>
          <w:ilvl w:val="0"/>
          <w:numId w:val="4"/>
        </w:numPr>
        <w:autoSpaceDE w:val="0"/>
        <w:autoSpaceDN w:val="0"/>
        <w:adjustRightInd w:val="0"/>
        <w:spacing w:after="0" w:line="360" w:lineRule="auto"/>
        <w:jc w:val="both"/>
        <w:rPr>
          <w:rFonts w:cstheme="minorHAnsi"/>
        </w:rPr>
      </w:pPr>
      <w:r>
        <w:rPr>
          <w:rFonts w:cstheme="minorHAnsi"/>
        </w:rPr>
        <w:t>Ausencia de modelo de gestión que oriente la acción de la Procuraduría General del Estado.</w:t>
      </w:r>
    </w:p>
    <w:p w14:paraId="1E541A2B" w14:textId="77777777" w:rsidR="007B3093" w:rsidRDefault="00000000">
      <w:pPr>
        <w:pStyle w:val="Prrafodelista"/>
        <w:numPr>
          <w:ilvl w:val="0"/>
          <w:numId w:val="4"/>
        </w:numPr>
        <w:autoSpaceDE w:val="0"/>
        <w:autoSpaceDN w:val="0"/>
        <w:adjustRightInd w:val="0"/>
        <w:spacing w:after="0" w:line="360" w:lineRule="auto"/>
        <w:jc w:val="both"/>
        <w:rPr>
          <w:rFonts w:cstheme="minorHAnsi"/>
        </w:rPr>
      </w:pPr>
      <w:r>
        <w:rPr>
          <w:rFonts w:cstheme="minorHAnsi"/>
        </w:rPr>
        <w:t>Carencia de una estrategia institucional que establezca los resultados e impactos a los que se debía dirigir la gestión de la entidad.</w:t>
      </w:r>
    </w:p>
    <w:p w14:paraId="1B7CA51C" w14:textId="77777777" w:rsidR="007B3093" w:rsidRDefault="00000000">
      <w:pPr>
        <w:pStyle w:val="Prrafodelista"/>
        <w:numPr>
          <w:ilvl w:val="0"/>
          <w:numId w:val="4"/>
        </w:numPr>
        <w:autoSpaceDE w:val="0"/>
        <w:autoSpaceDN w:val="0"/>
        <w:adjustRightInd w:val="0"/>
        <w:spacing w:after="0" w:line="360" w:lineRule="auto"/>
        <w:jc w:val="both"/>
        <w:rPr>
          <w:rFonts w:cstheme="minorHAnsi"/>
        </w:rPr>
      </w:pPr>
      <w:r>
        <w:rPr>
          <w:rFonts w:cstheme="minorHAnsi"/>
        </w:rPr>
        <w:t>Cultura institucional jerarquizada (</w:t>
      </w:r>
      <w:proofErr w:type="gramStart"/>
      <w:r>
        <w:rPr>
          <w:rFonts w:cstheme="minorHAnsi"/>
        </w:rPr>
        <w:t>de acuerdo al</w:t>
      </w:r>
      <w:proofErr w:type="gramEnd"/>
      <w:r>
        <w:rPr>
          <w:rFonts w:cstheme="minorHAnsi"/>
        </w:rPr>
        <w:t xml:space="preserve"> Informe de Medición de Clima Laboral y Cultura Organizacional elaborado por el Ministerio de Trabajo en el año 2018).</w:t>
      </w:r>
    </w:p>
    <w:p w14:paraId="17D6F393" w14:textId="77777777" w:rsidR="007B3093" w:rsidRDefault="00000000">
      <w:pPr>
        <w:pStyle w:val="Prrafodelista"/>
        <w:numPr>
          <w:ilvl w:val="0"/>
          <w:numId w:val="4"/>
        </w:numPr>
        <w:autoSpaceDE w:val="0"/>
        <w:autoSpaceDN w:val="0"/>
        <w:adjustRightInd w:val="0"/>
        <w:spacing w:after="0" w:line="360" w:lineRule="auto"/>
        <w:jc w:val="both"/>
        <w:rPr>
          <w:rFonts w:cstheme="minorHAnsi"/>
        </w:rPr>
      </w:pPr>
      <w:r>
        <w:rPr>
          <w:rFonts w:cstheme="minorHAnsi"/>
        </w:rPr>
        <w:lastRenderedPageBreak/>
        <w:t xml:space="preserve">Ausencia de metodología para el manejo y cuantificación de los pasivos contingentes derivados de los litigios internacionales del Estado. </w:t>
      </w:r>
    </w:p>
    <w:p w14:paraId="2C4AFE0F" w14:textId="77777777" w:rsidR="007B3093" w:rsidRDefault="00000000">
      <w:pPr>
        <w:pStyle w:val="Prrafodelista"/>
        <w:numPr>
          <w:ilvl w:val="0"/>
          <w:numId w:val="4"/>
        </w:numPr>
        <w:spacing w:after="0" w:line="360" w:lineRule="auto"/>
        <w:jc w:val="both"/>
        <w:rPr>
          <w:rFonts w:cstheme="minorHAnsi"/>
          <w:bCs/>
          <w:highlight w:val="lightGray"/>
        </w:rPr>
      </w:pPr>
      <w:proofErr w:type="gramStart"/>
      <w:r>
        <w:rPr>
          <w:rFonts w:cstheme="minorHAnsi"/>
          <w:bCs/>
        </w:rPr>
        <w:t>De acuerdo a</w:t>
      </w:r>
      <w:proofErr w:type="gramEnd"/>
      <w:r>
        <w:rPr>
          <w:rFonts w:cstheme="minorHAnsi"/>
          <w:bCs/>
        </w:rPr>
        <w:t xml:space="preserve"> la Resolución No.092 de 25 de enero de 2017 que dispuso el cumplimiento obligatorio del Manual de Gestión por Procesos Institucionales de la Procuraduría General del Estado y el Catálogo de Procesos actualizado al 23 de enero de 2018, la Institución contaba con 20 procesos y 90 subprocesos a nivel central; y a nivel regional 7 procesos y 29 subprocesos en la Dirección Regional 1; y, 4 procesos y 9 subprocesos en las Direcciones Regionales de Azuay, Chimborazo, Loja y Manabí.</w:t>
      </w:r>
      <w:r>
        <w:rPr>
          <w:rFonts w:cstheme="minorHAnsi"/>
          <w:bCs/>
          <w:highlight w:val="lightGray"/>
        </w:rPr>
        <w:t xml:space="preserve"> </w:t>
      </w:r>
    </w:p>
    <w:p w14:paraId="54014D01" w14:textId="77777777" w:rsidR="007B3093" w:rsidRDefault="00000000">
      <w:pPr>
        <w:pStyle w:val="Prrafodelista"/>
        <w:numPr>
          <w:ilvl w:val="0"/>
          <w:numId w:val="4"/>
        </w:numPr>
        <w:autoSpaceDE w:val="0"/>
        <w:autoSpaceDN w:val="0"/>
        <w:adjustRightInd w:val="0"/>
        <w:spacing w:after="0" w:line="360" w:lineRule="auto"/>
        <w:jc w:val="both"/>
        <w:rPr>
          <w:rFonts w:cstheme="minorHAnsi"/>
        </w:rPr>
      </w:pPr>
      <w:r>
        <w:rPr>
          <w:rFonts w:cstheme="minorHAnsi"/>
        </w:rPr>
        <w:t xml:space="preserve">La gestión informática de la Procuraduría General del Estado estaba compuesta por 6 soluciones informáticas (sistemas) además de las siguientes herramientas: Portal Web Institucional, Blogs, Intranet Institucional, </w:t>
      </w:r>
      <w:proofErr w:type="spellStart"/>
      <w:r>
        <w:rPr>
          <w:rFonts w:cstheme="minorHAnsi"/>
        </w:rPr>
        <w:t>Procupedia</w:t>
      </w:r>
      <w:proofErr w:type="spellEnd"/>
      <w:r>
        <w:rPr>
          <w:rFonts w:cstheme="minorHAnsi"/>
        </w:rPr>
        <w:t>, registro de biblioteca, Aula Virtual y Control de Suministros.</w:t>
      </w:r>
    </w:p>
    <w:p w14:paraId="50F40B1C" w14:textId="77777777" w:rsidR="007B3093" w:rsidRDefault="00000000">
      <w:pPr>
        <w:pStyle w:val="Prrafodelista"/>
        <w:numPr>
          <w:ilvl w:val="0"/>
          <w:numId w:val="4"/>
        </w:numPr>
        <w:autoSpaceDE w:val="0"/>
        <w:autoSpaceDN w:val="0"/>
        <w:adjustRightInd w:val="0"/>
        <w:spacing w:before="120" w:after="120" w:line="360" w:lineRule="auto"/>
        <w:contextualSpacing w:val="0"/>
        <w:jc w:val="both"/>
        <w:rPr>
          <w:rFonts w:cstheme="minorHAnsi"/>
        </w:rPr>
      </w:pPr>
      <w:r>
        <w:rPr>
          <w:rFonts w:cstheme="minorHAnsi"/>
        </w:rPr>
        <w:t>La institución en ese momento se conformaba por la Oficina Matriz ubicada en la ciudad de Quito, cinco Direcciones Regionales (Guayas, Azuay, Manabí, Chimborazo y Loja) y dieciséis Oficinas Provinciales (Manabí, Tungurahua, Santa Elena, El Oro, Los Ríos, Galápagos #2, Cañar, Morona Santiago, Zamora Chinchipe, Sucumbíos, Orellana, Imbabura, Carchi, Esmeraldas y Santo Domingo de los Tsáchilas).</w:t>
      </w:r>
    </w:p>
    <w:p w14:paraId="3D5B12A7" w14:textId="77777777" w:rsidR="007B3093" w:rsidRDefault="007B3093">
      <w:pPr>
        <w:pStyle w:val="Prrafodelista"/>
        <w:autoSpaceDE w:val="0"/>
        <w:autoSpaceDN w:val="0"/>
        <w:adjustRightInd w:val="0"/>
        <w:spacing w:before="120" w:after="120" w:line="360" w:lineRule="auto"/>
        <w:contextualSpacing w:val="0"/>
        <w:jc w:val="both"/>
        <w:rPr>
          <w:rFonts w:cstheme="minorHAnsi"/>
        </w:rPr>
      </w:pPr>
    </w:p>
    <w:p w14:paraId="69E77691" w14:textId="77777777" w:rsidR="007B3093" w:rsidRDefault="00000000">
      <w:pPr>
        <w:pStyle w:val="Ttulo2"/>
        <w:numPr>
          <w:ilvl w:val="1"/>
          <w:numId w:val="93"/>
        </w:numPr>
        <w:spacing w:before="0" w:line="360" w:lineRule="auto"/>
        <w:rPr>
          <w:rFonts w:asciiTheme="minorHAnsi" w:hAnsiTheme="minorHAnsi" w:cstheme="minorHAnsi"/>
          <w:b/>
          <w:color w:val="auto"/>
          <w:sz w:val="22"/>
          <w:szCs w:val="22"/>
          <w:lang w:eastAsia="es-EC"/>
        </w:rPr>
      </w:pPr>
      <w:bookmarkStart w:id="13" w:name="_Toc195010049"/>
      <w:r>
        <w:rPr>
          <w:rFonts w:asciiTheme="minorHAnsi" w:hAnsiTheme="minorHAnsi" w:cstheme="minorHAnsi"/>
          <w:b/>
          <w:color w:val="auto"/>
          <w:sz w:val="22"/>
          <w:szCs w:val="22"/>
          <w:lang w:eastAsia="es-EC"/>
        </w:rPr>
        <w:t>Situación actual del proyecto</w:t>
      </w:r>
      <w:bookmarkEnd w:id="13"/>
    </w:p>
    <w:p w14:paraId="6FBC9A13" w14:textId="77777777" w:rsidR="007B3093" w:rsidRDefault="00000000">
      <w:pPr>
        <w:autoSpaceDE w:val="0"/>
        <w:autoSpaceDN w:val="0"/>
        <w:adjustRightInd w:val="0"/>
        <w:spacing w:before="120" w:after="120" w:line="360" w:lineRule="auto"/>
        <w:jc w:val="both"/>
        <w:rPr>
          <w:rFonts w:cstheme="minorHAnsi"/>
        </w:rPr>
      </w:pPr>
      <w:r>
        <w:rPr>
          <w:rFonts w:cstheme="minorHAnsi"/>
        </w:rPr>
        <w:t>Como se mencionó con anterioridad, el proyecto dadas las necesidades planteadas fue aprobado y recibió dictamen de prioridad para su implementación en junio de 2019, cumpliendo cada una de las acciones propuestas con la orientación de cumplir su programación inicialmente hasta 2022, sin embargo, sobre la marcha y en función de las necesidades  presentadas conforme al avance, se procedió a actualizar el  Dictamen de Prioridad a agosto 30 de 2022, con el mismo se amplía el período de ejecución a diciembre de 2024.  A agosto 02 de 2024 en una nueva actualización se amplió el período de gestión hasta diciembre de 2025.</w:t>
      </w:r>
    </w:p>
    <w:p w14:paraId="316FBF58" w14:textId="77777777" w:rsidR="007B3093" w:rsidRDefault="007B3093">
      <w:pPr>
        <w:autoSpaceDE w:val="0"/>
        <w:autoSpaceDN w:val="0"/>
        <w:adjustRightInd w:val="0"/>
        <w:spacing w:before="120" w:after="120" w:line="360" w:lineRule="auto"/>
        <w:jc w:val="both"/>
        <w:rPr>
          <w:rFonts w:cstheme="minorHAnsi"/>
        </w:rPr>
      </w:pPr>
    </w:p>
    <w:p w14:paraId="270C50F0" w14:textId="77777777" w:rsidR="007B3093" w:rsidRDefault="00000000">
      <w:pPr>
        <w:pStyle w:val="Textoindependiente"/>
        <w:tabs>
          <w:tab w:val="left" w:pos="0"/>
          <w:tab w:val="left" w:pos="1605"/>
        </w:tabs>
        <w:spacing w:line="360"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Considerando lo mencionado, a continuación, en la Tabla 4 se mencionan los logros alcanzados por el proyecto desde sus inicios a 2019 hasta diciembre de 2024 por componente: </w:t>
      </w:r>
    </w:p>
    <w:p w14:paraId="1E89C2FC" w14:textId="77777777" w:rsidR="007B3093" w:rsidRDefault="007B3093">
      <w:pPr>
        <w:pStyle w:val="Textoindependiente"/>
        <w:tabs>
          <w:tab w:val="left" w:pos="0"/>
          <w:tab w:val="left" w:pos="1605"/>
        </w:tabs>
        <w:spacing w:line="360" w:lineRule="auto"/>
        <w:jc w:val="both"/>
        <w:rPr>
          <w:rFonts w:asciiTheme="minorHAnsi" w:eastAsiaTheme="minorHAnsi" w:hAnsiTheme="minorHAnsi" w:cstheme="minorHAnsi"/>
          <w:sz w:val="22"/>
          <w:szCs w:val="22"/>
        </w:rPr>
      </w:pPr>
    </w:p>
    <w:p w14:paraId="2609EF14" w14:textId="77777777" w:rsidR="007B3093" w:rsidRDefault="007B3093">
      <w:pPr>
        <w:pStyle w:val="Textoindependiente"/>
        <w:tabs>
          <w:tab w:val="left" w:pos="0"/>
          <w:tab w:val="left" w:pos="1605"/>
        </w:tabs>
        <w:spacing w:line="360" w:lineRule="auto"/>
        <w:jc w:val="both"/>
        <w:rPr>
          <w:rFonts w:asciiTheme="minorHAnsi" w:eastAsiaTheme="minorHAnsi" w:hAnsiTheme="minorHAnsi" w:cstheme="minorHAnsi"/>
          <w:sz w:val="22"/>
          <w:szCs w:val="22"/>
        </w:rPr>
      </w:pPr>
    </w:p>
    <w:p w14:paraId="66258836" w14:textId="77777777" w:rsidR="007B3093" w:rsidRDefault="00000000">
      <w:pPr>
        <w:ind w:left="708" w:firstLine="708"/>
        <w:rPr>
          <w:b/>
          <w:bCs/>
          <w:sz w:val="24"/>
          <w:szCs w:val="24"/>
          <w:lang w:eastAsia="es-EC"/>
        </w:rPr>
      </w:pPr>
      <w:r>
        <w:rPr>
          <w:b/>
          <w:bCs/>
          <w:sz w:val="24"/>
          <w:szCs w:val="24"/>
          <w:lang w:eastAsia="es-EC"/>
        </w:rPr>
        <w:lastRenderedPageBreak/>
        <w:t>Tabla 4. Logros conseguidos por el Proyecto (Año 2019-2024)</w:t>
      </w:r>
    </w:p>
    <w:tbl>
      <w:tblPr>
        <w:tblW w:w="5000" w:type="pct"/>
        <w:tblCellMar>
          <w:left w:w="70" w:type="dxa"/>
          <w:right w:w="70" w:type="dxa"/>
        </w:tblCellMar>
        <w:tblLook w:val="04A0" w:firstRow="1" w:lastRow="0" w:firstColumn="1" w:lastColumn="0" w:noHBand="0" w:noVBand="1"/>
      </w:tblPr>
      <w:tblGrid>
        <w:gridCol w:w="1958"/>
        <w:gridCol w:w="1755"/>
        <w:gridCol w:w="1350"/>
        <w:gridCol w:w="1595"/>
        <w:gridCol w:w="1690"/>
        <w:gridCol w:w="146"/>
      </w:tblGrid>
      <w:tr w:rsidR="007B3093" w14:paraId="51D0A6CA" w14:textId="77777777">
        <w:trPr>
          <w:gridAfter w:val="1"/>
          <w:wAfter w:w="86" w:type="pct"/>
          <w:trHeight w:val="495"/>
          <w:tblHeader/>
        </w:trPr>
        <w:tc>
          <w:tcPr>
            <w:tcW w:w="1153" w:type="pct"/>
            <w:tcBorders>
              <w:top w:val="single" w:sz="4" w:space="0" w:color="auto"/>
              <w:left w:val="single" w:sz="4" w:space="0" w:color="auto"/>
              <w:bottom w:val="single" w:sz="4" w:space="0" w:color="auto"/>
              <w:right w:val="single" w:sz="4" w:space="0" w:color="auto"/>
            </w:tcBorders>
            <w:shd w:val="clear" w:color="000000" w:fill="4D93D9"/>
            <w:noWrap/>
            <w:vAlign w:val="center"/>
            <w:hideMark/>
          </w:tcPr>
          <w:p w14:paraId="48E7776D"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COMPONENTE MARCO LÓGICO</w:t>
            </w:r>
          </w:p>
        </w:tc>
        <w:tc>
          <w:tcPr>
            <w:tcW w:w="1033" w:type="pct"/>
            <w:tcBorders>
              <w:top w:val="single" w:sz="4" w:space="0" w:color="auto"/>
              <w:left w:val="nil"/>
              <w:bottom w:val="single" w:sz="4" w:space="0" w:color="auto"/>
              <w:right w:val="single" w:sz="4" w:space="0" w:color="auto"/>
            </w:tcBorders>
            <w:shd w:val="clear" w:color="000000" w:fill="4D93D9"/>
            <w:noWrap/>
            <w:vAlign w:val="center"/>
            <w:hideMark/>
          </w:tcPr>
          <w:p w14:paraId="72DD7B71"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ACTIVIDAD MARCO LÓGICO</w:t>
            </w:r>
          </w:p>
        </w:tc>
        <w:tc>
          <w:tcPr>
            <w:tcW w:w="795" w:type="pct"/>
            <w:tcBorders>
              <w:top w:val="single" w:sz="4" w:space="0" w:color="auto"/>
              <w:left w:val="nil"/>
              <w:bottom w:val="single" w:sz="4" w:space="0" w:color="auto"/>
              <w:right w:val="single" w:sz="4" w:space="0" w:color="auto"/>
            </w:tcBorders>
            <w:shd w:val="clear" w:color="000000" w:fill="4D93D9"/>
            <w:noWrap/>
            <w:vAlign w:val="center"/>
            <w:hideMark/>
          </w:tcPr>
          <w:p w14:paraId="35D59F01"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LOGROS</w:t>
            </w:r>
          </w:p>
        </w:tc>
        <w:tc>
          <w:tcPr>
            <w:tcW w:w="939" w:type="pct"/>
            <w:tcBorders>
              <w:top w:val="single" w:sz="4" w:space="0" w:color="auto"/>
              <w:left w:val="nil"/>
              <w:bottom w:val="single" w:sz="4" w:space="0" w:color="auto"/>
              <w:right w:val="single" w:sz="4" w:space="0" w:color="auto"/>
            </w:tcBorders>
            <w:shd w:val="clear" w:color="000000" w:fill="4D93D9"/>
            <w:noWrap/>
            <w:vAlign w:val="center"/>
            <w:hideMark/>
          </w:tcPr>
          <w:p w14:paraId="5F41B411"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xml:space="preserve">DESCRIPCIÓN </w:t>
            </w:r>
          </w:p>
        </w:tc>
        <w:tc>
          <w:tcPr>
            <w:tcW w:w="995" w:type="pct"/>
            <w:tcBorders>
              <w:top w:val="single" w:sz="4" w:space="0" w:color="auto"/>
              <w:left w:val="nil"/>
              <w:bottom w:val="single" w:sz="4" w:space="0" w:color="auto"/>
              <w:right w:val="single" w:sz="4" w:space="0" w:color="auto"/>
            </w:tcBorders>
            <w:shd w:val="clear" w:color="000000" w:fill="4D93D9"/>
            <w:noWrap/>
            <w:vAlign w:val="center"/>
            <w:hideMark/>
          </w:tcPr>
          <w:p w14:paraId="76A5CDAF"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RESULTADO</w:t>
            </w:r>
          </w:p>
        </w:tc>
      </w:tr>
      <w:tr w:rsidR="007B3093" w14:paraId="0D6EE312" w14:textId="77777777">
        <w:trPr>
          <w:gridAfter w:val="1"/>
          <w:wAfter w:w="86" w:type="pct"/>
          <w:trHeight w:val="300"/>
        </w:trPr>
        <w:tc>
          <w:tcPr>
            <w:tcW w:w="1153" w:type="pct"/>
            <w:tcBorders>
              <w:top w:val="nil"/>
              <w:left w:val="single" w:sz="4" w:space="0" w:color="auto"/>
              <w:bottom w:val="single" w:sz="4" w:space="0" w:color="auto"/>
              <w:right w:val="single" w:sz="4" w:space="0" w:color="auto"/>
            </w:tcBorders>
            <w:shd w:val="clear" w:color="000000" w:fill="4D93D9"/>
            <w:noWrap/>
            <w:vAlign w:val="center"/>
            <w:hideMark/>
          </w:tcPr>
          <w:p w14:paraId="4C9B62BB"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AÑO 2019</w:t>
            </w:r>
          </w:p>
        </w:tc>
        <w:tc>
          <w:tcPr>
            <w:tcW w:w="1033" w:type="pct"/>
            <w:tcBorders>
              <w:top w:val="nil"/>
              <w:left w:val="nil"/>
              <w:bottom w:val="single" w:sz="4" w:space="0" w:color="auto"/>
              <w:right w:val="single" w:sz="4" w:space="0" w:color="auto"/>
            </w:tcBorders>
            <w:shd w:val="clear" w:color="000000" w:fill="4D93D9"/>
            <w:noWrap/>
            <w:vAlign w:val="center"/>
            <w:hideMark/>
          </w:tcPr>
          <w:p w14:paraId="0027877D"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795" w:type="pct"/>
            <w:tcBorders>
              <w:top w:val="nil"/>
              <w:left w:val="nil"/>
              <w:bottom w:val="single" w:sz="4" w:space="0" w:color="auto"/>
              <w:right w:val="single" w:sz="4" w:space="0" w:color="auto"/>
            </w:tcBorders>
            <w:shd w:val="clear" w:color="000000" w:fill="4D93D9"/>
            <w:noWrap/>
            <w:vAlign w:val="center"/>
            <w:hideMark/>
          </w:tcPr>
          <w:p w14:paraId="07857AF0"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39" w:type="pct"/>
            <w:tcBorders>
              <w:top w:val="nil"/>
              <w:left w:val="nil"/>
              <w:bottom w:val="single" w:sz="4" w:space="0" w:color="auto"/>
              <w:right w:val="single" w:sz="4" w:space="0" w:color="auto"/>
            </w:tcBorders>
            <w:shd w:val="clear" w:color="000000" w:fill="4D93D9"/>
            <w:noWrap/>
            <w:vAlign w:val="center"/>
            <w:hideMark/>
          </w:tcPr>
          <w:p w14:paraId="26CA0954"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95" w:type="pct"/>
            <w:tcBorders>
              <w:top w:val="nil"/>
              <w:left w:val="nil"/>
              <w:bottom w:val="single" w:sz="4" w:space="0" w:color="auto"/>
              <w:right w:val="single" w:sz="4" w:space="0" w:color="auto"/>
            </w:tcBorders>
            <w:shd w:val="clear" w:color="000000" w:fill="4D93D9"/>
            <w:noWrap/>
            <w:vAlign w:val="center"/>
            <w:hideMark/>
          </w:tcPr>
          <w:p w14:paraId="2FD4AFF4"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r>
      <w:tr w:rsidR="007B3093" w14:paraId="2B1DD744" w14:textId="77777777">
        <w:trPr>
          <w:gridAfter w:val="1"/>
          <w:wAfter w:w="86" w:type="pct"/>
          <w:trHeight w:val="375"/>
        </w:trPr>
        <w:tc>
          <w:tcPr>
            <w:tcW w:w="1153" w:type="pct"/>
            <w:vMerge w:val="restart"/>
            <w:tcBorders>
              <w:top w:val="nil"/>
              <w:left w:val="single" w:sz="4" w:space="0" w:color="auto"/>
              <w:bottom w:val="single" w:sz="4" w:space="0" w:color="auto"/>
              <w:right w:val="single" w:sz="4" w:space="0" w:color="auto"/>
            </w:tcBorders>
            <w:shd w:val="clear" w:color="000000" w:fill="DAE9F8"/>
            <w:vAlign w:val="center"/>
            <w:hideMark/>
          </w:tcPr>
          <w:p w14:paraId="7209E6F1"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033" w:type="pct"/>
            <w:vMerge w:val="restart"/>
            <w:tcBorders>
              <w:top w:val="nil"/>
              <w:left w:val="single" w:sz="4" w:space="0" w:color="auto"/>
              <w:bottom w:val="single" w:sz="4" w:space="0" w:color="auto"/>
              <w:right w:val="single" w:sz="4" w:space="0" w:color="auto"/>
            </w:tcBorders>
            <w:shd w:val="clear" w:color="000000" w:fill="DAE9F8"/>
            <w:vAlign w:val="center"/>
            <w:hideMark/>
          </w:tcPr>
          <w:p w14:paraId="00ED92FE"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1.5. Administración del Proyecto</w:t>
            </w:r>
          </w:p>
        </w:tc>
        <w:tc>
          <w:tcPr>
            <w:tcW w:w="7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352CD7A4"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EDG PGE conformado</w:t>
            </w:r>
          </w:p>
        </w:tc>
        <w:tc>
          <w:tcPr>
            <w:tcW w:w="939" w:type="pct"/>
            <w:tcBorders>
              <w:top w:val="nil"/>
              <w:left w:val="nil"/>
              <w:bottom w:val="single" w:sz="4" w:space="0" w:color="auto"/>
              <w:right w:val="single" w:sz="4" w:space="0" w:color="auto"/>
            </w:tcBorders>
            <w:shd w:val="clear" w:color="000000" w:fill="DAE9F8"/>
            <w:vAlign w:val="center"/>
            <w:hideMark/>
          </w:tcPr>
          <w:p w14:paraId="14597F5B"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Adquisiciones</w:t>
            </w:r>
          </w:p>
        </w:tc>
        <w:tc>
          <w:tcPr>
            <w:tcW w:w="9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48777DB1"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contratado</w:t>
            </w:r>
          </w:p>
        </w:tc>
      </w:tr>
      <w:tr w:rsidR="007B3093" w14:paraId="4171486C" w14:textId="77777777">
        <w:trPr>
          <w:gridAfter w:val="1"/>
          <w:wAfter w:w="86" w:type="pct"/>
          <w:trHeight w:val="450"/>
        </w:trPr>
        <w:tc>
          <w:tcPr>
            <w:tcW w:w="1153" w:type="pct"/>
            <w:vMerge/>
            <w:tcBorders>
              <w:top w:val="nil"/>
              <w:left w:val="single" w:sz="4" w:space="0" w:color="auto"/>
              <w:bottom w:val="single" w:sz="4" w:space="0" w:color="auto"/>
              <w:right w:val="single" w:sz="4" w:space="0" w:color="auto"/>
            </w:tcBorders>
            <w:vAlign w:val="center"/>
            <w:hideMark/>
          </w:tcPr>
          <w:p w14:paraId="32D81356"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266A9699"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62202294"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05DB6E0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Monitoreo y Seguimiento</w:t>
            </w:r>
          </w:p>
        </w:tc>
        <w:tc>
          <w:tcPr>
            <w:tcW w:w="995" w:type="pct"/>
            <w:vMerge/>
            <w:tcBorders>
              <w:top w:val="nil"/>
              <w:left w:val="single" w:sz="4" w:space="0" w:color="auto"/>
              <w:bottom w:val="single" w:sz="4" w:space="0" w:color="auto"/>
              <w:right w:val="single" w:sz="4" w:space="0" w:color="auto"/>
            </w:tcBorders>
            <w:vAlign w:val="center"/>
            <w:hideMark/>
          </w:tcPr>
          <w:p w14:paraId="4E197383"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3AF00DA8" w14:textId="77777777">
        <w:trPr>
          <w:gridAfter w:val="1"/>
          <w:wAfter w:w="86" w:type="pct"/>
          <w:trHeight w:val="435"/>
        </w:trPr>
        <w:tc>
          <w:tcPr>
            <w:tcW w:w="1153" w:type="pct"/>
            <w:vMerge/>
            <w:tcBorders>
              <w:top w:val="nil"/>
              <w:left w:val="single" w:sz="4" w:space="0" w:color="auto"/>
              <w:bottom w:val="single" w:sz="4" w:space="0" w:color="auto"/>
              <w:right w:val="single" w:sz="4" w:space="0" w:color="auto"/>
            </w:tcBorders>
            <w:vAlign w:val="center"/>
            <w:hideMark/>
          </w:tcPr>
          <w:p w14:paraId="31F43D4A"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01E00280"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09CC87F9"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06891A0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Tecnologías y Comunicación</w:t>
            </w:r>
          </w:p>
        </w:tc>
        <w:tc>
          <w:tcPr>
            <w:tcW w:w="995" w:type="pct"/>
            <w:vMerge/>
            <w:tcBorders>
              <w:top w:val="nil"/>
              <w:left w:val="single" w:sz="4" w:space="0" w:color="auto"/>
              <w:bottom w:val="single" w:sz="4" w:space="0" w:color="auto"/>
              <w:right w:val="single" w:sz="4" w:space="0" w:color="auto"/>
            </w:tcBorders>
            <w:vAlign w:val="center"/>
            <w:hideMark/>
          </w:tcPr>
          <w:p w14:paraId="54B83C59"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1A19DCF4" w14:textId="77777777">
        <w:trPr>
          <w:gridAfter w:val="1"/>
          <w:wAfter w:w="86" w:type="pct"/>
          <w:trHeight w:val="300"/>
        </w:trPr>
        <w:tc>
          <w:tcPr>
            <w:tcW w:w="1153" w:type="pct"/>
            <w:tcBorders>
              <w:top w:val="nil"/>
              <w:left w:val="single" w:sz="4" w:space="0" w:color="auto"/>
              <w:bottom w:val="single" w:sz="4" w:space="0" w:color="auto"/>
              <w:right w:val="single" w:sz="4" w:space="0" w:color="auto"/>
            </w:tcBorders>
            <w:shd w:val="clear" w:color="000000" w:fill="4D93D9"/>
            <w:vAlign w:val="center"/>
            <w:hideMark/>
          </w:tcPr>
          <w:p w14:paraId="2648CB7C"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AÑO 2020</w:t>
            </w:r>
          </w:p>
        </w:tc>
        <w:tc>
          <w:tcPr>
            <w:tcW w:w="1033" w:type="pct"/>
            <w:tcBorders>
              <w:top w:val="nil"/>
              <w:left w:val="nil"/>
              <w:bottom w:val="single" w:sz="4" w:space="0" w:color="auto"/>
              <w:right w:val="single" w:sz="4" w:space="0" w:color="auto"/>
            </w:tcBorders>
            <w:shd w:val="clear" w:color="000000" w:fill="4D93D9"/>
            <w:vAlign w:val="center"/>
            <w:hideMark/>
          </w:tcPr>
          <w:p w14:paraId="51B32BA3"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795" w:type="pct"/>
            <w:tcBorders>
              <w:top w:val="nil"/>
              <w:left w:val="nil"/>
              <w:bottom w:val="single" w:sz="4" w:space="0" w:color="auto"/>
              <w:right w:val="single" w:sz="4" w:space="0" w:color="auto"/>
            </w:tcBorders>
            <w:shd w:val="clear" w:color="000000" w:fill="4D93D9"/>
            <w:vAlign w:val="center"/>
            <w:hideMark/>
          </w:tcPr>
          <w:p w14:paraId="619DF304"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39" w:type="pct"/>
            <w:tcBorders>
              <w:top w:val="nil"/>
              <w:left w:val="nil"/>
              <w:bottom w:val="single" w:sz="4" w:space="0" w:color="auto"/>
              <w:right w:val="single" w:sz="4" w:space="0" w:color="auto"/>
            </w:tcBorders>
            <w:shd w:val="clear" w:color="000000" w:fill="4D93D9"/>
            <w:vAlign w:val="center"/>
            <w:hideMark/>
          </w:tcPr>
          <w:p w14:paraId="0380C263"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95" w:type="pct"/>
            <w:tcBorders>
              <w:top w:val="nil"/>
              <w:left w:val="nil"/>
              <w:bottom w:val="single" w:sz="4" w:space="0" w:color="auto"/>
              <w:right w:val="single" w:sz="4" w:space="0" w:color="auto"/>
            </w:tcBorders>
            <w:shd w:val="clear" w:color="000000" w:fill="4D93D9"/>
            <w:vAlign w:val="center"/>
            <w:hideMark/>
          </w:tcPr>
          <w:p w14:paraId="7DAE12F3"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r>
      <w:tr w:rsidR="007B3093" w14:paraId="27D96AAA" w14:textId="77777777">
        <w:trPr>
          <w:gridAfter w:val="1"/>
          <w:wAfter w:w="86" w:type="pct"/>
          <w:trHeight w:val="405"/>
        </w:trPr>
        <w:tc>
          <w:tcPr>
            <w:tcW w:w="1153" w:type="pct"/>
            <w:vMerge w:val="restart"/>
            <w:tcBorders>
              <w:top w:val="nil"/>
              <w:left w:val="single" w:sz="4" w:space="0" w:color="auto"/>
              <w:bottom w:val="single" w:sz="4" w:space="0" w:color="auto"/>
              <w:right w:val="single" w:sz="4" w:space="0" w:color="auto"/>
            </w:tcBorders>
            <w:shd w:val="clear" w:color="000000" w:fill="DAE9F8"/>
            <w:vAlign w:val="center"/>
            <w:hideMark/>
          </w:tcPr>
          <w:p w14:paraId="6D3E4D09"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033" w:type="pct"/>
            <w:vMerge w:val="restart"/>
            <w:tcBorders>
              <w:top w:val="nil"/>
              <w:left w:val="single" w:sz="4" w:space="0" w:color="auto"/>
              <w:bottom w:val="single" w:sz="4" w:space="0" w:color="auto"/>
              <w:right w:val="single" w:sz="4" w:space="0" w:color="auto"/>
            </w:tcBorders>
            <w:shd w:val="clear" w:color="000000" w:fill="DAE9F8"/>
            <w:vAlign w:val="center"/>
            <w:hideMark/>
          </w:tcPr>
          <w:p w14:paraId="0A1E4EA7"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1.5. Administración del Proyecto</w:t>
            </w:r>
          </w:p>
        </w:tc>
        <w:tc>
          <w:tcPr>
            <w:tcW w:w="7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47BC243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EDG PGE conformado</w:t>
            </w:r>
          </w:p>
        </w:tc>
        <w:tc>
          <w:tcPr>
            <w:tcW w:w="939" w:type="pct"/>
            <w:tcBorders>
              <w:top w:val="nil"/>
              <w:left w:val="nil"/>
              <w:bottom w:val="single" w:sz="4" w:space="0" w:color="auto"/>
              <w:right w:val="single" w:sz="4" w:space="0" w:color="auto"/>
            </w:tcBorders>
            <w:shd w:val="clear" w:color="000000" w:fill="DAE9F8"/>
            <w:vAlign w:val="center"/>
            <w:hideMark/>
          </w:tcPr>
          <w:p w14:paraId="17C68A75"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Adquisiciones</w:t>
            </w:r>
          </w:p>
        </w:tc>
        <w:tc>
          <w:tcPr>
            <w:tcW w:w="9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36BA65A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contratado</w:t>
            </w:r>
          </w:p>
        </w:tc>
      </w:tr>
      <w:tr w:rsidR="007B3093" w14:paraId="72F93E26" w14:textId="77777777">
        <w:trPr>
          <w:gridAfter w:val="1"/>
          <w:wAfter w:w="86" w:type="pct"/>
          <w:trHeight w:val="450"/>
        </w:trPr>
        <w:tc>
          <w:tcPr>
            <w:tcW w:w="1153" w:type="pct"/>
            <w:vMerge/>
            <w:tcBorders>
              <w:top w:val="nil"/>
              <w:left w:val="single" w:sz="4" w:space="0" w:color="auto"/>
              <w:bottom w:val="single" w:sz="4" w:space="0" w:color="auto"/>
              <w:right w:val="single" w:sz="4" w:space="0" w:color="auto"/>
            </w:tcBorders>
            <w:vAlign w:val="center"/>
            <w:hideMark/>
          </w:tcPr>
          <w:p w14:paraId="5ADDD6CB"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0B861E30"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3340D541"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5941F2D5"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Monitoreo y Seguimiento</w:t>
            </w:r>
          </w:p>
        </w:tc>
        <w:tc>
          <w:tcPr>
            <w:tcW w:w="995" w:type="pct"/>
            <w:vMerge/>
            <w:tcBorders>
              <w:top w:val="nil"/>
              <w:left w:val="single" w:sz="4" w:space="0" w:color="auto"/>
              <w:bottom w:val="single" w:sz="4" w:space="0" w:color="auto"/>
              <w:right w:val="single" w:sz="4" w:space="0" w:color="auto"/>
            </w:tcBorders>
            <w:vAlign w:val="center"/>
            <w:hideMark/>
          </w:tcPr>
          <w:p w14:paraId="520DB583"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09E769EA" w14:textId="77777777">
        <w:trPr>
          <w:gridAfter w:val="1"/>
          <w:wAfter w:w="86" w:type="pct"/>
          <w:trHeight w:val="420"/>
        </w:trPr>
        <w:tc>
          <w:tcPr>
            <w:tcW w:w="1153" w:type="pct"/>
            <w:vMerge/>
            <w:tcBorders>
              <w:top w:val="nil"/>
              <w:left w:val="single" w:sz="4" w:space="0" w:color="auto"/>
              <w:bottom w:val="single" w:sz="4" w:space="0" w:color="auto"/>
              <w:right w:val="single" w:sz="4" w:space="0" w:color="auto"/>
            </w:tcBorders>
            <w:vAlign w:val="center"/>
            <w:hideMark/>
          </w:tcPr>
          <w:p w14:paraId="5ED236A8"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4187B8CD"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0EC96E49"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6098A9E1"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Tecnologías y Comunicación</w:t>
            </w:r>
          </w:p>
        </w:tc>
        <w:tc>
          <w:tcPr>
            <w:tcW w:w="995" w:type="pct"/>
            <w:vMerge/>
            <w:tcBorders>
              <w:top w:val="nil"/>
              <w:left w:val="single" w:sz="4" w:space="0" w:color="auto"/>
              <w:bottom w:val="single" w:sz="4" w:space="0" w:color="auto"/>
              <w:right w:val="single" w:sz="4" w:space="0" w:color="auto"/>
            </w:tcBorders>
            <w:vAlign w:val="center"/>
            <w:hideMark/>
          </w:tcPr>
          <w:p w14:paraId="5BBA01E4"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078812F0" w14:textId="77777777">
        <w:trPr>
          <w:gridAfter w:val="1"/>
          <w:wAfter w:w="86" w:type="pct"/>
          <w:trHeight w:val="1515"/>
        </w:trPr>
        <w:tc>
          <w:tcPr>
            <w:tcW w:w="1153" w:type="pct"/>
            <w:vMerge/>
            <w:tcBorders>
              <w:top w:val="nil"/>
              <w:left w:val="single" w:sz="4" w:space="0" w:color="auto"/>
              <w:bottom w:val="single" w:sz="4" w:space="0" w:color="auto"/>
              <w:right w:val="single" w:sz="4" w:space="0" w:color="auto"/>
            </w:tcBorders>
            <w:vAlign w:val="center"/>
            <w:hideMark/>
          </w:tcPr>
          <w:p w14:paraId="0DD6E092"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tcBorders>
              <w:top w:val="nil"/>
              <w:left w:val="nil"/>
              <w:bottom w:val="single" w:sz="4" w:space="0" w:color="auto"/>
              <w:right w:val="single" w:sz="4" w:space="0" w:color="auto"/>
            </w:tcBorders>
            <w:shd w:val="clear" w:color="000000" w:fill="DAE9F8"/>
            <w:vAlign w:val="center"/>
            <w:hideMark/>
          </w:tcPr>
          <w:p w14:paraId="0771FB1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1.1. Realizar un diagnóstico situacional en profundidad, propuesta de modelo de gestión e instrumentos para su redefinición.</w:t>
            </w:r>
          </w:p>
        </w:tc>
        <w:tc>
          <w:tcPr>
            <w:tcW w:w="795" w:type="pct"/>
            <w:tcBorders>
              <w:top w:val="nil"/>
              <w:left w:val="nil"/>
              <w:bottom w:val="single" w:sz="4" w:space="0" w:color="auto"/>
              <w:right w:val="single" w:sz="4" w:space="0" w:color="auto"/>
            </w:tcBorders>
            <w:shd w:val="clear" w:color="000000" w:fill="DAE9F8"/>
            <w:vAlign w:val="center"/>
            <w:hideMark/>
          </w:tcPr>
          <w:p w14:paraId="3ABB323F"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Diagnóstico situacional en profundidad realizado, propuesta de modelo de gestión e instrumentos para su redefinición entregados</w:t>
            </w:r>
          </w:p>
        </w:tc>
        <w:tc>
          <w:tcPr>
            <w:tcW w:w="939" w:type="pct"/>
            <w:tcBorders>
              <w:top w:val="nil"/>
              <w:left w:val="nil"/>
              <w:bottom w:val="single" w:sz="4" w:space="0" w:color="auto"/>
              <w:right w:val="single" w:sz="4" w:space="0" w:color="auto"/>
            </w:tcBorders>
            <w:shd w:val="clear" w:color="000000" w:fill="DAE9F8"/>
            <w:vAlign w:val="center"/>
            <w:hideMark/>
          </w:tcPr>
          <w:p w14:paraId="3A8362E5"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Elaboración del diseño estratégico e implementación de la reforma institucional integral, incluyendo el modelo de gestión, sus instrumentos y la gestión del cambio institucional.</w:t>
            </w:r>
          </w:p>
        </w:tc>
        <w:tc>
          <w:tcPr>
            <w:tcW w:w="995" w:type="pct"/>
            <w:tcBorders>
              <w:top w:val="nil"/>
              <w:left w:val="nil"/>
              <w:bottom w:val="single" w:sz="4" w:space="0" w:color="auto"/>
              <w:right w:val="single" w:sz="4" w:space="0" w:color="auto"/>
            </w:tcBorders>
            <w:shd w:val="clear" w:color="000000" w:fill="DAE9F8"/>
            <w:vAlign w:val="center"/>
            <w:hideMark/>
          </w:tcPr>
          <w:p w14:paraId="5D75B405"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Fase 0 - Producto 1: Plan de Trabajo aprobado</w:t>
            </w:r>
          </w:p>
        </w:tc>
      </w:tr>
      <w:tr w:rsidR="007B3093" w14:paraId="19807985" w14:textId="77777777">
        <w:trPr>
          <w:gridAfter w:val="1"/>
          <w:wAfter w:w="86" w:type="pct"/>
          <w:trHeight w:val="492"/>
        </w:trPr>
        <w:tc>
          <w:tcPr>
            <w:tcW w:w="1153" w:type="pct"/>
            <w:vMerge/>
            <w:tcBorders>
              <w:top w:val="nil"/>
              <w:left w:val="single" w:sz="4" w:space="0" w:color="auto"/>
              <w:bottom w:val="single" w:sz="4" w:space="0" w:color="auto"/>
              <w:right w:val="single" w:sz="4" w:space="0" w:color="auto"/>
            </w:tcBorders>
            <w:vAlign w:val="center"/>
            <w:hideMark/>
          </w:tcPr>
          <w:p w14:paraId="0A4B42FA"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tcBorders>
              <w:top w:val="nil"/>
              <w:left w:val="nil"/>
              <w:bottom w:val="single" w:sz="4" w:space="0" w:color="auto"/>
              <w:right w:val="single" w:sz="4" w:space="0" w:color="auto"/>
            </w:tcBorders>
            <w:shd w:val="clear" w:color="000000" w:fill="DAE9F8"/>
            <w:vAlign w:val="center"/>
            <w:hideMark/>
          </w:tcPr>
          <w:p w14:paraId="045536BB"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1.2. Implementar el Plan de gestión del cambio.</w:t>
            </w:r>
          </w:p>
        </w:tc>
        <w:tc>
          <w:tcPr>
            <w:tcW w:w="795" w:type="pct"/>
            <w:tcBorders>
              <w:top w:val="nil"/>
              <w:left w:val="nil"/>
              <w:bottom w:val="single" w:sz="4" w:space="0" w:color="auto"/>
              <w:right w:val="single" w:sz="4" w:space="0" w:color="auto"/>
            </w:tcBorders>
            <w:shd w:val="clear" w:color="000000" w:fill="DAE9F8"/>
            <w:vAlign w:val="center"/>
            <w:hideMark/>
          </w:tcPr>
          <w:p w14:paraId="5421697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Plan de gestión del cambio implementado</w:t>
            </w:r>
          </w:p>
        </w:tc>
        <w:tc>
          <w:tcPr>
            <w:tcW w:w="939" w:type="pct"/>
            <w:tcBorders>
              <w:top w:val="nil"/>
              <w:left w:val="nil"/>
              <w:bottom w:val="single" w:sz="4" w:space="0" w:color="auto"/>
              <w:right w:val="single" w:sz="4" w:space="0" w:color="auto"/>
            </w:tcBorders>
            <w:shd w:val="clear" w:color="000000" w:fill="DAE9F8"/>
            <w:vAlign w:val="center"/>
            <w:hideMark/>
          </w:tcPr>
          <w:p w14:paraId="20D7E9A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Talleres de preparación para la gestión del cambio</w:t>
            </w:r>
          </w:p>
        </w:tc>
        <w:tc>
          <w:tcPr>
            <w:tcW w:w="995" w:type="pct"/>
            <w:tcBorders>
              <w:top w:val="nil"/>
              <w:left w:val="nil"/>
              <w:bottom w:val="single" w:sz="4" w:space="0" w:color="auto"/>
              <w:right w:val="single" w:sz="4" w:space="0" w:color="auto"/>
            </w:tcBorders>
            <w:shd w:val="clear" w:color="000000" w:fill="DAE9F8"/>
            <w:vAlign w:val="center"/>
            <w:hideMark/>
          </w:tcPr>
          <w:p w14:paraId="162B62F8"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Talleres de Gestión del cambio</w:t>
            </w:r>
          </w:p>
        </w:tc>
      </w:tr>
      <w:tr w:rsidR="007B3093" w14:paraId="7310737B" w14:textId="77777777">
        <w:trPr>
          <w:gridAfter w:val="1"/>
          <w:wAfter w:w="86" w:type="pct"/>
          <w:trHeight w:val="492"/>
        </w:trPr>
        <w:tc>
          <w:tcPr>
            <w:tcW w:w="1153" w:type="pct"/>
            <w:vMerge/>
            <w:tcBorders>
              <w:top w:val="nil"/>
              <w:left w:val="single" w:sz="4" w:space="0" w:color="auto"/>
              <w:bottom w:val="single" w:sz="4" w:space="0" w:color="auto"/>
              <w:right w:val="single" w:sz="4" w:space="0" w:color="auto"/>
            </w:tcBorders>
            <w:vAlign w:val="center"/>
            <w:hideMark/>
          </w:tcPr>
          <w:p w14:paraId="70C2AA59"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tcBorders>
              <w:top w:val="nil"/>
              <w:left w:val="nil"/>
              <w:bottom w:val="single" w:sz="4" w:space="0" w:color="auto"/>
              <w:right w:val="single" w:sz="4" w:space="0" w:color="auto"/>
            </w:tcBorders>
            <w:shd w:val="clear" w:color="000000" w:fill="DAE9F8"/>
            <w:vAlign w:val="center"/>
            <w:hideMark/>
          </w:tcPr>
          <w:p w14:paraId="770DF9A9"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1.4.  Fortalecer el Hardware para soportar el nuevo sistema integrado</w:t>
            </w:r>
          </w:p>
        </w:tc>
        <w:tc>
          <w:tcPr>
            <w:tcW w:w="795" w:type="pct"/>
            <w:tcBorders>
              <w:top w:val="nil"/>
              <w:left w:val="nil"/>
              <w:bottom w:val="single" w:sz="4" w:space="0" w:color="auto"/>
              <w:right w:val="single" w:sz="4" w:space="0" w:color="auto"/>
            </w:tcBorders>
            <w:shd w:val="clear" w:color="000000" w:fill="DAE9F8"/>
            <w:vAlign w:val="center"/>
            <w:hideMark/>
          </w:tcPr>
          <w:p w14:paraId="6E2FC6C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Hardware para soportar el nuevo sistema integrado fortalecido</w:t>
            </w:r>
          </w:p>
        </w:tc>
        <w:tc>
          <w:tcPr>
            <w:tcW w:w="939" w:type="pct"/>
            <w:tcBorders>
              <w:top w:val="nil"/>
              <w:left w:val="nil"/>
              <w:bottom w:val="single" w:sz="4" w:space="0" w:color="auto"/>
              <w:right w:val="single" w:sz="4" w:space="0" w:color="auto"/>
            </w:tcBorders>
            <w:shd w:val="clear" w:color="000000" w:fill="DAE9F8"/>
            <w:vAlign w:val="center"/>
            <w:hideMark/>
          </w:tcPr>
          <w:p w14:paraId="39EA6A6F"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Adquisiciones emergentes de equipos informáticos para fortalecer el hardware de la Procuraduría General del Estado</w:t>
            </w:r>
          </w:p>
        </w:tc>
        <w:tc>
          <w:tcPr>
            <w:tcW w:w="995" w:type="pct"/>
            <w:tcBorders>
              <w:top w:val="nil"/>
              <w:left w:val="nil"/>
              <w:bottom w:val="single" w:sz="4" w:space="0" w:color="auto"/>
              <w:right w:val="single" w:sz="4" w:space="0" w:color="auto"/>
            </w:tcBorders>
            <w:shd w:val="clear" w:color="000000" w:fill="DAE9F8"/>
            <w:vAlign w:val="center"/>
            <w:hideMark/>
          </w:tcPr>
          <w:p w14:paraId="7101F49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Adquisición equipos tecnológicos – 1</w:t>
            </w:r>
          </w:p>
        </w:tc>
      </w:tr>
      <w:tr w:rsidR="007B3093" w14:paraId="1B1FE3E1" w14:textId="77777777">
        <w:trPr>
          <w:gridAfter w:val="1"/>
          <w:wAfter w:w="86" w:type="pct"/>
          <w:trHeight w:val="1212"/>
        </w:trPr>
        <w:tc>
          <w:tcPr>
            <w:tcW w:w="1153" w:type="pct"/>
            <w:tcBorders>
              <w:top w:val="nil"/>
              <w:left w:val="single" w:sz="4" w:space="0" w:color="auto"/>
              <w:bottom w:val="single" w:sz="4" w:space="0" w:color="auto"/>
              <w:right w:val="single" w:sz="4" w:space="0" w:color="auto"/>
            </w:tcBorders>
            <w:shd w:val="clear" w:color="000000" w:fill="E2EFDA"/>
            <w:vAlign w:val="center"/>
            <w:hideMark/>
          </w:tcPr>
          <w:p w14:paraId="592B2BFF"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2. - Fortalecer la defensa legal del Estado</w:t>
            </w:r>
          </w:p>
        </w:tc>
        <w:tc>
          <w:tcPr>
            <w:tcW w:w="1033" w:type="pct"/>
            <w:tcBorders>
              <w:top w:val="nil"/>
              <w:left w:val="nil"/>
              <w:bottom w:val="single" w:sz="4" w:space="0" w:color="auto"/>
              <w:right w:val="single" w:sz="4" w:space="0" w:color="auto"/>
            </w:tcBorders>
            <w:shd w:val="clear" w:color="000000" w:fill="E2EFDA"/>
            <w:vAlign w:val="center"/>
            <w:hideMark/>
          </w:tcPr>
          <w:p w14:paraId="6843A848"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2.1. Capacitar a los funcionarios de la PGE en temas jurídicos y gestión de casos orales</w:t>
            </w:r>
          </w:p>
        </w:tc>
        <w:tc>
          <w:tcPr>
            <w:tcW w:w="795" w:type="pct"/>
            <w:tcBorders>
              <w:top w:val="nil"/>
              <w:left w:val="nil"/>
              <w:bottom w:val="single" w:sz="4" w:space="0" w:color="auto"/>
              <w:right w:val="single" w:sz="4" w:space="0" w:color="auto"/>
            </w:tcBorders>
            <w:shd w:val="clear" w:color="000000" w:fill="DAF2D0"/>
            <w:vAlign w:val="center"/>
            <w:hideMark/>
          </w:tcPr>
          <w:p w14:paraId="069BB96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Capacitación a los funcionarios de la PGE en temas jurídicos y gestión de casos orales para fortalecer sus conocimientos y destrezas realizadas</w:t>
            </w:r>
          </w:p>
        </w:tc>
        <w:tc>
          <w:tcPr>
            <w:tcW w:w="939" w:type="pct"/>
            <w:tcBorders>
              <w:top w:val="nil"/>
              <w:left w:val="nil"/>
              <w:bottom w:val="single" w:sz="4" w:space="0" w:color="auto"/>
              <w:right w:val="single" w:sz="4" w:space="0" w:color="auto"/>
            </w:tcBorders>
            <w:shd w:val="clear" w:color="000000" w:fill="DAF2D0"/>
            <w:vAlign w:val="center"/>
            <w:hideMark/>
          </w:tcPr>
          <w:p w14:paraId="1F24B02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Servicio de capacitación en la actualización de Derecho Procesal Interamericano y de Jurisprudencia de la Corte Interamericana de Derechos Humanos para las y los servidores de la Procuraduría General del Estado y funcionarios competentes de Estado ecuatoriano</w:t>
            </w:r>
          </w:p>
        </w:tc>
        <w:tc>
          <w:tcPr>
            <w:tcW w:w="995" w:type="pct"/>
            <w:tcBorders>
              <w:top w:val="nil"/>
              <w:left w:val="nil"/>
              <w:bottom w:val="single" w:sz="4" w:space="0" w:color="auto"/>
              <w:right w:val="single" w:sz="4" w:space="0" w:color="auto"/>
            </w:tcBorders>
            <w:shd w:val="clear" w:color="000000" w:fill="DAF2D0"/>
            <w:vAlign w:val="center"/>
            <w:hideMark/>
          </w:tcPr>
          <w:p w14:paraId="5D86E584"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Capacitación</w:t>
            </w:r>
          </w:p>
        </w:tc>
      </w:tr>
      <w:tr w:rsidR="007B3093" w14:paraId="13289129" w14:textId="77777777">
        <w:trPr>
          <w:gridAfter w:val="1"/>
          <w:wAfter w:w="86" w:type="pct"/>
          <w:trHeight w:val="1470"/>
        </w:trPr>
        <w:tc>
          <w:tcPr>
            <w:tcW w:w="1153" w:type="pct"/>
            <w:tcBorders>
              <w:top w:val="nil"/>
              <w:left w:val="single" w:sz="4" w:space="0" w:color="auto"/>
              <w:bottom w:val="single" w:sz="4" w:space="0" w:color="auto"/>
              <w:right w:val="single" w:sz="4" w:space="0" w:color="auto"/>
            </w:tcBorders>
            <w:shd w:val="clear" w:color="000000" w:fill="FBE2D5"/>
            <w:vAlign w:val="center"/>
            <w:hideMark/>
          </w:tcPr>
          <w:p w14:paraId="3175E9EF"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3. - Fortalecer la capacidad de control, consultoría y asesoría legal de la PGE</w:t>
            </w:r>
          </w:p>
        </w:tc>
        <w:tc>
          <w:tcPr>
            <w:tcW w:w="1033" w:type="pct"/>
            <w:tcBorders>
              <w:top w:val="nil"/>
              <w:left w:val="nil"/>
              <w:bottom w:val="single" w:sz="4" w:space="0" w:color="auto"/>
              <w:right w:val="single" w:sz="4" w:space="0" w:color="auto"/>
            </w:tcBorders>
            <w:shd w:val="clear" w:color="000000" w:fill="FBE2D5"/>
            <w:vAlign w:val="center"/>
            <w:hideMark/>
          </w:tcPr>
          <w:p w14:paraId="139C3C56"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3.2. Capacitar a organismos del Estado o Municipios para la formulación adecuada de sus consultas.</w:t>
            </w:r>
          </w:p>
        </w:tc>
        <w:tc>
          <w:tcPr>
            <w:tcW w:w="795" w:type="pct"/>
            <w:tcBorders>
              <w:top w:val="nil"/>
              <w:left w:val="nil"/>
              <w:bottom w:val="single" w:sz="4" w:space="0" w:color="auto"/>
              <w:right w:val="single" w:sz="4" w:space="0" w:color="auto"/>
            </w:tcBorders>
            <w:shd w:val="clear" w:color="000000" w:fill="FBE2D5"/>
            <w:vAlign w:val="center"/>
            <w:hideMark/>
          </w:tcPr>
          <w:p w14:paraId="6BC35FCB"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Capacitaciones a organismos del Estado o Municipios para la formulación adecuada de sus consultas y fortalecer sus capacidades y destrezas realizadas</w:t>
            </w:r>
          </w:p>
        </w:tc>
        <w:tc>
          <w:tcPr>
            <w:tcW w:w="939" w:type="pct"/>
            <w:tcBorders>
              <w:top w:val="nil"/>
              <w:left w:val="nil"/>
              <w:bottom w:val="single" w:sz="4" w:space="0" w:color="auto"/>
              <w:right w:val="single" w:sz="4" w:space="0" w:color="auto"/>
            </w:tcBorders>
            <w:shd w:val="clear" w:color="000000" w:fill="FBE2D5"/>
            <w:vAlign w:val="center"/>
            <w:hideMark/>
          </w:tcPr>
          <w:p w14:paraId="413EE38F"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Servicio de capacitación enfocada en el “Control de la legalidad de actos y contratos del sector público: desafíos y tendencias para las y los servidores de las entidades públicas y de la Procuraduría General del Estado.” Proceso relacionado con el proceso de Capacitación a organismos del Estado - módulo I</w:t>
            </w:r>
          </w:p>
        </w:tc>
        <w:tc>
          <w:tcPr>
            <w:tcW w:w="995" w:type="pct"/>
            <w:tcBorders>
              <w:top w:val="nil"/>
              <w:left w:val="nil"/>
              <w:bottom w:val="single" w:sz="4" w:space="0" w:color="auto"/>
              <w:right w:val="single" w:sz="4" w:space="0" w:color="auto"/>
            </w:tcBorders>
            <w:shd w:val="clear" w:color="000000" w:fill="FBE2D5"/>
            <w:vAlign w:val="center"/>
            <w:hideMark/>
          </w:tcPr>
          <w:p w14:paraId="24ACC5AF"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Capacitación</w:t>
            </w:r>
          </w:p>
        </w:tc>
      </w:tr>
      <w:tr w:rsidR="007B3093" w14:paraId="639E4EE6" w14:textId="77777777">
        <w:trPr>
          <w:gridAfter w:val="1"/>
          <w:wAfter w:w="86" w:type="pct"/>
          <w:trHeight w:val="1125"/>
        </w:trPr>
        <w:tc>
          <w:tcPr>
            <w:tcW w:w="1153" w:type="pct"/>
            <w:tcBorders>
              <w:top w:val="nil"/>
              <w:left w:val="single" w:sz="4" w:space="0" w:color="auto"/>
              <w:bottom w:val="single" w:sz="4" w:space="0" w:color="auto"/>
              <w:right w:val="single" w:sz="4" w:space="0" w:color="auto"/>
            </w:tcBorders>
            <w:shd w:val="clear" w:color="000000" w:fill="F2CEEF"/>
            <w:vAlign w:val="center"/>
            <w:hideMark/>
          </w:tcPr>
          <w:p w14:paraId="1655896B"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1033" w:type="pct"/>
            <w:tcBorders>
              <w:top w:val="nil"/>
              <w:left w:val="nil"/>
              <w:bottom w:val="single" w:sz="4" w:space="0" w:color="auto"/>
              <w:right w:val="single" w:sz="4" w:space="0" w:color="auto"/>
            </w:tcBorders>
            <w:shd w:val="clear" w:color="000000" w:fill="F2CEEF"/>
            <w:vAlign w:val="center"/>
            <w:hideMark/>
          </w:tcPr>
          <w:p w14:paraId="6A859833"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5.5. Adquirir equipamiento para comunicación.</w:t>
            </w:r>
          </w:p>
        </w:tc>
        <w:tc>
          <w:tcPr>
            <w:tcW w:w="795" w:type="pct"/>
            <w:tcBorders>
              <w:top w:val="nil"/>
              <w:left w:val="nil"/>
              <w:bottom w:val="single" w:sz="4" w:space="0" w:color="auto"/>
              <w:right w:val="single" w:sz="4" w:space="0" w:color="auto"/>
            </w:tcBorders>
            <w:shd w:val="clear" w:color="000000" w:fill="F2CEEF"/>
            <w:vAlign w:val="center"/>
            <w:hideMark/>
          </w:tcPr>
          <w:p w14:paraId="222CBD9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Equipamiento para fortalecer la gestión de comunicación adquirido</w:t>
            </w:r>
          </w:p>
        </w:tc>
        <w:tc>
          <w:tcPr>
            <w:tcW w:w="939" w:type="pct"/>
            <w:tcBorders>
              <w:top w:val="nil"/>
              <w:left w:val="nil"/>
              <w:bottom w:val="single" w:sz="4" w:space="0" w:color="auto"/>
              <w:right w:val="single" w:sz="4" w:space="0" w:color="auto"/>
            </w:tcBorders>
            <w:shd w:val="clear" w:color="000000" w:fill="F2CEEF"/>
            <w:vAlign w:val="center"/>
            <w:hideMark/>
          </w:tcPr>
          <w:p w14:paraId="2970F968"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Adquisición del equipamiento para fortalecer las herramientas de comunicación interna y externa de la Procuraduría General del Estado a nivel nacional</w:t>
            </w:r>
          </w:p>
        </w:tc>
        <w:tc>
          <w:tcPr>
            <w:tcW w:w="995" w:type="pct"/>
            <w:tcBorders>
              <w:top w:val="nil"/>
              <w:left w:val="nil"/>
              <w:bottom w:val="single" w:sz="4" w:space="0" w:color="auto"/>
              <w:right w:val="single" w:sz="4" w:space="0" w:color="auto"/>
            </w:tcBorders>
            <w:shd w:val="clear" w:color="000000" w:fill="F2CEEF"/>
            <w:vAlign w:val="center"/>
            <w:hideMark/>
          </w:tcPr>
          <w:p w14:paraId="6E1CD82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Comunicación</w:t>
            </w:r>
          </w:p>
        </w:tc>
      </w:tr>
      <w:tr w:rsidR="007B3093" w14:paraId="6731DE36" w14:textId="77777777">
        <w:trPr>
          <w:gridAfter w:val="1"/>
          <w:wAfter w:w="86" w:type="pct"/>
          <w:trHeight w:val="300"/>
        </w:trPr>
        <w:tc>
          <w:tcPr>
            <w:tcW w:w="1153" w:type="pct"/>
            <w:tcBorders>
              <w:top w:val="nil"/>
              <w:left w:val="single" w:sz="4" w:space="0" w:color="auto"/>
              <w:bottom w:val="single" w:sz="4" w:space="0" w:color="auto"/>
              <w:right w:val="single" w:sz="4" w:space="0" w:color="auto"/>
            </w:tcBorders>
            <w:shd w:val="clear" w:color="000000" w:fill="4D93D9"/>
            <w:vAlign w:val="center"/>
            <w:hideMark/>
          </w:tcPr>
          <w:p w14:paraId="4B45C6DD"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lastRenderedPageBreak/>
              <w:t>AÑO 2021</w:t>
            </w:r>
          </w:p>
        </w:tc>
        <w:tc>
          <w:tcPr>
            <w:tcW w:w="1033" w:type="pct"/>
            <w:tcBorders>
              <w:top w:val="nil"/>
              <w:left w:val="nil"/>
              <w:bottom w:val="single" w:sz="4" w:space="0" w:color="auto"/>
              <w:right w:val="single" w:sz="4" w:space="0" w:color="auto"/>
            </w:tcBorders>
            <w:shd w:val="clear" w:color="000000" w:fill="4D93D9"/>
            <w:vAlign w:val="center"/>
            <w:hideMark/>
          </w:tcPr>
          <w:p w14:paraId="4EEAE90C"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795" w:type="pct"/>
            <w:tcBorders>
              <w:top w:val="nil"/>
              <w:left w:val="nil"/>
              <w:bottom w:val="single" w:sz="4" w:space="0" w:color="auto"/>
              <w:right w:val="single" w:sz="4" w:space="0" w:color="auto"/>
            </w:tcBorders>
            <w:shd w:val="clear" w:color="000000" w:fill="4D93D9"/>
            <w:vAlign w:val="center"/>
            <w:hideMark/>
          </w:tcPr>
          <w:p w14:paraId="24FB4641"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39" w:type="pct"/>
            <w:tcBorders>
              <w:top w:val="nil"/>
              <w:left w:val="nil"/>
              <w:bottom w:val="single" w:sz="4" w:space="0" w:color="auto"/>
              <w:right w:val="single" w:sz="4" w:space="0" w:color="auto"/>
            </w:tcBorders>
            <w:shd w:val="clear" w:color="000000" w:fill="4D93D9"/>
            <w:vAlign w:val="center"/>
            <w:hideMark/>
          </w:tcPr>
          <w:p w14:paraId="56C2FDBC"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95" w:type="pct"/>
            <w:tcBorders>
              <w:top w:val="nil"/>
              <w:left w:val="nil"/>
              <w:bottom w:val="single" w:sz="4" w:space="0" w:color="auto"/>
              <w:right w:val="single" w:sz="4" w:space="0" w:color="auto"/>
            </w:tcBorders>
            <w:shd w:val="clear" w:color="000000" w:fill="4D93D9"/>
            <w:vAlign w:val="center"/>
            <w:hideMark/>
          </w:tcPr>
          <w:p w14:paraId="118CF223"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r>
      <w:tr w:rsidR="007B3093" w14:paraId="2F445CF2" w14:textId="77777777">
        <w:trPr>
          <w:gridAfter w:val="1"/>
          <w:wAfter w:w="86" w:type="pct"/>
          <w:trHeight w:val="495"/>
        </w:trPr>
        <w:tc>
          <w:tcPr>
            <w:tcW w:w="1153" w:type="pct"/>
            <w:vMerge w:val="restart"/>
            <w:tcBorders>
              <w:top w:val="nil"/>
              <w:left w:val="single" w:sz="4" w:space="0" w:color="auto"/>
              <w:bottom w:val="single" w:sz="4" w:space="0" w:color="auto"/>
              <w:right w:val="single" w:sz="4" w:space="0" w:color="auto"/>
            </w:tcBorders>
            <w:shd w:val="clear" w:color="000000" w:fill="DAE9F8"/>
            <w:vAlign w:val="center"/>
            <w:hideMark/>
          </w:tcPr>
          <w:p w14:paraId="7F26B1FA"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033" w:type="pct"/>
            <w:vMerge w:val="restart"/>
            <w:tcBorders>
              <w:top w:val="nil"/>
              <w:left w:val="single" w:sz="4" w:space="0" w:color="auto"/>
              <w:bottom w:val="single" w:sz="4" w:space="0" w:color="auto"/>
              <w:right w:val="single" w:sz="4" w:space="0" w:color="auto"/>
            </w:tcBorders>
            <w:shd w:val="clear" w:color="000000" w:fill="DAE9F8"/>
            <w:vAlign w:val="center"/>
            <w:hideMark/>
          </w:tcPr>
          <w:p w14:paraId="0A86C766"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1.5. Administración del Proyecto</w:t>
            </w:r>
          </w:p>
        </w:tc>
        <w:tc>
          <w:tcPr>
            <w:tcW w:w="7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6F9C460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EDG PGE conformado</w:t>
            </w:r>
          </w:p>
        </w:tc>
        <w:tc>
          <w:tcPr>
            <w:tcW w:w="939" w:type="pct"/>
            <w:tcBorders>
              <w:top w:val="nil"/>
              <w:left w:val="nil"/>
              <w:bottom w:val="single" w:sz="4" w:space="0" w:color="auto"/>
              <w:right w:val="single" w:sz="4" w:space="0" w:color="auto"/>
            </w:tcBorders>
            <w:shd w:val="clear" w:color="000000" w:fill="DAE9F8"/>
            <w:vAlign w:val="center"/>
            <w:hideMark/>
          </w:tcPr>
          <w:p w14:paraId="593780AA"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Especialista de Adquisiciones, </w:t>
            </w:r>
          </w:p>
        </w:tc>
        <w:tc>
          <w:tcPr>
            <w:tcW w:w="9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414FD8F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contratado</w:t>
            </w:r>
          </w:p>
        </w:tc>
      </w:tr>
      <w:tr w:rsidR="007B3093" w14:paraId="2FF7CC76" w14:textId="77777777">
        <w:trPr>
          <w:gridAfter w:val="1"/>
          <w:wAfter w:w="86" w:type="pct"/>
          <w:trHeight w:val="288"/>
        </w:trPr>
        <w:tc>
          <w:tcPr>
            <w:tcW w:w="1153" w:type="pct"/>
            <w:vMerge/>
            <w:tcBorders>
              <w:top w:val="nil"/>
              <w:left w:val="single" w:sz="4" w:space="0" w:color="auto"/>
              <w:bottom w:val="single" w:sz="4" w:space="0" w:color="auto"/>
              <w:right w:val="single" w:sz="4" w:space="0" w:color="auto"/>
            </w:tcBorders>
            <w:vAlign w:val="center"/>
            <w:hideMark/>
          </w:tcPr>
          <w:p w14:paraId="6CAE6D21"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7A9D742F"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057F302E"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7B6806F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Monitoreo y Seguimiento</w:t>
            </w:r>
          </w:p>
        </w:tc>
        <w:tc>
          <w:tcPr>
            <w:tcW w:w="995" w:type="pct"/>
            <w:vMerge/>
            <w:tcBorders>
              <w:top w:val="nil"/>
              <w:left w:val="single" w:sz="4" w:space="0" w:color="auto"/>
              <w:bottom w:val="single" w:sz="4" w:space="0" w:color="auto"/>
              <w:right w:val="single" w:sz="4" w:space="0" w:color="auto"/>
            </w:tcBorders>
            <w:vAlign w:val="center"/>
            <w:hideMark/>
          </w:tcPr>
          <w:p w14:paraId="60E0ED2D"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6A6B8E27" w14:textId="77777777">
        <w:trPr>
          <w:gridAfter w:val="1"/>
          <w:wAfter w:w="86" w:type="pct"/>
          <w:trHeight w:val="300"/>
        </w:trPr>
        <w:tc>
          <w:tcPr>
            <w:tcW w:w="1153" w:type="pct"/>
            <w:vMerge/>
            <w:tcBorders>
              <w:top w:val="nil"/>
              <w:left w:val="single" w:sz="4" w:space="0" w:color="auto"/>
              <w:bottom w:val="single" w:sz="4" w:space="0" w:color="auto"/>
              <w:right w:val="single" w:sz="4" w:space="0" w:color="auto"/>
            </w:tcBorders>
            <w:vAlign w:val="center"/>
            <w:hideMark/>
          </w:tcPr>
          <w:p w14:paraId="506BA109"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4C0DABC3"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43833B58"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1C888134"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Tecnologías y Comunicación</w:t>
            </w:r>
          </w:p>
        </w:tc>
        <w:tc>
          <w:tcPr>
            <w:tcW w:w="995" w:type="pct"/>
            <w:vMerge/>
            <w:tcBorders>
              <w:top w:val="nil"/>
              <w:left w:val="single" w:sz="4" w:space="0" w:color="auto"/>
              <w:bottom w:val="single" w:sz="4" w:space="0" w:color="auto"/>
              <w:right w:val="single" w:sz="4" w:space="0" w:color="auto"/>
            </w:tcBorders>
            <w:vAlign w:val="center"/>
            <w:hideMark/>
          </w:tcPr>
          <w:p w14:paraId="3BD16063"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3F68EFF7" w14:textId="77777777">
        <w:trPr>
          <w:gridAfter w:val="1"/>
          <w:wAfter w:w="86" w:type="pct"/>
          <w:trHeight w:val="1215"/>
        </w:trPr>
        <w:tc>
          <w:tcPr>
            <w:tcW w:w="1153" w:type="pct"/>
            <w:vMerge/>
            <w:tcBorders>
              <w:top w:val="nil"/>
              <w:left w:val="single" w:sz="4" w:space="0" w:color="auto"/>
              <w:bottom w:val="single" w:sz="4" w:space="0" w:color="auto"/>
              <w:right w:val="single" w:sz="4" w:space="0" w:color="auto"/>
            </w:tcBorders>
            <w:vAlign w:val="center"/>
            <w:hideMark/>
          </w:tcPr>
          <w:p w14:paraId="3B39665B"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val="restart"/>
            <w:tcBorders>
              <w:top w:val="nil"/>
              <w:left w:val="single" w:sz="4" w:space="0" w:color="auto"/>
              <w:bottom w:val="single" w:sz="4" w:space="0" w:color="auto"/>
              <w:right w:val="single" w:sz="4" w:space="0" w:color="auto"/>
            </w:tcBorders>
            <w:shd w:val="clear" w:color="000000" w:fill="DAE9F8"/>
            <w:vAlign w:val="center"/>
            <w:hideMark/>
          </w:tcPr>
          <w:p w14:paraId="24187206"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1.1. Realizar un diagnóstico situacional en profundidad, propuesta de modelo de gestión e instrumentos para su redefinición.</w:t>
            </w:r>
          </w:p>
        </w:tc>
        <w:tc>
          <w:tcPr>
            <w:tcW w:w="7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58DB1629"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Diagnóstico situacional en profundidad realizado, propuesta de modelo de gestión e instrumentos para su redefinición entregados</w:t>
            </w:r>
          </w:p>
        </w:tc>
        <w:tc>
          <w:tcPr>
            <w:tcW w:w="939" w:type="pct"/>
            <w:vMerge w:val="restart"/>
            <w:tcBorders>
              <w:top w:val="nil"/>
              <w:left w:val="single" w:sz="4" w:space="0" w:color="auto"/>
              <w:bottom w:val="single" w:sz="4" w:space="0" w:color="auto"/>
              <w:right w:val="single" w:sz="4" w:space="0" w:color="auto"/>
            </w:tcBorders>
            <w:shd w:val="clear" w:color="000000" w:fill="DAE9F8"/>
            <w:vAlign w:val="center"/>
            <w:hideMark/>
          </w:tcPr>
          <w:p w14:paraId="67EE15C2"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Elaboración del diseño estratégico e implementación de la reforma institucional integral, incluyendo el modelo de gestión, sus instrumentos y la gestión del cambio institucional.</w:t>
            </w:r>
          </w:p>
        </w:tc>
        <w:tc>
          <w:tcPr>
            <w:tcW w:w="995" w:type="pct"/>
            <w:tcBorders>
              <w:top w:val="nil"/>
              <w:left w:val="nil"/>
              <w:bottom w:val="single" w:sz="4" w:space="0" w:color="auto"/>
              <w:right w:val="single" w:sz="4" w:space="0" w:color="auto"/>
            </w:tcBorders>
            <w:shd w:val="clear" w:color="000000" w:fill="DAE9F8"/>
            <w:vAlign w:val="center"/>
            <w:hideMark/>
          </w:tcPr>
          <w:p w14:paraId="33C59EC6"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Fase 2 - Producto 2: Diagnóstico Situacional y propuesta de direccionamiento estratégico</w:t>
            </w:r>
          </w:p>
        </w:tc>
      </w:tr>
      <w:tr w:rsidR="007B3093" w14:paraId="02852723" w14:textId="77777777">
        <w:trPr>
          <w:gridAfter w:val="1"/>
          <w:wAfter w:w="86" w:type="pct"/>
          <w:trHeight w:val="732"/>
        </w:trPr>
        <w:tc>
          <w:tcPr>
            <w:tcW w:w="1153" w:type="pct"/>
            <w:vMerge/>
            <w:tcBorders>
              <w:top w:val="nil"/>
              <w:left w:val="single" w:sz="4" w:space="0" w:color="auto"/>
              <w:bottom w:val="single" w:sz="4" w:space="0" w:color="auto"/>
              <w:right w:val="single" w:sz="4" w:space="0" w:color="auto"/>
            </w:tcBorders>
            <w:vAlign w:val="center"/>
            <w:hideMark/>
          </w:tcPr>
          <w:p w14:paraId="37CAAEFF"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75A8456C"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537C49CD"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vMerge/>
            <w:tcBorders>
              <w:top w:val="nil"/>
              <w:left w:val="single" w:sz="4" w:space="0" w:color="auto"/>
              <w:bottom w:val="single" w:sz="4" w:space="0" w:color="auto"/>
              <w:right w:val="single" w:sz="4" w:space="0" w:color="auto"/>
            </w:tcBorders>
            <w:vAlign w:val="center"/>
            <w:hideMark/>
          </w:tcPr>
          <w:p w14:paraId="62282A31" w14:textId="77777777" w:rsidR="007B3093" w:rsidRDefault="007B3093">
            <w:pPr>
              <w:spacing w:after="0" w:line="240" w:lineRule="auto"/>
              <w:rPr>
                <w:rFonts w:ascii="Calibri" w:eastAsia="Times New Roman" w:hAnsi="Calibri" w:cs="Calibri"/>
                <w:color w:val="000000"/>
                <w:sz w:val="14"/>
                <w:szCs w:val="14"/>
                <w:lang w:eastAsia="es-EC"/>
              </w:rPr>
            </w:pPr>
          </w:p>
        </w:tc>
        <w:tc>
          <w:tcPr>
            <w:tcW w:w="995" w:type="pct"/>
            <w:tcBorders>
              <w:top w:val="nil"/>
              <w:left w:val="nil"/>
              <w:bottom w:val="single" w:sz="4" w:space="0" w:color="auto"/>
              <w:right w:val="single" w:sz="4" w:space="0" w:color="auto"/>
            </w:tcBorders>
            <w:shd w:val="clear" w:color="000000" w:fill="DAE9F8"/>
            <w:vAlign w:val="center"/>
            <w:hideMark/>
          </w:tcPr>
          <w:p w14:paraId="39E78925"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Fase 2 - Producto 3: Propuesta de Agenda Digital institucional para el desarrollo de la plataforma tecnológica integral</w:t>
            </w:r>
          </w:p>
        </w:tc>
      </w:tr>
      <w:tr w:rsidR="007B3093" w14:paraId="25F9BAEE" w14:textId="77777777">
        <w:trPr>
          <w:gridAfter w:val="1"/>
          <w:wAfter w:w="86" w:type="pct"/>
          <w:trHeight w:val="732"/>
        </w:trPr>
        <w:tc>
          <w:tcPr>
            <w:tcW w:w="1153" w:type="pct"/>
            <w:vMerge/>
            <w:tcBorders>
              <w:top w:val="nil"/>
              <w:left w:val="single" w:sz="4" w:space="0" w:color="auto"/>
              <w:bottom w:val="single" w:sz="4" w:space="0" w:color="auto"/>
              <w:right w:val="single" w:sz="4" w:space="0" w:color="auto"/>
            </w:tcBorders>
            <w:vAlign w:val="center"/>
            <w:hideMark/>
          </w:tcPr>
          <w:p w14:paraId="493B2342"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7CC487FF"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1AA23D7F"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vMerge/>
            <w:tcBorders>
              <w:top w:val="nil"/>
              <w:left w:val="single" w:sz="4" w:space="0" w:color="auto"/>
              <w:bottom w:val="single" w:sz="4" w:space="0" w:color="auto"/>
              <w:right w:val="single" w:sz="4" w:space="0" w:color="auto"/>
            </w:tcBorders>
            <w:vAlign w:val="center"/>
            <w:hideMark/>
          </w:tcPr>
          <w:p w14:paraId="5D1DEE5A" w14:textId="77777777" w:rsidR="007B3093" w:rsidRDefault="007B3093">
            <w:pPr>
              <w:spacing w:after="0" w:line="240" w:lineRule="auto"/>
              <w:rPr>
                <w:rFonts w:ascii="Calibri" w:eastAsia="Times New Roman" w:hAnsi="Calibri" w:cs="Calibri"/>
                <w:color w:val="000000"/>
                <w:sz w:val="14"/>
                <w:szCs w:val="14"/>
                <w:lang w:eastAsia="es-EC"/>
              </w:rPr>
            </w:pPr>
          </w:p>
        </w:tc>
        <w:tc>
          <w:tcPr>
            <w:tcW w:w="995" w:type="pct"/>
            <w:tcBorders>
              <w:top w:val="nil"/>
              <w:left w:val="nil"/>
              <w:bottom w:val="single" w:sz="4" w:space="0" w:color="auto"/>
              <w:right w:val="single" w:sz="4" w:space="0" w:color="auto"/>
            </w:tcBorders>
            <w:shd w:val="clear" w:color="000000" w:fill="DAE9F8"/>
            <w:vAlign w:val="center"/>
            <w:hideMark/>
          </w:tcPr>
          <w:p w14:paraId="604DDBE5"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Fase 2 - Producto 4: Propuesta de Modelo de Gestión de la PGE, Gestión del Cambio y Riesgos </w:t>
            </w:r>
          </w:p>
        </w:tc>
      </w:tr>
      <w:tr w:rsidR="007B3093" w14:paraId="16CA0529" w14:textId="77777777">
        <w:trPr>
          <w:gridAfter w:val="1"/>
          <w:wAfter w:w="86" w:type="pct"/>
          <w:trHeight w:val="732"/>
        </w:trPr>
        <w:tc>
          <w:tcPr>
            <w:tcW w:w="1153" w:type="pct"/>
            <w:vMerge/>
            <w:tcBorders>
              <w:top w:val="nil"/>
              <w:left w:val="single" w:sz="4" w:space="0" w:color="auto"/>
              <w:bottom w:val="single" w:sz="4" w:space="0" w:color="auto"/>
              <w:right w:val="single" w:sz="4" w:space="0" w:color="auto"/>
            </w:tcBorders>
            <w:vAlign w:val="center"/>
            <w:hideMark/>
          </w:tcPr>
          <w:p w14:paraId="78851506"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24847BD8"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098FE045"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vMerge/>
            <w:tcBorders>
              <w:top w:val="nil"/>
              <w:left w:val="single" w:sz="4" w:space="0" w:color="auto"/>
              <w:bottom w:val="single" w:sz="4" w:space="0" w:color="auto"/>
              <w:right w:val="single" w:sz="4" w:space="0" w:color="auto"/>
            </w:tcBorders>
            <w:vAlign w:val="center"/>
            <w:hideMark/>
          </w:tcPr>
          <w:p w14:paraId="6F9B5F86" w14:textId="77777777" w:rsidR="007B3093" w:rsidRDefault="007B3093">
            <w:pPr>
              <w:spacing w:after="0" w:line="240" w:lineRule="auto"/>
              <w:rPr>
                <w:rFonts w:ascii="Calibri" w:eastAsia="Times New Roman" w:hAnsi="Calibri" w:cs="Calibri"/>
                <w:color w:val="000000"/>
                <w:sz w:val="14"/>
                <w:szCs w:val="14"/>
                <w:lang w:eastAsia="es-EC"/>
              </w:rPr>
            </w:pPr>
          </w:p>
        </w:tc>
        <w:tc>
          <w:tcPr>
            <w:tcW w:w="995" w:type="pct"/>
            <w:tcBorders>
              <w:top w:val="nil"/>
              <w:left w:val="nil"/>
              <w:bottom w:val="single" w:sz="4" w:space="0" w:color="auto"/>
              <w:right w:val="single" w:sz="4" w:space="0" w:color="auto"/>
            </w:tcBorders>
            <w:shd w:val="clear" w:color="000000" w:fill="DAE9F8"/>
            <w:vAlign w:val="center"/>
            <w:hideMark/>
          </w:tcPr>
          <w:p w14:paraId="36AC9B2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Fase 2 - Producto 5: Políticas y cronograma de implementación del Modelo Gestión, Gestión del Cambio e instrumentos</w:t>
            </w:r>
          </w:p>
        </w:tc>
      </w:tr>
      <w:tr w:rsidR="007B3093" w14:paraId="1DC0B997" w14:textId="77777777">
        <w:trPr>
          <w:gridAfter w:val="1"/>
          <w:wAfter w:w="86" w:type="pct"/>
          <w:trHeight w:val="492"/>
        </w:trPr>
        <w:tc>
          <w:tcPr>
            <w:tcW w:w="1153" w:type="pct"/>
            <w:vMerge/>
            <w:tcBorders>
              <w:top w:val="nil"/>
              <w:left w:val="single" w:sz="4" w:space="0" w:color="auto"/>
              <w:bottom w:val="single" w:sz="4" w:space="0" w:color="auto"/>
              <w:right w:val="single" w:sz="4" w:space="0" w:color="auto"/>
            </w:tcBorders>
            <w:vAlign w:val="center"/>
            <w:hideMark/>
          </w:tcPr>
          <w:p w14:paraId="5F34BA61"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04DEF5D5"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788990A4"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vMerge/>
            <w:tcBorders>
              <w:top w:val="nil"/>
              <w:left w:val="single" w:sz="4" w:space="0" w:color="auto"/>
              <w:bottom w:val="single" w:sz="4" w:space="0" w:color="auto"/>
              <w:right w:val="single" w:sz="4" w:space="0" w:color="auto"/>
            </w:tcBorders>
            <w:vAlign w:val="center"/>
            <w:hideMark/>
          </w:tcPr>
          <w:p w14:paraId="507EE07C" w14:textId="77777777" w:rsidR="007B3093" w:rsidRDefault="007B3093">
            <w:pPr>
              <w:spacing w:after="0" w:line="240" w:lineRule="auto"/>
              <w:rPr>
                <w:rFonts w:ascii="Calibri" w:eastAsia="Times New Roman" w:hAnsi="Calibri" w:cs="Calibri"/>
                <w:color w:val="000000"/>
                <w:sz w:val="14"/>
                <w:szCs w:val="14"/>
                <w:lang w:eastAsia="es-EC"/>
              </w:rPr>
            </w:pPr>
          </w:p>
        </w:tc>
        <w:tc>
          <w:tcPr>
            <w:tcW w:w="995" w:type="pct"/>
            <w:tcBorders>
              <w:top w:val="nil"/>
              <w:left w:val="nil"/>
              <w:bottom w:val="single" w:sz="4" w:space="0" w:color="auto"/>
              <w:right w:val="single" w:sz="4" w:space="0" w:color="auto"/>
            </w:tcBorders>
            <w:shd w:val="clear" w:color="000000" w:fill="DAE9F8"/>
            <w:vAlign w:val="center"/>
            <w:hideMark/>
          </w:tcPr>
          <w:p w14:paraId="2E76C718"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Fase 2 - Producto 6: Plan Estratégico Institucional (2021-2025)</w:t>
            </w:r>
          </w:p>
        </w:tc>
      </w:tr>
      <w:tr w:rsidR="007B3093" w14:paraId="21A8F31A" w14:textId="77777777">
        <w:trPr>
          <w:gridAfter w:val="1"/>
          <w:wAfter w:w="86" w:type="pct"/>
          <w:trHeight w:val="492"/>
        </w:trPr>
        <w:tc>
          <w:tcPr>
            <w:tcW w:w="1153" w:type="pct"/>
            <w:vMerge/>
            <w:tcBorders>
              <w:top w:val="nil"/>
              <w:left w:val="single" w:sz="4" w:space="0" w:color="auto"/>
              <w:bottom w:val="single" w:sz="4" w:space="0" w:color="auto"/>
              <w:right w:val="single" w:sz="4" w:space="0" w:color="auto"/>
            </w:tcBorders>
            <w:vAlign w:val="center"/>
            <w:hideMark/>
          </w:tcPr>
          <w:p w14:paraId="059C8F7B"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623908F2"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41190CA6"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vMerge/>
            <w:tcBorders>
              <w:top w:val="nil"/>
              <w:left w:val="single" w:sz="4" w:space="0" w:color="auto"/>
              <w:bottom w:val="single" w:sz="4" w:space="0" w:color="auto"/>
              <w:right w:val="single" w:sz="4" w:space="0" w:color="auto"/>
            </w:tcBorders>
            <w:vAlign w:val="center"/>
            <w:hideMark/>
          </w:tcPr>
          <w:p w14:paraId="790702E2" w14:textId="77777777" w:rsidR="007B3093" w:rsidRDefault="007B3093">
            <w:pPr>
              <w:spacing w:after="0" w:line="240" w:lineRule="auto"/>
              <w:rPr>
                <w:rFonts w:ascii="Calibri" w:eastAsia="Times New Roman" w:hAnsi="Calibri" w:cs="Calibri"/>
                <w:color w:val="000000"/>
                <w:sz w:val="14"/>
                <w:szCs w:val="14"/>
                <w:lang w:eastAsia="es-EC"/>
              </w:rPr>
            </w:pPr>
          </w:p>
        </w:tc>
        <w:tc>
          <w:tcPr>
            <w:tcW w:w="995" w:type="pct"/>
            <w:tcBorders>
              <w:top w:val="nil"/>
              <w:left w:val="nil"/>
              <w:bottom w:val="single" w:sz="4" w:space="0" w:color="auto"/>
              <w:right w:val="single" w:sz="4" w:space="0" w:color="auto"/>
            </w:tcBorders>
            <w:shd w:val="clear" w:color="000000" w:fill="DAE9F8"/>
            <w:vAlign w:val="center"/>
            <w:hideMark/>
          </w:tcPr>
          <w:p w14:paraId="1D069C5A"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Fase 2 - Producto 7: Manual de Procesos y Procedimientos priorizados </w:t>
            </w:r>
          </w:p>
        </w:tc>
      </w:tr>
      <w:tr w:rsidR="007B3093" w14:paraId="39DDF7CF" w14:textId="77777777">
        <w:trPr>
          <w:gridAfter w:val="1"/>
          <w:wAfter w:w="86" w:type="pct"/>
          <w:trHeight w:val="732"/>
        </w:trPr>
        <w:tc>
          <w:tcPr>
            <w:tcW w:w="1153" w:type="pct"/>
            <w:vMerge/>
            <w:tcBorders>
              <w:top w:val="nil"/>
              <w:left w:val="single" w:sz="4" w:space="0" w:color="auto"/>
              <w:bottom w:val="single" w:sz="4" w:space="0" w:color="auto"/>
              <w:right w:val="single" w:sz="4" w:space="0" w:color="auto"/>
            </w:tcBorders>
            <w:vAlign w:val="center"/>
            <w:hideMark/>
          </w:tcPr>
          <w:p w14:paraId="6982EE15"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tcBorders>
              <w:top w:val="nil"/>
              <w:left w:val="nil"/>
              <w:bottom w:val="single" w:sz="4" w:space="0" w:color="auto"/>
              <w:right w:val="single" w:sz="4" w:space="0" w:color="auto"/>
            </w:tcBorders>
            <w:shd w:val="clear" w:color="000000" w:fill="DAE9F8"/>
            <w:vAlign w:val="center"/>
            <w:hideMark/>
          </w:tcPr>
          <w:p w14:paraId="5EF479F6"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1.2. Implementar el Plan de gestión del cambio.</w:t>
            </w:r>
          </w:p>
        </w:tc>
        <w:tc>
          <w:tcPr>
            <w:tcW w:w="795" w:type="pct"/>
            <w:tcBorders>
              <w:top w:val="nil"/>
              <w:left w:val="nil"/>
              <w:bottom w:val="single" w:sz="4" w:space="0" w:color="auto"/>
              <w:right w:val="single" w:sz="4" w:space="0" w:color="auto"/>
            </w:tcBorders>
            <w:shd w:val="clear" w:color="000000" w:fill="DAE9F8"/>
            <w:vAlign w:val="center"/>
            <w:hideMark/>
          </w:tcPr>
          <w:p w14:paraId="63F7C681"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Plan de gestión del cambio implementado</w:t>
            </w:r>
          </w:p>
        </w:tc>
        <w:tc>
          <w:tcPr>
            <w:tcW w:w="939" w:type="pct"/>
            <w:tcBorders>
              <w:top w:val="nil"/>
              <w:left w:val="nil"/>
              <w:bottom w:val="single" w:sz="4" w:space="0" w:color="auto"/>
              <w:right w:val="single" w:sz="4" w:space="0" w:color="auto"/>
            </w:tcBorders>
            <w:shd w:val="clear" w:color="000000" w:fill="DAE9F8"/>
            <w:vAlign w:val="center"/>
            <w:hideMark/>
          </w:tcPr>
          <w:p w14:paraId="3387318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Servicio de Capacitación para Fortalecer las Competencias del Talento Humano sobre Gestión del Cambio en el marco del diseño del Modelo de Gestión de la PGE</w:t>
            </w:r>
          </w:p>
        </w:tc>
        <w:tc>
          <w:tcPr>
            <w:tcW w:w="995" w:type="pct"/>
            <w:tcBorders>
              <w:top w:val="nil"/>
              <w:left w:val="nil"/>
              <w:bottom w:val="single" w:sz="4" w:space="0" w:color="auto"/>
              <w:right w:val="single" w:sz="4" w:space="0" w:color="auto"/>
            </w:tcBorders>
            <w:shd w:val="clear" w:color="000000" w:fill="DAE9F8"/>
            <w:vAlign w:val="center"/>
            <w:hideMark/>
          </w:tcPr>
          <w:p w14:paraId="6484131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Capacitación sobre Gestión del cambio</w:t>
            </w:r>
          </w:p>
        </w:tc>
      </w:tr>
      <w:tr w:rsidR="007B3093" w14:paraId="11B13D94" w14:textId="77777777">
        <w:trPr>
          <w:gridAfter w:val="1"/>
          <w:wAfter w:w="86" w:type="pct"/>
          <w:trHeight w:val="732"/>
        </w:trPr>
        <w:tc>
          <w:tcPr>
            <w:tcW w:w="1153" w:type="pct"/>
            <w:vMerge w:val="restart"/>
            <w:tcBorders>
              <w:top w:val="nil"/>
              <w:left w:val="single" w:sz="4" w:space="0" w:color="auto"/>
              <w:bottom w:val="single" w:sz="4" w:space="0" w:color="auto"/>
              <w:right w:val="single" w:sz="4" w:space="0" w:color="auto"/>
            </w:tcBorders>
            <w:shd w:val="clear" w:color="000000" w:fill="DAF2D0"/>
            <w:vAlign w:val="center"/>
            <w:hideMark/>
          </w:tcPr>
          <w:p w14:paraId="1378837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2. - Fortalecer la defensa legal del Estado</w:t>
            </w:r>
          </w:p>
        </w:tc>
        <w:tc>
          <w:tcPr>
            <w:tcW w:w="1033" w:type="pct"/>
            <w:vMerge w:val="restart"/>
            <w:tcBorders>
              <w:top w:val="nil"/>
              <w:left w:val="single" w:sz="4" w:space="0" w:color="auto"/>
              <w:bottom w:val="single" w:sz="4" w:space="0" w:color="auto"/>
              <w:right w:val="single" w:sz="4" w:space="0" w:color="auto"/>
            </w:tcBorders>
            <w:shd w:val="clear" w:color="000000" w:fill="DAF2D0"/>
            <w:vAlign w:val="center"/>
            <w:hideMark/>
          </w:tcPr>
          <w:p w14:paraId="11590A3C"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2.1. Capacitar a los funcionarios de la PGE en temas jurídicos y gestión de casos orales.</w:t>
            </w:r>
          </w:p>
        </w:tc>
        <w:tc>
          <w:tcPr>
            <w:tcW w:w="795" w:type="pct"/>
            <w:vMerge w:val="restart"/>
            <w:tcBorders>
              <w:top w:val="nil"/>
              <w:left w:val="single" w:sz="4" w:space="0" w:color="auto"/>
              <w:bottom w:val="single" w:sz="4" w:space="0" w:color="auto"/>
              <w:right w:val="single" w:sz="4" w:space="0" w:color="auto"/>
            </w:tcBorders>
            <w:shd w:val="clear" w:color="000000" w:fill="DAF2D0"/>
            <w:vAlign w:val="center"/>
            <w:hideMark/>
          </w:tcPr>
          <w:p w14:paraId="1FEA5FA3"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Capacitaciones a los funcionarios de la PGE en temas jurídicos y gestión de casos orales para fortalecer conocimientos y destrezas realizadas</w:t>
            </w:r>
          </w:p>
        </w:tc>
        <w:tc>
          <w:tcPr>
            <w:tcW w:w="939" w:type="pct"/>
            <w:tcBorders>
              <w:top w:val="nil"/>
              <w:left w:val="nil"/>
              <w:bottom w:val="single" w:sz="4" w:space="0" w:color="auto"/>
              <w:right w:val="single" w:sz="4" w:space="0" w:color="auto"/>
            </w:tcBorders>
            <w:shd w:val="clear" w:color="000000" w:fill="DAF2D0"/>
            <w:vAlign w:val="center"/>
            <w:hideMark/>
          </w:tcPr>
          <w:p w14:paraId="7D63C0C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Servicio de Capacitación para Fortalecimiento de Habilidades y Destrezas de las y los Servidores de PGE en el desempeño de sus atribuciones y competencias laborales </w:t>
            </w:r>
          </w:p>
        </w:tc>
        <w:tc>
          <w:tcPr>
            <w:tcW w:w="995" w:type="pct"/>
            <w:tcBorders>
              <w:top w:val="nil"/>
              <w:left w:val="nil"/>
              <w:bottom w:val="single" w:sz="4" w:space="0" w:color="auto"/>
              <w:right w:val="single" w:sz="4" w:space="0" w:color="auto"/>
            </w:tcBorders>
            <w:shd w:val="clear" w:color="000000" w:fill="DAF2D0"/>
            <w:vAlign w:val="center"/>
            <w:hideMark/>
          </w:tcPr>
          <w:p w14:paraId="76E6DCCB"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Capacitación</w:t>
            </w:r>
          </w:p>
        </w:tc>
      </w:tr>
      <w:tr w:rsidR="007B3093" w14:paraId="5EB73284" w14:textId="77777777">
        <w:trPr>
          <w:gridAfter w:val="1"/>
          <w:wAfter w:w="86" w:type="pct"/>
          <w:trHeight w:val="492"/>
        </w:trPr>
        <w:tc>
          <w:tcPr>
            <w:tcW w:w="1153" w:type="pct"/>
            <w:vMerge/>
            <w:tcBorders>
              <w:top w:val="nil"/>
              <w:left w:val="single" w:sz="4" w:space="0" w:color="auto"/>
              <w:bottom w:val="single" w:sz="4" w:space="0" w:color="auto"/>
              <w:right w:val="single" w:sz="4" w:space="0" w:color="auto"/>
            </w:tcBorders>
            <w:vAlign w:val="center"/>
            <w:hideMark/>
          </w:tcPr>
          <w:p w14:paraId="5794048C"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647F4806"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01FAEDDE"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E2EFDA"/>
            <w:vAlign w:val="center"/>
            <w:hideMark/>
          </w:tcPr>
          <w:p w14:paraId="12840F6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Contratación de especialista en procesos de capacitación para apoyar y asesorar técnicamente al EDG-PGE</w:t>
            </w:r>
          </w:p>
        </w:tc>
        <w:tc>
          <w:tcPr>
            <w:tcW w:w="995" w:type="pct"/>
            <w:tcBorders>
              <w:top w:val="nil"/>
              <w:left w:val="nil"/>
              <w:bottom w:val="single" w:sz="4" w:space="0" w:color="auto"/>
              <w:right w:val="single" w:sz="4" w:space="0" w:color="auto"/>
            </w:tcBorders>
            <w:shd w:val="clear" w:color="000000" w:fill="E2EFDA"/>
            <w:vAlign w:val="center"/>
            <w:hideMark/>
          </w:tcPr>
          <w:p w14:paraId="6F4FAD45"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Otros especialistas contratados</w:t>
            </w:r>
          </w:p>
        </w:tc>
      </w:tr>
      <w:tr w:rsidR="007B3093" w14:paraId="079C9687" w14:textId="77777777">
        <w:trPr>
          <w:gridAfter w:val="1"/>
          <w:wAfter w:w="86" w:type="pct"/>
          <w:trHeight w:val="732"/>
        </w:trPr>
        <w:tc>
          <w:tcPr>
            <w:tcW w:w="1153" w:type="pct"/>
            <w:vMerge/>
            <w:tcBorders>
              <w:top w:val="nil"/>
              <w:left w:val="single" w:sz="4" w:space="0" w:color="auto"/>
              <w:bottom w:val="single" w:sz="4" w:space="0" w:color="auto"/>
              <w:right w:val="single" w:sz="4" w:space="0" w:color="auto"/>
            </w:tcBorders>
            <w:vAlign w:val="center"/>
            <w:hideMark/>
          </w:tcPr>
          <w:p w14:paraId="3519D4EF"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tcBorders>
              <w:top w:val="nil"/>
              <w:left w:val="nil"/>
              <w:bottom w:val="single" w:sz="4" w:space="0" w:color="auto"/>
              <w:right w:val="single" w:sz="4" w:space="0" w:color="auto"/>
            </w:tcBorders>
            <w:shd w:val="clear" w:color="000000" w:fill="DAF2D0"/>
            <w:vAlign w:val="center"/>
            <w:hideMark/>
          </w:tcPr>
          <w:p w14:paraId="3B0AACA4"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2.2. Brindar una capacitación especializada en jurisprudencia internacional</w:t>
            </w:r>
          </w:p>
        </w:tc>
        <w:tc>
          <w:tcPr>
            <w:tcW w:w="795" w:type="pct"/>
            <w:tcBorders>
              <w:top w:val="nil"/>
              <w:left w:val="nil"/>
              <w:bottom w:val="single" w:sz="4" w:space="0" w:color="auto"/>
              <w:right w:val="single" w:sz="4" w:space="0" w:color="auto"/>
            </w:tcBorders>
            <w:shd w:val="clear" w:color="000000" w:fill="DAF2D0"/>
            <w:vAlign w:val="center"/>
            <w:hideMark/>
          </w:tcPr>
          <w:p w14:paraId="238DE4E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Capacitación especializada en jurisprudencia internacional realizada</w:t>
            </w:r>
          </w:p>
        </w:tc>
        <w:tc>
          <w:tcPr>
            <w:tcW w:w="939" w:type="pct"/>
            <w:tcBorders>
              <w:top w:val="nil"/>
              <w:left w:val="nil"/>
              <w:bottom w:val="single" w:sz="4" w:space="0" w:color="auto"/>
              <w:right w:val="single" w:sz="4" w:space="0" w:color="auto"/>
            </w:tcBorders>
            <w:shd w:val="clear" w:color="000000" w:fill="DAF2D0"/>
            <w:vAlign w:val="center"/>
            <w:hideMark/>
          </w:tcPr>
          <w:p w14:paraId="1594074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Contratación del “Servicio de capacitación en estándares interamericanos en materia de protesta social y control del orden público”</w:t>
            </w:r>
          </w:p>
        </w:tc>
        <w:tc>
          <w:tcPr>
            <w:tcW w:w="995" w:type="pct"/>
            <w:tcBorders>
              <w:top w:val="nil"/>
              <w:left w:val="nil"/>
              <w:bottom w:val="single" w:sz="4" w:space="0" w:color="auto"/>
              <w:right w:val="single" w:sz="4" w:space="0" w:color="auto"/>
            </w:tcBorders>
            <w:shd w:val="clear" w:color="000000" w:fill="DAF2D0"/>
            <w:vAlign w:val="center"/>
            <w:hideMark/>
          </w:tcPr>
          <w:p w14:paraId="6AE8FF7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Capacitación</w:t>
            </w:r>
          </w:p>
        </w:tc>
      </w:tr>
      <w:tr w:rsidR="007B3093" w14:paraId="5055E966" w14:textId="77777777">
        <w:trPr>
          <w:gridAfter w:val="1"/>
          <w:wAfter w:w="86" w:type="pct"/>
          <w:trHeight w:val="975"/>
        </w:trPr>
        <w:tc>
          <w:tcPr>
            <w:tcW w:w="1153" w:type="pct"/>
            <w:vMerge/>
            <w:tcBorders>
              <w:top w:val="nil"/>
              <w:left w:val="single" w:sz="4" w:space="0" w:color="auto"/>
              <w:bottom w:val="single" w:sz="4" w:space="0" w:color="auto"/>
              <w:right w:val="single" w:sz="4" w:space="0" w:color="auto"/>
            </w:tcBorders>
            <w:vAlign w:val="center"/>
            <w:hideMark/>
          </w:tcPr>
          <w:p w14:paraId="1D4771EA"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val="restart"/>
            <w:tcBorders>
              <w:top w:val="nil"/>
              <w:left w:val="single" w:sz="4" w:space="0" w:color="auto"/>
              <w:bottom w:val="single" w:sz="4" w:space="0" w:color="auto"/>
              <w:right w:val="single" w:sz="4" w:space="0" w:color="auto"/>
            </w:tcBorders>
            <w:shd w:val="clear" w:color="000000" w:fill="DAF2D0"/>
            <w:vAlign w:val="center"/>
            <w:hideMark/>
          </w:tcPr>
          <w:p w14:paraId="58E9F2A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2.3. Elaborar protocolos y guías para la coordinación interinstitucional para la defensa de casos.</w:t>
            </w:r>
          </w:p>
        </w:tc>
        <w:tc>
          <w:tcPr>
            <w:tcW w:w="795" w:type="pct"/>
            <w:vMerge w:val="restart"/>
            <w:tcBorders>
              <w:top w:val="nil"/>
              <w:left w:val="single" w:sz="4" w:space="0" w:color="auto"/>
              <w:bottom w:val="single" w:sz="4" w:space="0" w:color="auto"/>
              <w:right w:val="single" w:sz="4" w:space="0" w:color="auto"/>
            </w:tcBorders>
            <w:shd w:val="clear" w:color="000000" w:fill="DAF2D0"/>
            <w:vAlign w:val="center"/>
            <w:hideMark/>
          </w:tcPr>
          <w:p w14:paraId="220FBA6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Elaboración de protocolos y guías para la coordinación interinstitucional para la defensa de casos elaborados</w:t>
            </w:r>
          </w:p>
        </w:tc>
        <w:tc>
          <w:tcPr>
            <w:tcW w:w="939" w:type="pct"/>
            <w:tcBorders>
              <w:top w:val="nil"/>
              <w:left w:val="nil"/>
              <w:bottom w:val="single" w:sz="4" w:space="0" w:color="auto"/>
              <w:right w:val="single" w:sz="4" w:space="0" w:color="auto"/>
            </w:tcBorders>
            <w:shd w:val="clear" w:color="000000" w:fill="DAF2D0"/>
            <w:vAlign w:val="center"/>
            <w:hideMark/>
          </w:tcPr>
          <w:p w14:paraId="506FD0C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Consultoría para la elaboración del Manual de Defensa Jurídica del Estado”</w:t>
            </w:r>
          </w:p>
        </w:tc>
        <w:tc>
          <w:tcPr>
            <w:tcW w:w="995" w:type="pct"/>
            <w:vMerge w:val="restart"/>
            <w:tcBorders>
              <w:top w:val="nil"/>
              <w:left w:val="single" w:sz="4" w:space="0" w:color="auto"/>
              <w:bottom w:val="single" w:sz="4" w:space="0" w:color="auto"/>
              <w:right w:val="single" w:sz="4" w:space="0" w:color="auto"/>
            </w:tcBorders>
            <w:shd w:val="clear" w:color="000000" w:fill="DAF2D0"/>
            <w:vAlign w:val="center"/>
            <w:hideMark/>
          </w:tcPr>
          <w:p w14:paraId="6CA9FCD8"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Manual de Defensa Jurídica del Estado publicado</w:t>
            </w:r>
          </w:p>
        </w:tc>
      </w:tr>
      <w:tr w:rsidR="007B3093" w14:paraId="20F0E01F" w14:textId="77777777">
        <w:trPr>
          <w:gridAfter w:val="1"/>
          <w:wAfter w:w="86" w:type="pct"/>
          <w:trHeight w:val="492"/>
        </w:trPr>
        <w:tc>
          <w:tcPr>
            <w:tcW w:w="1153" w:type="pct"/>
            <w:vMerge/>
            <w:tcBorders>
              <w:top w:val="nil"/>
              <w:left w:val="single" w:sz="4" w:space="0" w:color="auto"/>
              <w:bottom w:val="single" w:sz="4" w:space="0" w:color="auto"/>
              <w:right w:val="single" w:sz="4" w:space="0" w:color="auto"/>
            </w:tcBorders>
            <w:vAlign w:val="center"/>
            <w:hideMark/>
          </w:tcPr>
          <w:p w14:paraId="0AE7BC82"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77378185"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2770B14C"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F2D0"/>
            <w:vAlign w:val="center"/>
            <w:hideMark/>
          </w:tcPr>
          <w:p w14:paraId="294E6C54"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Servicio de “Diseño digital, Edición, Diagramación e Impresión del Manual de </w:t>
            </w:r>
            <w:r>
              <w:rPr>
                <w:rFonts w:ascii="Calibri" w:eastAsia="Times New Roman" w:hAnsi="Calibri" w:cs="Calibri"/>
                <w:color w:val="000000"/>
                <w:sz w:val="14"/>
                <w:szCs w:val="14"/>
                <w:lang w:eastAsia="es-EC"/>
              </w:rPr>
              <w:lastRenderedPageBreak/>
              <w:t>Defensa Jurídica del Estado”</w:t>
            </w:r>
          </w:p>
        </w:tc>
        <w:tc>
          <w:tcPr>
            <w:tcW w:w="995" w:type="pct"/>
            <w:vMerge/>
            <w:tcBorders>
              <w:top w:val="nil"/>
              <w:left w:val="single" w:sz="4" w:space="0" w:color="auto"/>
              <w:bottom w:val="single" w:sz="4" w:space="0" w:color="auto"/>
              <w:right w:val="single" w:sz="4" w:space="0" w:color="auto"/>
            </w:tcBorders>
            <w:vAlign w:val="center"/>
            <w:hideMark/>
          </w:tcPr>
          <w:p w14:paraId="409EA370"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7A5B0405" w14:textId="77777777">
        <w:trPr>
          <w:gridAfter w:val="1"/>
          <w:wAfter w:w="86" w:type="pct"/>
          <w:trHeight w:val="1050"/>
        </w:trPr>
        <w:tc>
          <w:tcPr>
            <w:tcW w:w="1153" w:type="pct"/>
            <w:tcBorders>
              <w:top w:val="nil"/>
              <w:left w:val="single" w:sz="4" w:space="0" w:color="auto"/>
              <w:bottom w:val="single" w:sz="4" w:space="0" w:color="auto"/>
              <w:right w:val="single" w:sz="4" w:space="0" w:color="auto"/>
            </w:tcBorders>
            <w:shd w:val="clear" w:color="000000" w:fill="F2CEEF"/>
            <w:vAlign w:val="center"/>
            <w:hideMark/>
          </w:tcPr>
          <w:p w14:paraId="53D2D655"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1033" w:type="pct"/>
            <w:tcBorders>
              <w:top w:val="nil"/>
              <w:left w:val="nil"/>
              <w:bottom w:val="single" w:sz="4" w:space="0" w:color="auto"/>
              <w:right w:val="single" w:sz="4" w:space="0" w:color="auto"/>
            </w:tcBorders>
            <w:shd w:val="clear" w:color="000000" w:fill="F2CEEF"/>
            <w:vAlign w:val="center"/>
            <w:hideMark/>
          </w:tcPr>
          <w:p w14:paraId="5A75693F"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5.1. Diseñar una estrategia de comunicación</w:t>
            </w:r>
          </w:p>
        </w:tc>
        <w:tc>
          <w:tcPr>
            <w:tcW w:w="795" w:type="pct"/>
            <w:tcBorders>
              <w:top w:val="nil"/>
              <w:left w:val="nil"/>
              <w:bottom w:val="single" w:sz="4" w:space="0" w:color="auto"/>
              <w:right w:val="single" w:sz="4" w:space="0" w:color="auto"/>
            </w:tcBorders>
            <w:shd w:val="clear" w:color="000000" w:fill="F2CEEF"/>
            <w:vAlign w:val="center"/>
            <w:hideMark/>
          </w:tcPr>
          <w:p w14:paraId="65538514"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Estrategia de comunicación implementada</w:t>
            </w:r>
          </w:p>
        </w:tc>
        <w:tc>
          <w:tcPr>
            <w:tcW w:w="939" w:type="pct"/>
            <w:tcBorders>
              <w:top w:val="nil"/>
              <w:left w:val="nil"/>
              <w:bottom w:val="single" w:sz="4" w:space="0" w:color="auto"/>
              <w:right w:val="single" w:sz="4" w:space="0" w:color="auto"/>
            </w:tcBorders>
            <w:shd w:val="clear" w:color="000000" w:fill="F2CEEF"/>
            <w:vAlign w:val="center"/>
            <w:hideMark/>
          </w:tcPr>
          <w:p w14:paraId="50253F6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Contratación de un Consultor Individual para “Diseñar la Estrategia de Comunicación Interna y Externa del Modelo de Gestión de la Procuraduría"</w:t>
            </w:r>
          </w:p>
        </w:tc>
        <w:tc>
          <w:tcPr>
            <w:tcW w:w="995" w:type="pct"/>
            <w:tcBorders>
              <w:top w:val="nil"/>
              <w:left w:val="nil"/>
              <w:bottom w:val="single" w:sz="4" w:space="0" w:color="auto"/>
              <w:right w:val="single" w:sz="4" w:space="0" w:color="auto"/>
            </w:tcBorders>
            <w:shd w:val="clear" w:color="000000" w:fill="F2CEEF"/>
            <w:vAlign w:val="center"/>
            <w:hideMark/>
          </w:tcPr>
          <w:p w14:paraId="3FFD7AC1"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Estrategia de Comunicación</w:t>
            </w:r>
          </w:p>
        </w:tc>
      </w:tr>
      <w:tr w:rsidR="007B3093" w14:paraId="2062F5FE" w14:textId="77777777">
        <w:trPr>
          <w:gridAfter w:val="1"/>
          <w:wAfter w:w="86" w:type="pct"/>
          <w:trHeight w:val="300"/>
        </w:trPr>
        <w:tc>
          <w:tcPr>
            <w:tcW w:w="1153" w:type="pct"/>
            <w:tcBorders>
              <w:top w:val="nil"/>
              <w:left w:val="single" w:sz="4" w:space="0" w:color="auto"/>
              <w:bottom w:val="single" w:sz="4" w:space="0" w:color="auto"/>
              <w:right w:val="single" w:sz="4" w:space="0" w:color="auto"/>
            </w:tcBorders>
            <w:shd w:val="clear" w:color="000000" w:fill="4D93D9"/>
            <w:vAlign w:val="center"/>
            <w:hideMark/>
          </w:tcPr>
          <w:p w14:paraId="10B61FB7"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AÑO 2022</w:t>
            </w:r>
          </w:p>
        </w:tc>
        <w:tc>
          <w:tcPr>
            <w:tcW w:w="1033" w:type="pct"/>
            <w:tcBorders>
              <w:top w:val="nil"/>
              <w:left w:val="nil"/>
              <w:bottom w:val="single" w:sz="4" w:space="0" w:color="auto"/>
              <w:right w:val="single" w:sz="4" w:space="0" w:color="auto"/>
            </w:tcBorders>
            <w:shd w:val="clear" w:color="000000" w:fill="4D93D9"/>
            <w:vAlign w:val="center"/>
            <w:hideMark/>
          </w:tcPr>
          <w:p w14:paraId="35EB7889"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795" w:type="pct"/>
            <w:tcBorders>
              <w:top w:val="nil"/>
              <w:left w:val="nil"/>
              <w:bottom w:val="single" w:sz="4" w:space="0" w:color="auto"/>
              <w:right w:val="single" w:sz="4" w:space="0" w:color="auto"/>
            </w:tcBorders>
            <w:shd w:val="clear" w:color="000000" w:fill="4D93D9"/>
            <w:vAlign w:val="center"/>
            <w:hideMark/>
          </w:tcPr>
          <w:p w14:paraId="257BFD6F"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39" w:type="pct"/>
            <w:tcBorders>
              <w:top w:val="nil"/>
              <w:left w:val="nil"/>
              <w:bottom w:val="single" w:sz="4" w:space="0" w:color="auto"/>
              <w:right w:val="single" w:sz="4" w:space="0" w:color="auto"/>
            </w:tcBorders>
            <w:shd w:val="clear" w:color="000000" w:fill="4D93D9"/>
            <w:vAlign w:val="center"/>
            <w:hideMark/>
          </w:tcPr>
          <w:p w14:paraId="20B640C0"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95" w:type="pct"/>
            <w:tcBorders>
              <w:top w:val="nil"/>
              <w:left w:val="nil"/>
              <w:bottom w:val="single" w:sz="4" w:space="0" w:color="auto"/>
              <w:right w:val="single" w:sz="4" w:space="0" w:color="auto"/>
            </w:tcBorders>
            <w:shd w:val="clear" w:color="000000" w:fill="4D93D9"/>
            <w:vAlign w:val="center"/>
            <w:hideMark/>
          </w:tcPr>
          <w:p w14:paraId="0ADECCC9"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r>
      <w:tr w:rsidR="007B3093" w14:paraId="6759923E" w14:textId="77777777">
        <w:trPr>
          <w:gridAfter w:val="1"/>
          <w:wAfter w:w="86" w:type="pct"/>
          <w:trHeight w:val="495"/>
        </w:trPr>
        <w:tc>
          <w:tcPr>
            <w:tcW w:w="1153" w:type="pct"/>
            <w:vMerge w:val="restart"/>
            <w:tcBorders>
              <w:top w:val="nil"/>
              <w:left w:val="single" w:sz="4" w:space="0" w:color="auto"/>
              <w:bottom w:val="single" w:sz="4" w:space="0" w:color="auto"/>
              <w:right w:val="single" w:sz="4" w:space="0" w:color="auto"/>
            </w:tcBorders>
            <w:shd w:val="clear" w:color="000000" w:fill="DAE9F8"/>
            <w:vAlign w:val="center"/>
            <w:hideMark/>
          </w:tcPr>
          <w:p w14:paraId="0F83C2E1"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033" w:type="pct"/>
            <w:vMerge w:val="restart"/>
            <w:tcBorders>
              <w:top w:val="nil"/>
              <w:left w:val="single" w:sz="4" w:space="0" w:color="auto"/>
              <w:bottom w:val="single" w:sz="4" w:space="0" w:color="auto"/>
              <w:right w:val="single" w:sz="4" w:space="0" w:color="auto"/>
            </w:tcBorders>
            <w:shd w:val="clear" w:color="000000" w:fill="DAE9F8"/>
            <w:vAlign w:val="center"/>
            <w:hideMark/>
          </w:tcPr>
          <w:p w14:paraId="4CD7EEA8"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1.5. Administración del Proyecto</w:t>
            </w:r>
          </w:p>
        </w:tc>
        <w:tc>
          <w:tcPr>
            <w:tcW w:w="7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12EB705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EDG PGE conformado</w:t>
            </w:r>
          </w:p>
        </w:tc>
        <w:tc>
          <w:tcPr>
            <w:tcW w:w="939" w:type="pct"/>
            <w:tcBorders>
              <w:top w:val="nil"/>
              <w:left w:val="nil"/>
              <w:bottom w:val="single" w:sz="4" w:space="0" w:color="auto"/>
              <w:right w:val="single" w:sz="4" w:space="0" w:color="auto"/>
            </w:tcBorders>
            <w:shd w:val="clear" w:color="000000" w:fill="DAE9F8"/>
            <w:vAlign w:val="center"/>
            <w:hideMark/>
          </w:tcPr>
          <w:p w14:paraId="6D423E4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Adquisiciones</w:t>
            </w:r>
          </w:p>
        </w:tc>
        <w:tc>
          <w:tcPr>
            <w:tcW w:w="9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215C273A"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contratado</w:t>
            </w:r>
          </w:p>
        </w:tc>
      </w:tr>
      <w:tr w:rsidR="007B3093" w14:paraId="6C6D8C92" w14:textId="77777777">
        <w:trPr>
          <w:gridAfter w:val="1"/>
          <w:wAfter w:w="86" w:type="pct"/>
          <w:trHeight w:val="360"/>
        </w:trPr>
        <w:tc>
          <w:tcPr>
            <w:tcW w:w="1153" w:type="pct"/>
            <w:vMerge/>
            <w:tcBorders>
              <w:top w:val="nil"/>
              <w:left w:val="single" w:sz="4" w:space="0" w:color="auto"/>
              <w:bottom w:val="single" w:sz="4" w:space="0" w:color="auto"/>
              <w:right w:val="single" w:sz="4" w:space="0" w:color="auto"/>
            </w:tcBorders>
            <w:vAlign w:val="center"/>
            <w:hideMark/>
          </w:tcPr>
          <w:p w14:paraId="724C3ADF"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717B81DB"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2A31B0B6"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4F54FD3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Monitoreo y Seguimiento</w:t>
            </w:r>
          </w:p>
        </w:tc>
        <w:tc>
          <w:tcPr>
            <w:tcW w:w="995" w:type="pct"/>
            <w:vMerge/>
            <w:tcBorders>
              <w:top w:val="nil"/>
              <w:left w:val="single" w:sz="4" w:space="0" w:color="auto"/>
              <w:bottom w:val="single" w:sz="4" w:space="0" w:color="auto"/>
              <w:right w:val="single" w:sz="4" w:space="0" w:color="auto"/>
            </w:tcBorders>
            <w:vAlign w:val="center"/>
            <w:hideMark/>
          </w:tcPr>
          <w:p w14:paraId="0A835C03"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11B6CACA" w14:textId="77777777">
        <w:trPr>
          <w:gridAfter w:val="1"/>
          <w:wAfter w:w="86" w:type="pct"/>
          <w:trHeight w:val="360"/>
        </w:trPr>
        <w:tc>
          <w:tcPr>
            <w:tcW w:w="1153" w:type="pct"/>
            <w:vMerge/>
            <w:tcBorders>
              <w:top w:val="nil"/>
              <w:left w:val="single" w:sz="4" w:space="0" w:color="auto"/>
              <w:bottom w:val="single" w:sz="4" w:space="0" w:color="auto"/>
              <w:right w:val="single" w:sz="4" w:space="0" w:color="auto"/>
            </w:tcBorders>
            <w:vAlign w:val="center"/>
            <w:hideMark/>
          </w:tcPr>
          <w:p w14:paraId="41B6A0B2"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163F969F"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20820FF4"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38AAD45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Tecnologías y Comunicación</w:t>
            </w:r>
          </w:p>
        </w:tc>
        <w:tc>
          <w:tcPr>
            <w:tcW w:w="995" w:type="pct"/>
            <w:vMerge/>
            <w:tcBorders>
              <w:top w:val="nil"/>
              <w:left w:val="single" w:sz="4" w:space="0" w:color="auto"/>
              <w:bottom w:val="single" w:sz="4" w:space="0" w:color="auto"/>
              <w:right w:val="single" w:sz="4" w:space="0" w:color="auto"/>
            </w:tcBorders>
            <w:vAlign w:val="center"/>
            <w:hideMark/>
          </w:tcPr>
          <w:p w14:paraId="0CA0D923"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04DD5399" w14:textId="77777777">
        <w:trPr>
          <w:gridAfter w:val="1"/>
          <w:wAfter w:w="86" w:type="pct"/>
          <w:trHeight w:val="1215"/>
        </w:trPr>
        <w:tc>
          <w:tcPr>
            <w:tcW w:w="1153" w:type="pct"/>
            <w:vMerge/>
            <w:tcBorders>
              <w:top w:val="nil"/>
              <w:left w:val="single" w:sz="4" w:space="0" w:color="auto"/>
              <w:bottom w:val="single" w:sz="4" w:space="0" w:color="auto"/>
              <w:right w:val="single" w:sz="4" w:space="0" w:color="auto"/>
            </w:tcBorders>
            <w:vAlign w:val="center"/>
            <w:hideMark/>
          </w:tcPr>
          <w:p w14:paraId="2C8E6E44"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val="restart"/>
            <w:tcBorders>
              <w:top w:val="nil"/>
              <w:left w:val="single" w:sz="4" w:space="0" w:color="auto"/>
              <w:bottom w:val="single" w:sz="4" w:space="0" w:color="auto"/>
              <w:right w:val="single" w:sz="4" w:space="0" w:color="auto"/>
            </w:tcBorders>
            <w:shd w:val="clear" w:color="000000" w:fill="DAE9F8"/>
            <w:vAlign w:val="center"/>
            <w:hideMark/>
          </w:tcPr>
          <w:p w14:paraId="6F28FA19"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1.1. Realizar un diagnóstico situacional en profundidad, propuesta de modelo de gestión e instrumentos para su redefinición.</w:t>
            </w:r>
          </w:p>
        </w:tc>
        <w:tc>
          <w:tcPr>
            <w:tcW w:w="7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120F714B"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Diagnóstico situacional en profundidad realizado, propuesta de modelo de gestión e instrumentos para su redefinición entregados</w:t>
            </w:r>
          </w:p>
        </w:tc>
        <w:tc>
          <w:tcPr>
            <w:tcW w:w="939" w:type="pct"/>
            <w:vMerge w:val="restart"/>
            <w:tcBorders>
              <w:top w:val="nil"/>
              <w:left w:val="single" w:sz="4" w:space="0" w:color="auto"/>
              <w:bottom w:val="single" w:sz="4" w:space="0" w:color="auto"/>
              <w:right w:val="single" w:sz="4" w:space="0" w:color="auto"/>
            </w:tcBorders>
            <w:shd w:val="clear" w:color="000000" w:fill="DAE9F8"/>
            <w:vAlign w:val="center"/>
            <w:hideMark/>
          </w:tcPr>
          <w:p w14:paraId="757A066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Elaboración del diseño estratégico e implementación de la reforma institucional integral, incluyendo el modelo de gestión, sus instrumentos y la gestión del cambio institucional.</w:t>
            </w:r>
          </w:p>
        </w:tc>
        <w:tc>
          <w:tcPr>
            <w:tcW w:w="995" w:type="pct"/>
            <w:tcBorders>
              <w:top w:val="nil"/>
              <w:left w:val="nil"/>
              <w:bottom w:val="single" w:sz="4" w:space="0" w:color="auto"/>
              <w:right w:val="single" w:sz="4" w:space="0" w:color="auto"/>
            </w:tcBorders>
            <w:shd w:val="clear" w:color="000000" w:fill="DAE9F8"/>
            <w:vAlign w:val="center"/>
            <w:hideMark/>
          </w:tcPr>
          <w:p w14:paraId="6554E4E0"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Fase 3 - Producto 8: Metodologías y herramientas para medición, seguimiento y evaluación de la gestión institucional</w:t>
            </w:r>
          </w:p>
        </w:tc>
      </w:tr>
      <w:tr w:rsidR="007B3093" w14:paraId="5A6CEE80" w14:textId="77777777">
        <w:trPr>
          <w:gridAfter w:val="1"/>
          <w:wAfter w:w="86" w:type="pct"/>
          <w:trHeight w:val="492"/>
        </w:trPr>
        <w:tc>
          <w:tcPr>
            <w:tcW w:w="1153" w:type="pct"/>
            <w:vMerge/>
            <w:tcBorders>
              <w:top w:val="nil"/>
              <w:left w:val="single" w:sz="4" w:space="0" w:color="auto"/>
              <w:bottom w:val="single" w:sz="4" w:space="0" w:color="auto"/>
              <w:right w:val="single" w:sz="4" w:space="0" w:color="auto"/>
            </w:tcBorders>
            <w:vAlign w:val="center"/>
            <w:hideMark/>
          </w:tcPr>
          <w:p w14:paraId="39DCCF7A"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67104C51"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774CA6D3"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vMerge/>
            <w:tcBorders>
              <w:top w:val="nil"/>
              <w:left w:val="single" w:sz="4" w:space="0" w:color="auto"/>
              <w:bottom w:val="single" w:sz="4" w:space="0" w:color="auto"/>
              <w:right w:val="single" w:sz="4" w:space="0" w:color="auto"/>
            </w:tcBorders>
            <w:vAlign w:val="center"/>
            <w:hideMark/>
          </w:tcPr>
          <w:p w14:paraId="52A8DFF7" w14:textId="77777777" w:rsidR="007B3093" w:rsidRDefault="007B3093">
            <w:pPr>
              <w:spacing w:after="0" w:line="240" w:lineRule="auto"/>
              <w:rPr>
                <w:rFonts w:ascii="Calibri" w:eastAsia="Times New Roman" w:hAnsi="Calibri" w:cs="Calibri"/>
                <w:color w:val="000000"/>
                <w:sz w:val="14"/>
                <w:szCs w:val="14"/>
                <w:lang w:eastAsia="es-EC"/>
              </w:rPr>
            </w:pPr>
          </w:p>
        </w:tc>
        <w:tc>
          <w:tcPr>
            <w:tcW w:w="995" w:type="pct"/>
            <w:tcBorders>
              <w:top w:val="nil"/>
              <w:left w:val="nil"/>
              <w:bottom w:val="single" w:sz="4" w:space="0" w:color="auto"/>
              <w:right w:val="single" w:sz="4" w:space="0" w:color="auto"/>
            </w:tcBorders>
            <w:shd w:val="clear" w:color="000000" w:fill="DAE9F8"/>
            <w:vAlign w:val="center"/>
            <w:hideMark/>
          </w:tcPr>
          <w:p w14:paraId="33A4F58D"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Fase 3 - Producto 9: Manual de Procesos y Procedimientos definitivo </w:t>
            </w:r>
          </w:p>
        </w:tc>
      </w:tr>
      <w:tr w:rsidR="007B3093" w14:paraId="3BEE8998" w14:textId="77777777">
        <w:trPr>
          <w:gridAfter w:val="1"/>
          <w:wAfter w:w="86" w:type="pct"/>
          <w:trHeight w:val="1452"/>
        </w:trPr>
        <w:tc>
          <w:tcPr>
            <w:tcW w:w="1153" w:type="pct"/>
            <w:vMerge/>
            <w:tcBorders>
              <w:top w:val="nil"/>
              <w:left w:val="single" w:sz="4" w:space="0" w:color="auto"/>
              <w:bottom w:val="single" w:sz="4" w:space="0" w:color="auto"/>
              <w:right w:val="single" w:sz="4" w:space="0" w:color="auto"/>
            </w:tcBorders>
            <w:vAlign w:val="center"/>
            <w:hideMark/>
          </w:tcPr>
          <w:p w14:paraId="20067AE5"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33A5673A"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6B75F336"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vMerge/>
            <w:tcBorders>
              <w:top w:val="nil"/>
              <w:left w:val="single" w:sz="4" w:space="0" w:color="auto"/>
              <w:bottom w:val="single" w:sz="4" w:space="0" w:color="auto"/>
              <w:right w:val="single" w:sz="4" w:space="0" w:color="auto"/>
            </w:tcBorders>
            <w:vAlign w:val="center"/>
            <w:hideMark/>
          </w:tcPr>
          <w:p w14:paraId="270041F9" w14:textId="77777777" w:rsidR="007B3093" w:rsidRDefault="007B3093">
            <w:pPr>
              <w:spacing w:after="0" w:line="240" w:lineRule="auto"/>
              <w:rPr>
                <w:rFonts w:ascii="Calibri" w:eastAsia="Times New Roman" w:hAnsi="Calibri" w:cs="Calibri"/>
                <w:color w:val="000000"/>
                <w:sz w:val="14"/>
                <w:szCs w:val="14"/>
                <w:lang w:eastAsia="es-EC"/>
              </w:rPr>
            </w:pPr>
          </w:p>
        </w:tc>
        <w:tc>
          <w:tcPr>
            <w:tcW w:w="995" w:type="pct"/>
            <w:tcBorders>
              <w:top w:val="nil"/>
              <w:left w:val="nil"/>
              <w:bottom w:val="single" w:sz="4" w:space="0" w:color="auto"/>
              <w:right w:val="single" w:sz="4" w:space="0" w:color="auto"/>
            </w:tcBorders>
            <w:shd w:val="clear" w:color="000000" w:fill="DAE9F8"/>
            <w:vAlign w:val="center"/>
            <w:hideMark/>
          </w:tcPr>
          <w:p w14:paraId="4FEFC1E7"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Fase 3 - Producto 10: Informe de ejecución de la fase de acompañamiento que incluye la puesta en marcha de los elementos prioritarios del Modelo de Gestión institucional, el plan de Gestión del Cambio y los resultados de la evaluación </w:t>
            </w:r>
          </w:p>
        </w:tc>
      </w:tr>
      <w:tr w:rsidR="007B3093" w14:paraId="1CB3582E" w14:textId="77777777">
        <w:trPr>
          <w:gridAfter w:val="1"/>
          <w:wAfter w:w="86" w:type="pct"/>
          <w:trHeight w:val="1065"/>
        </w:trPr>
        <w:tc>
          <w:tcPr>
            <w:tcW w:w="1153" w:type="pct"/>
            <w:vMerge/>
            <w:tcBorders>
              <w:top w:val="nil"/>
              <w:left w:val="single" w:sz="4" w:space="0" w:color="auto"/>
              <w:bottom w:val="single" w:sz="4" w:space="0" w:color="auto"/>
              <w:right w:val="single" w:sz="4" w:space="0" w:color="auto"/>
            </w:tcBorders>
            <w:vAlign w:val="center"/>
            <w:hideMark/>
          </w:tcPr>
          <w:p w14:paraId="49215B6B"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tcBorders>
              <w:top w:val="nil"/>
              <w:left w:val="nil"/>
              <w:bottom w:val="single" w:sz="4" w:space="0" w:color="auto"/>
              <w:right w:val="single" w:sz="4" w:space="0" w:color="auto"/>
            </w:tcBorders>
            <w:shd w:val="clear" w:color="000000" w:fill="DAE9F8"/>
            <w:vAlign w:val="center"/>
            <w:hideMark/>
          </w:tcPr>
          <w:p w14:paraId="1FBCF17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1.2. Implementar el Plan de gestión del cambio.</w:t>
            </w:r>
          </w:p>
        </w:tc>
        <w:tc>
          <w:tcPr>
            <w:tcW w:w="795" w:type="pct"/>
            <w:tcBorders>
              <w:top w:val="nil"/>
              <w:left w:val="nil"/>
              <w:bottom w:val="single" w:sz="4" w:space="0" w:color="auto"/>
              <w:right w:val="single" w:sz="4" w:space="0" w:color="auto"/>
            </w:tcBorders>
            <w:shd w:val="clear" w:color="000000" w:fill="DAE9F8"/>
            <w:vAlign w:val="center"/>
            <w:hideMark/>
          </w:tcPr>
          <w:p w14:paraId="2E89052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Plan de gestión del cambio implementado</w:t>
            </w:r>
          </w:p>
        </w:tc>
        <w:tc>
          <w:tcPr>
            <w:tcW w:w="939" w:type="pct"/>
            <w:tcBorders>
              <w:top w:val="nil"/>
              <w:left w:val="nil"/>
              <w:bottom w:val="single" w:sz="4" w:space="0" w:color="auto"/>
              <w:right w:val="single" w:sz="4" w:space="0" w:color="auto"/>
            </w:tcBorders>
            <w:shd w:val="clear" w:color="000000" w:fill="DAE9F8"/>
            <w:vAlign w:val="center"/>
            <w:hideMark/>
          </w:tcPr>
          <w:p w14:paraId="5998751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Servicios de capacitación en gestión del cambio institucional, formación y acompañamiento al Grupo Anfitrión y servidores de la PGE, en el marco del nuevo modelo de gestión</w:t>
            </w:r>
          </w:p>
        </w:tc>
        <w:tc>
          <w:tcPr>
            <w:tcW w:w="995" w:type="pct"/>
            <w:tcBorders>
              <w:top w:val="nil"/>
              <w:left w:val="nil"/>
              <w:bottom w:val="single" w:sz="4" w:space="0" w:color="auto"/>
              <w:right w:val="single" w:sz="4" w:space="0" w:color="auto"/>
            </w:tcBorders>
            <w:shd w:val="clear" w:color="000000" w:fill="DAE9F8"/>
            <w:vAlign w:val="center"/>
            <w:hideMark/>
          </w:tcPr>
          <w:p w14:paraId="48D1338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Capacitación en Gestión del cambio</w:t>
            </w:r>
          </w:p>
        </w:tc>
      </w:tr>
      <w:tr w:rsidR="007B3093" w14:paraId="514E8F5B" w14:textId="77777777">
        <w:trPr>
          <w:gridAfter w:val="1"/>
          <w:wAfter w:w="86" w:type="pct"/>
          <w:trHeight w:val="975"/>
        </w:trPr>
        <w:tc>
          <w:tcPr>
            <w:tcW w:w="1153" w:type="pct"/>
            <w:vMerge w:val="restart"/>
            <w:tcBorders>
              <w:top w:val="nil"/>
              <w:left w:val="single" w:sz="4" w:space="0" w:color="auto"/>
              <w:bottom w:val="single" w:sz="4" w:space="0" w:color="auto"/>
              <w:right w:val="single" w:sz="4" w:space="0" w:color="auto"/>
            </w:tcBorders>
            <w:shd w:val="clear" w:color="000000" w:fill="DAF2D0"/>
            <w:vAlign w:val="center"/>
            <w:hideMark/>
          </w:tcPr>
          <w:p w14:paraId="274A99C8"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2. - Fortalecer la defensa legal del Estado</w:t>
            </w:r>
          </w:p>
        </w:tc>
        <w:tc>
          <w:tcPr>
            <w:tcW w:w="1033" w:type="pct"/>
            <w:vMerge w:val="restart"/>
            <w:tcBorders>
              <w:top w:val="nil"/>
              <w:left w:val="single" w:sz="4" w:space="0" w:color="auto"/>
              <w:bottom w:val="single" w:sz="4" w:space="0" w:color="auto"/>
              <w:right w:val="single" w:sz="4" w:space="0" w:color="auto"/>
            </w:tcBorders>
            <w:shd w:val="clear" w:color="000000" w:fill="DAF2D0"/>
            <w:vAlign w:val="center"/>
            <w:hideMark/>
          </w:tcPr>
          <w:p w14:paraId="73FA428E"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2.1. Capacitar a los funcionarios de la PGE en temas jurídicos y gestión de casos orales.</w:t>
            </w:r>
          </w:p>
        </w:tc>
        <w:tc>
          <w:tcPr>
            <w:tcW w:w="795" w:type="pct"/>
            <w:tcBorders>
              <w:top w:val="nil"/>
              <w:left w:val="nil"/>
              <w:bottom w:val="single" w:sz="4" w:space="0" w:color="auto"/>
              <w:right w:val="single" w:sz="4" w:space="0" w:color="auto"/>
            </w:tcBorders>
            <w:shd w:val="clear" w:color="000000" w:fill="DAF2D0"/>
            <w:vAlign w:val="center"/>
            <w:hideMark/>
          </w:tcPr>
          <w:p w14:paraId="62D8249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Propuesta de instrumentos para implementar sistema de capacitación realizada</w:t>
            </w:r>
          </w:p>
        </w:tc>
        <w:tc>
          <w:tcPr>
            <w:tcW w:w="939" w:type="pct"/>
            <w:tcBorders>
              <w:top w:val="nil"/>
              <w:left w:val="nil"/>
              <w:bottom w:val="single" w:sz="4" w:space="0" w:color="auto"/>
              <w:right w:val="single" w:sz="4" w:space="0" w:color="auto"/>
            </w:tcBorders>
            <w:shd w:val="clear" w:color="000000" w:fill="DAF2D0"/>
            <w:vAlign w:val="center"/>
            <w:hideMark/>
          </w:tcPr>
          <w:p w14:paraId="18FFA69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Contratación de especialista en procesos de capacitación para apoyar y asesorar técnicamente al Equipo de Gestión del programa de la PGE</w:t>
            </w:r>
          </w:p>
        </w:tc>
        <w:tc>
          <w:tcPr>
            <w:tcW w:w="995" w:type="pct"/>
            <w:tcBorders>
              <w:top w:val="nil"/>
              <w:left w:val="nil"/>
              <w:bottom w:val="single" w:sz="4" w:space="0" w:color="auto"/>
              <w:right w:val="single" w:sz="4" w:space="0" w:color="auto"/>
            </w:tcBorders>
            <w:shd w:val="clear" w:color="000000" w:fill="DAF2D0"/>
            <w:vAlign w:val="center"/>
            <w:hideMark/>
          </w:tcPr>
          <w:p w14:paraId="22A5E4FD"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Otros especialistas contratados</w:t>
            </w:r>
          </w:p>
        </w:tc>
      </w:tr>
      <w:tr w:rsidR="007B3093" w14:paraId="757AA890" w14:textId="77777777">
        <w:trPr>
          <w:gridAfter w:val="1"/>
          <w:wAfter w:w="86" w:type="pct"/>
          <w:trHeight w:val="972"/>
        </w:trPr>
        <w:tc>
          <w:tcPr>
            <w:tcW w:w="1153" w:type="pct"/>
            <w:vMerge/>
            <w:tcBorders>
              <w:top w:val="nil"/>
              <w:left w:val="single" w:sz="4" w:space="0" w:color="auto"/>
              <w:bottom w:val="single" w:sz="4" w:space="0" w:color="auto"/>
              <w:right w:val="single" w:sz="4" w:space="0" w:color="auto"/>
            </w:tcBorders>
            <w:vAlign w:val="center"/>
            <w:hideMark/>
          </w:tcPr>
          <w:p w14:paraId="4DDE80E8"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6C041EDE"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tcBorders>
              <w:top w:val="nil"/>
              <w:left w:val="nil"/>
              <w:bottom w:val="single" w:sz="4" w:space="0" w:color="auto"/>
              <w:right w:val="single" w:sz="4" w:space="0" w:color="auto"/>
            </w:tcBorders>
            <w:shd w:val="clear" w:color="000000" w:fill="DAF2D0"/>
            <w:vAlign w:val="center"/>
            <w:hideMark/>
          </w:tcPr>
          <w:p w14:paraId="75211BA3"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Capacitación a los funcionarios de la PGE en temas jurídicos y gestión de casos orales para fortalecer conocimientos y destrezas realizadas</w:t>
            </w:r>
          </w:p>
        </w:tc>
        <w:tc>
          <w:tcPr>
            <w:tcW w:w="939" w:type="pct"/>
            <w:tcBorders>
              <w:top w:val="nil"/>
              <w:left w:val="nil"/>
              <w:bottom w:val="single" w:sz="4" w:space="0" w:color="auto"/>
              <w:right w:val="single" w:sz="4" w:space="0" w:color="auto"/>
            </w:tcBorders>
            <w:shd w:val="clear" w:color="000000" w:fill="DAF2D0"/>
            <w:vAlign w:val="center"/>
            <w:hideMark/>
          </w:tcPr>
          <w:p w14:paraId="122E392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Contratación de un consultor individual para realizar la implementación del modelo del sistema de capacitación de la PGE.</w:t>
            </w:r>
          </w:p>
        </w:tc>
        <w:tc>
          <w:tcPr>
            <w:tcW w:w="995" w:type="pct"/>
            <w:tcBorders>
              <w:top w:val="nil"/>
              <w:left w:val="nil"/>
              <w:bottom w:val="single" w:sz="4" w:space="0" w:color="auto"/>
              <w:right w:val="single" w:sz="4" w:space="0" w:color="auto"/>
            </w:tcBorders>
            <w:shd w:val="clear" w:color="000000" w:fill="DAF2D0"/>
            <w:vAlign w:val="center"/>
            <w:hideMark/>
          </w:tcPr>
          <w:p w14:paraId="12522C5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Otros especialistas contratados</w:t>
            </w:r>
          </w:p>
        </w:tc>
      </w:tr>
      <w:tr w:rsidR="007B3093" w14:paraId="7B51611B" w14:textId="77777777">
        <w:trPr>
          <w:gridAfter w:val="1"/>
          <w:wAfter w:w="86" w:type="pct"/>
          <w:trHeight w:val="732"/>
        </w:trPr>
        <w:tc>
          <w:tcPr>
            <w:tcW w:w="1153" w:type="pct"/>
            <w:vMerge/>
            <w:tcBorders>
              <w:top w:val="nil"/>
              <w:left w:val="single" w:sz="4" w:space="0" w:color="auto"/>
              <w:bottom w:val="single" w:sz="4" w:space="0" w:color="auto"/>
              <w:right w:val="single" w:sz="4" w:space="0" w:color="auto"/>
            </w:tcBorders>
            <w:vAlign w:val="center"/>
            <w:hideMark/>
          </w:tcPr>
          <w:p w14:paraId="7DA1A2A8"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tcBorders>
              <w:top w:val="nil"/>
              <w:left w:val="nil"/>
              <w:bottom w:val="single" w:sz="4" w:space="0" w:color="auto"/>
              <w:right w:val="single" w:sz="4" w:space="0" w:color="auto"/>
            </w:tcBorders>
            <w:shd w:val="clear" w:color="000000" w:fill="DAF2D0"/>
            <w:vAlign w:val="center"/>
            <w:hideMark/>
          </w:tcPr>
          <w:p w14:paraId="3CE9FB18"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2.3. Elaborar protocolos y guías para la coordinación interinstitucional para la defensa de casos.</w:t>
            </w:r>
          </w:p>
        </w:tc>
        <w:tc>
          <w:tcPr>
            <w:tcW w:w="795" w:type="pct"/>
            <w:tcBorders>
              <w:top w:val="nil"/>
              <w:left w:val="nil"/>
              <w:bottom w:val="single" w:sz="4" w:space="0" w:color="auto"/>
              <w:right w:val="single" w:sz="4" w:space="0" w:color="auto"/>
            </w:tcBorders>
            <w:shd w:val="clear" w:color="000000" w:fill="DAF2D0"/>
            <w:vAlign w:val="center"/>
            <w:hideMark/>
          </w:tcPr>
          <w:p w14:paraId="7752AF7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Protocolos y guías para la coordinación interinstitucional para la defensa de casos elaborados</w:t>
            </w:r>
          </w:p>
        </w:tc>
        <w:tc>
          <w:tcPr>
            <w:tcW w:w="939" w:type="pct"/>
            <w:tcBorders>
              <w:top w:val="nil"/>
              <w:left w:val="nil"/>
              <w:bottom w:val="single" w:sz="4" w:space="0" w:color="auto"/>
              <w:right w:val="single" w:sz="4" w:space="0" w:color="auto"/>
            </w:tcBorders>
            <w:shd w:val="clear" w:color="000000" w:fill="DAF2D0"/>
            <w:vAlign w:val="center"/>
            <w:hideMark/>
          </w:tcPr>
          <w:p w14:paraId="3A236491"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Contratación del servicio </w:t>
            </w:r>
            <w:proofErr w:type="gramStart"/>
            <w:r>
              <w:rPr>
                <w:rFonts w:ascii="Calibri" w:eastAsia="Times New Roman" w:hAnsi="Calibri" w:cs="Calibri"/>
                <w:color w:val="000000"/>
                <w:sz w:val="14"/>
                <w:szCs w:val="14"/>
                <w:lang w:eastAsia="es-EC"/>
              </w:rPr>
              <w:t>de  “</w:t>
            </w:r>
            <w:proofErr w:type="gramEnd"/>
            <w:r>
              <w:rPr>
                <w:rFonts w:ascii="Calibri" w:eastAsia="Times New Roman" w:hAnsi="Calibri" w:cs="Calibri"/>
                <w:color w:val="000000"/>
                <w:sz w:val="14"/>
                <w:szCs w:val="14"/>
                <w:lang w:eastAsia="es-EC"/>
              </w:rPr>
              <w:t>Diseño digital, edición, diagramación e impresión del Manual práctico de litigio constitucional para servidores públicos"</w:t>
            </w:r>
          </w:p>
        </w:tc>
        <w:tc>
          <w:tcPr>
            <w:tcW w:w="995" w:type="pct"/>
            <w:tcBorders>
              <w:top w:val="nil"/>
              <w:left w:val="nil"/>
              <w:bottom w:val="single" w:sz="4" w:space="0" w:color="auto"/>
              <w:right w:val="single" w:sz="4" w:space="0" w:color="auto"/>
            </w:tcBorders>
            <w:shd w:val="clear" w:color="000000" w:fill="DAF2D0"/>
            <w:vAlign w:val="center"/>
            <w:hideMark/>
          </w:tcPr>
          <w:p w14:paraId="7AD5E8D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Manual práctico de litigio constitucional para servidores públicos</w:t>
            </w:r>
          </w:p>
        </w:tc>
      </w:tr>
      <w:tr w:rsidR="007B3093" w14:paraId="1D355D50" w14:textId="77777777">
        <w:trPr>
          <w:gridAfter w:val="1"/>
          <w:wAfter w:w="86" w:type="pct"/>
          <w:trHeight w:val="732"/>
        </w:trPr>
        <w:tc>
          <w:tcPr>
            <w:tcW w:w="1153" w:type="pct"/>
            <w:vMerge/>
            <w:tcBorders>
              <w:top w:val="nil"/>
              <w:left w:val="single" w:sz="4" w:space="0" w:color="auto"/>
              <w:bottom w:val="single" w:sz="4" w:space="0" w:color="auto"/>
              <w:right w:val="single" w:sz="4" w:space="0" w:color="auto"/>
            </w:tcBorders>
            <w:vAlign w:val="center"/>
            <w:hideMark/>
          </w:tcPr>
          <w:p w14:paraId="7C073839"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tcBorders>
              <w:top w:val="nil"/>
              <w:left w:val="nil"/>
              <w:bottom w:val="single" w:sz="4" w:space="0" w:color="auto"/>
              <w:right w:val="single" w:sz="4" w:space="0" w:color="auto"/>
            </w:tcBorders>
            <w:shd w:val="clear" w:color="000000" w:fill="DAF2D0"/>
            <w:vAlign w:val="center"/>
            <w:hideMark/>
          </w:tcPr>
          <w:p w14:paraId="3C04E6CE"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2.4. Obtener acceso a bases de datos especializadas en temas jurídicos.</w:t>
            </w:r>
          </w:p>
        </w:tc>
        <w:tc>
          <w:tcPr>
            <w:tcW w:w="795" w:type="pct"/>
            <w:tcBorders>
              <w:top w:val="nil"/>
              <w:left w:val="nil"/>
              <w:bottom w:val="single" w:sz="4" w:space="0" w:color="auto"/>
              <w:right w:val="single" w:sz="4" w:space="0" w:color="auto"/>
            </w:tcBorders>
            <w:shd w:val="clear" w:color="000000" w:fill="DAF2D0"/>
            <w:vAlign w:val="center"/>
            <w:hideMark/>
          </w:tcPr>
          <w:p w14:paraId="23174FAB"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Accesos a bases de datos especializadas en temas jurídicos obtenidos</w:t>
            </w:r>
          </w:p>
        </w:tc>
        <w:tc>
          <w:tcPr>
            <w:tcW w:w="939" w:type="pct"/>
            <w:tcBorders>
              <w:top w:val="nil"/>
              <w:left w:val="nil"/>
              <w:bottom w:val="single" w:sz="4" w:space="0" w:color="auto"/>
              <w:right w:val="single" w:sz="4" w:space="0" w:color="auto"/>
            </w:tcBorders>
            <w:shd w:val="clear" w:color="000000" w:fill="DAF2D0"/>
            <w:vAlign w:val="center"/>
            <w:hideMark/>
          </w:tcPr>
          <w:p w14:paraId="50581D0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Contratación de la Plataforma Profesional de consulta Jurídica especializada sobre derechos humanos</w:t>
            </w:r>
          </w:p>
        </w:tc>
        <w:tc>
          <w:tcPr>
            <w:tcW w:w="995" w:type="pct"/>
            <w:tcBorders>
              <w:top w:val="nil"/>
              <w:left w:val="nil"/>
              <w:bottom w:val="single" w:sz="4" w:space="0" w:color="auto"/>
              <w:right w:val="single" w:sz="4" w:space="0" w:color="auto"/>
            </w:tcBorders>
            <w:shd w:val="clear" w:color="000000" w:fill="DAF2D0"/>
            <w:vAlign w:val="center"/>
            <w:hideMark/>
          </w:tcPr>
          <w:p w14:paraId="5F5D6695"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Plataforma de consulta</w:t>
            </w:r>
          </w:p>
        </w:tc>
      </w:tr>
      <w:tr w:rsidR="007B3093" w14:paraId="01A96834" w14:textId="77777777">
        <w:trPr>
          <w:gridAfter w:val="1"/>
          <w:wAfter w:w="86" w:type="pct"/>
          <w:trHeight w:val="972"/>
        </w:trPr>
        <w:tc>
          <w:tcPr>
            <w:tcW w:w="1153" w:type="pct"/>
            <w:vMerge w:val="restart"/>
            <w:tcBorders>
              <w:top w:val="nil"/>
              <w:left w:val="single" w:sz="4" w:space="0" w:color="auto"/>
              <w:bottom w:val="single" w:sz="4" w:space="0" w:color="auto"/>
              <w:right w:val="single" w:sz="4" w:space="0" w:color="auto"/>
            </w:tcBorders>
            <w:shd w:val="clear" w:color="000000" w:fill="FBE2D5"/>
            <w:vAlign w:val="center"/>
            <w:hideMark/>
          </w:tcPr>
          <w:p w14:paraId="23499138"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lastRenderedPageBreak/>
              <w:t>COMPONENTE 3. - Fortalecer la capacidad de control, consultoría y asesoría legal de la PGE</w:t>
            </w:r>
          </w:p>
        </w:tc>
        <w:tc>
          <w:tcPr>
            <w:tcW w:w="1033" w:type="pct"/>
            <w:tcBorders>
              <w:top w:val="nil"/>
              <w:left w:val="nil"/>
              <w:bottom w:val="single" w:sz="4" w:space="0" w:color="auto"/>
              <w:right w:val="single" w:sz="4" w:space="0" w:color="auto"/>
            </w:tcBorders>
            <w:shd w:val="clear" w:color="000000" w:fill="FBE2D5"/>
            <w:vAlign w:val="center"/>
            <w:hideMark/>
          </w:tcPr>
          <w:p w14:paraId="5854CBF0"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3.2. Capacitar a organismos del Estado o Municipios para la formulación adecuada de sus consultas.</w:t>
            </w:r>
          </w:p>
        </w:tc>
        <w:tc>
          <w:tcPr>
            <w:tcW w:w="795" w:type="pct"/>
            <w:vMerge w:val="restart"/>
            <w:tcBorders>
              <w:top w:val="nil"/>
              <w:left w:val="single" w:sz="4" w:space="0" w:color="auto"/>
              <w:bottom w:val="single" w:sz="4" w:space="0" w:color="auto"/>
              <w:right w:val="single" w:sz="4" w:space="0" w:color="auto"/>
            </w:tcBorders>
            <w:shd w:val="clear" w:color="000000" w:fill="FBE2D5"/>
            <w:vAlign w:val="center"/>
            <w:hideMark/>
          </w:tcPr>
          <w:p w14:paraId="482091A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Capacitaciones a organismos del Estado o Municipios para la formulación adecuada de sus consultas realizadas</w:t>
            </w:r>
          </w:p>
        </w:tc>
        <w:tc>
          <w:tcPr>
            <w:tcW w:w="939" w:type="pct"/>
            <w:tcBorders>
              <w:top w:val="nil"/>
              <w:left w:val="nil"/>
              <w:bottom w:val="single" w:sz="4" w:space="0" w:color="auto"/>
              <w:right w:val="single" w:sz="4" w:space="0" w:color="auto"/>
            </w:tcBorders>
            <w:shd w:val="clear" w:color="000000" w:fill="FBE2D5"/>
            <w:vAlign w:val="center"/>
            <w:hideMark/>
          </w:tcPr>
          <w:p w14:paraId="24816B5F"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Servicios de logística, producción, ejecución y difusión del “Congreso internacional de abogacía estatal sobre institutos fundamentales del derecho administrativo para la defensa jurídica del Estado"</w:t>
            </w:r>
          </w:p>
        </w:tc>
        <w:tc>
          <w:tcPr>
            <w:tcW w:w="995" w:type="pct"/>
            <w:tcBorders>
              <w:top w:val="nil"/>
              <w:left w:val="nil"/>
              <w:bottom w:val="single" w:sz="4" w:space="0" w:color="auto"/>
              <w:right w:val="single" w:sz="4" w:space="0" w:color="auto"/>
            </w:tcBorders>
            <w:shd w:val="clear" w:color="000000" w:fill="FBE2D5"/>
            <w:vAlign w:val="center"/>
            <w:hideMark/>
          </w:tcPr>
          <w:p w14:paraId="1400E6F8"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Congreso </w:t>
            </w:r>
          </w:p>
        </w:tc>
      </w:tr>
      <w:tr w:rsidR="007B3093" w14:paraId="0D955194" w14:textId="77777777">
        <w:trPr>
          <w:gridAfter w:val="1"/>
          <w:wAfter w:w="86" w:type="pct"/>
          <w:trHeight w:val="1452"/>
        </w:trPr>
        <w:tc>
          <w:tcPr>
            <w:tcW w:w="1153" w:type="pct"/>
            <w:vMerge/>
            <w:tcBorders>
              <w:top w:val="nil"/>
              <w:left w:val="single" w:sz="4" w:space="0" w:color="auto"/>
              <w:bottom w:val="single" w:sz="4" w:space="0" w:color="auto"/>
              <w:right w:val="single" w:sz="4" w:space="0" w:color="auto"/>
            </w:tcBorders>
            <w:vAlign w:val="center"/>
            <w:hideMark/>
          </w:tcPr>
          <w:p w14:paraId="5B0F3787"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tcBorders>
              <w:top w:val="nil"/>
              <w:left w:val="nil"/>
              <w:bottom w:val="single" w:sz="4" w:space="0" w:color="auto"/>
              <w:right w:val="single" w:sz="4" w:space="0" w:color="auto"/>
            </w:tcBorders>
            <w:shd w:val="clear" w:color="000000" w:fill="FBE2D5"/>
            <w:vAlign w:val="center"/>
            <w:hideMark/>
          </w:tcPr>
          <w:p w14:paraId="71D22F6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3.1. - Generar un sistema informático para brindar asesoría Legal a Organismos del Estado para no infringir los marcos normativos y para desarrollar una defensa óptima.</w:t>
            </w:r>
          </w:p>
        </w:tc>
        <w:tc>
          <w:tcPr>
            <w:tcW w:w="795" w:type="pct"/>
            <w:vMerge/>
            <w:tcBorders>
              <w:top w:val="nil"/>
              <w:left w:val="single" w:sz="4" w:space="0" w:color="auto"/>
              <w:bottom w:val="single" w:sz="4" w:space="0" w:color="auto"/>
              <w:right w:val="single" w:sz="4" w:space="0" w:color="auto"/>
            </w:tcBorders>
            <w:vAlign w:val="center"/>
            <w:hideMark/>
          </w:tcPr>
          <w:p w14:paraId="277257CB"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FBE2D5"/>
            <w:vAlign w:val="center"/>
            <w:hideMark/>
          </w:tcPr>
          <w:p w14:paraId="689ECF8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Contratación de servicio especializado para la implementación y capacitación en una plataforma de gestión de aprendizaje </w:t>
            </w:r>
          </w:p>
        </w:tc>
        <w:tc>
          <w:tcPr>
            <w:tcW w:w="995" w:type="pct"/>
            <w:tcBorders>
              <w:top w:val="nil"/>
              <w:left w:val="nil"/>
              <w:bottom w:val="single" w:sz="4" w:space="0" w:color="auto"/>
              <w:right w:val="single" w:sz="4" w:space="0" w:color="auto"/>
            </w:tcBorders>
            <w:shd w:val="clear" w:color="000000" w:fill="FBE2D5"/>
            <w:vAlign w:val="center"/>
            <w:hideMark/>
          </w:tcPr>
          <w:p w14:paraId="2F8B49A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Capacitación y licencias de uso MOODLE</w:t>
            </w:r>
          </w:p>
        </w:tc>
      </w:tr>
      <w:tr w:rsidR="007B3093" w14:paraId="2F6ABCA3" w14:textId="77777777">
        <w:trPr>
          <w:gridAfter w:val="1"/>
          <w:wAfter w:w="86" w:type="pct"/>
          <w:trHeight w:val="1065"/>
        </w:trPr>
        <w:tc>
          <w:tcPr>
            <w:tcW w:w="1153" w:type="pct"/>
            <w:tcBorders>
              <w:top w:val="nil"/>
              <w:left w:val="single" w:sz="4" w:space="0" w:color="auto"/>
              <w:bottom w:val="single" w:sz="4" w:space="0" w:color="auto"/>
              <w:right w:val="single" w:sz="4" w:space="0" w:color="auto"/>
            </w:tcBorders>
            <w:shd w:val="clear" w:color="000000" w:fill="D9D9D9"/>
            <w:vAlign w:val="center"/>
            <w:hideMark/>
          </w:tcPr>
          <w:p w14:paraId="3467604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4. - Fortalecer los Centros de Mediación de la PGE</w:t>
            </w:r>
          </w:p>
        </w:tc>
        <w:tc>
          <w:tcPr>
            <w:tcW w:w="1033" w:type="pct"/>
            <w:tcBorders>
              <w:top w:val="nil"/>
              <w:left w:val="nil"/>
              <w:bottom w:val="single" w:sz="4" w:space="0" w:color="auto"/>
              <w:right w:val="single" w:sz="4" w:space="0" w:color="auto"/>
            </w:tcBorders>
            <w:shd w:val="clear" w:color="000000" w:fill="D9D9D9"/>
            <w:vAlign w:val="center"/>
            <w:hideMark/>
          </w:tcPr>
          <w:p w14:paraId="7CE63306"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4.1. Readecuar los espacios de los centros de mediación.</w:t>
            </w:r>
          </w:p>
        </w:tc>
        <w:tc>
          <w:tcPr>
            <w:tcW w:w="795" w:type="pct"/>
            <w:tcBorders>
              <w:top w:val="nil"/>
              <w:left w:val="nil"/>
              <w:bottom w:val="single" w:sz="4" w:space="0" w:color="auto"/>
              <w:right w:val="single" w:sz="4" w:space="0" w:color="auto"/>
            </w:tcBorders>
            <w:shd w:val="clear" w:color="000000" w:fill="D9D9D9"/>
            <w:vAlign w:val="center"/>
            <w:hideMark/>
          </w:tcPr>
          <w:p w14:paraId="26407135"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Espacios de los centros de mediación readecuados</w:t>
            </w:r>
          </w:p>
        </w:tc>
        <w:tc>
          <w:tcPr>
            <w:tcW w:w="939" w:type="pct"/>
            <w:tcBorders>
              <w:top w:val="nil"/>
              <w:left w:val="nil"/>
              <w:bottom w:val="single" w:sz="4" w:space="0" w:color="auto"/>
              <w:right w:val="single" w:sz="4" w:space="0" w:color="auto"/>
            </w:tcBorders>
            <w:shd w:val="clear" w:color="000000" w:fill="D9D9D9"/>
            <w:vAlign w:val="center"/>
            <w:hideMark/>
          </w:tcPr>
          <w:p w14:paraId="1143B3D5"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Contratación del Servicio de Readecuación y Equipamiento del Archivo del Centro de Mediación de la PGE en la ciudad de Quito (MM Jaramillo Arteaga)</w:t>
            </w:r>
          </w:p>
        </w:tc>
        <w:tc>
          <w:tcPr>
            <w:tcW w:w="995" w:type="pct"/>
            <w:tcBorders>
              <w:top w:val="nil"/>
              <w:left w:val="nil"/>
              <w:bottom w:val="single" w:sz="4" w:space="0" w:color="auto"/>
              <w:right w:val="single" w:sz="4" w:space="0" w:color="auto"/>
            </w:tcBorders>
            <w:shd w:val="clear" w:color="000000" w:fill="D9D9D9"/>
            <w:vAlign w:val="center"/>
            <w:hideMark/>
          </w:tcPr>
          <w:p w14:paraId="6D56A0FB"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Readecuación Archivo Centro de Mediación de </w:t>
            </w:r>
            <w:proofErr w:type="gramStart"/>
            <w:r>
              <w:rPr>
                <w:rFonts w:ascii="Calibri" w:eastAsia="Times New Roman" w:hAnsi="Calibri" w:cs="Calibri"/>
                <w:color w:val="000000"/>
                <w:sz w:val="14"/>
                <w:szCs w:val="14"/>
                <w:lang w:eastAsia="es-EC"/>
              </w:rPr>
              <w:t>Quito  (</w:t>
            </w:r>
            <w:proofErr w:type="gramEnd"/>
            <w:r>
              <w:rPr>
                <w:rFonts w:ascii="Calibri" w:eastAsia="Times New Roman" w:hAnsi="Calibri" w:cs="Calibri"/>
                <w:color w:val="000000"/>
                <w:sz w:val="14"/>
                <w:szCs w:val="14"/>
                <w:lang w:eastAsia="es-EC"/>
              </w:rPr>
              <w:t>MM Jaramillo Arteaga)</w:t>
            </w:r>
          </w:p>
        </w:tc>
      </w:tr>
      <w:tr w:rsidR="007B3093" w14:paraId="4925B846" w14:textId="77777777">
        <w:trPr>
          <w:gridAfter w:val="1"/>
          <w:wAfter w:w="86" w:type="pct"/>
          <w:trHeight w:val="1110"/>
        </w:trPr>
        <w:tc>
          <w:tcPr>
            <w:tcW w:w="1153" w:type="pct"/>
            <w:tcBorders>
              <w:top w:val="nil"/>
              <w:left w:val="single" w:sz="4" w:space="0" w:color="auto"/>
              <w:bottom w:val="single" w:sz="4" w:space="0" w:color="auto"/>
              <w:right w:val="single" w:sz="4" w:space="0" w:color="auto"/>
            </w:tcBorders>
            <w:shd w:val="clear" w:color="000000" w:fill="F2CEEF"/>
            <w:vAlign w:val="center"/>
            <w:hideMark/>
          </w:tcPr>
          <w:p w14:paraId="2CD39202"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1033" w:type="pct"/>
            <w:tcBorders>
              <w:top w:val="nil"/>
              <w:left w:val="nil"/>
              <w:bottom w:val="single" w:sz="4" w:space="0" w:color="auto"/>
              <w:right w:val="single" w:sz="4" w:space="0" w:color="auto"/>
            </w:tcBorders>
            <w:shd w:val="clear" w:color="000000" w:fill="F2CEEF"/>
            <w:vAlign w:val="center"/>
            <w:hideMark/>
          </w:tcPr>
          <w:p w14:paraId="4B951391"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5.3. - Desarrollar materiales de difusión</w:t>
            </w:r>
          </w:p>
        </w:tc>
        <w:tc>
          <w:tcPr>
            <w:tcW w:w="795" w:type="pct"/>
            <w:tcBorders>
              <w:top w:val="nil"/>
              <w:left w:val="nil"/>
              <w:bottom w:val="single" w:sz="4" w:space="0" w:color="auto"/>
              <w:right w:val="single" w:sz="4" w:space="0" w:color="auto"/>
            </w:tcBorders>
            <w:shd w:val="clear" w:color="000000" w:fill="F2CEEF"/>
            <w:vAlign w:val="center"/>
            <w:hideMark/>
          </w:tcPr>
          <w:p w14:paraId="311C8E66"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Nueva imagen institucional implementada</w:t>
            </w:r>
          </w:p>
        </w:tc>
        <w:tc>
          <w:tcPr>
            <w:tcW w:w="939" w:type="pct"/>
            <w:tcBorders>
              <w:top w:val="nil"/>
              <w:left w:val="nil"/>
              <w:bottom w:val="single" w:sz="4" w:space="0" w:color="auto"/>
              <w:right w:val="single" w:sz="4" w:space="0" w:color="auto"/>
            </w:tcBorders>
            <w:shd w:val="clear" w:color="000000" w:fill="F2CEEF"/>
            <w:vAlign w:val="center"/>
            <w:hideMark/>
          </w:tcPr>
          <w:p w14:paraId="2F8FA80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“Servicios de implementación de la nueva imagen institucional en todas las instancias físicas informativas y comunicacionales de la PGE”</w:t>
            </w:r>
          </w:p>
        </w:tc>
        <w:tc>
          <w:tcPr>
            <w:tcW w:w="995" w:type="pct"/>
            <w:tcBorders>
              <w:top w:val="nil"/>
              <w:left w:val="nil"/>
              <w:bottom w:val="single" w:sz="4" w:space="0" w:color="auto"/>
              <w:right w:val="single" w:sz="4" w:space="0" w:color="auto"/>
            </w:tcBorders>
            <w:shd w:val="clear" w:color="000000" w:fill="F2CEEF"/>
            <w:vAlign w:val="center"/>
            <w:hideMark/>
          </w:tcPr>
          <w:p w14:paraId="352E37F6"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Nueva imagen institucional implementada</w:t>
            </w:r>
          </w:p>
        </w:tc>
      </w:tr>
      <w:tr w:rsidR="007B3093" w14:paraId="22ACB5D3" w14:textId="77777777">
        <w:trPr>
          <w:gridAfter w:val="1"/>
          <w:wAfter w:w="86" w:type="pct"/>
          <w:trHeight w:val="300"/>
        </w:trPr>
        <w:tc>
          <w:tcPr>
            <w:tcW w:w="1153" w:type="pct"/>
            <w:tcBorders>
              <w:top w:val="nil"/>
              <w:left w:val="single" w:sz="4" w:space="0" w:color="auto"/>
              <w:bottom w:val="single" w:sz="4" w:space="0" w:color="auto"/>
              <w:right w:val="single" w:sz="4" w:space="0" w:color="auto"/>
            </w:tcBorders>
            <w:shd w:val="clear" w:color="000000" w:fill="4D93D9"/>
            <w:vAlign w:val="center"/>
            <w:hideMark/>
          </w:tcPr>
          <w:p w14:paraId="471B4273"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AÑO 2023</w:t>
            </w:r>
          </w:p>
        </w:tc>
        <w:tc>
          <w:tcPr>
            <w:tcW w:w="1033" w:type="pct"/>
            <w:tcBorders>
              <w:top w:val="nil"/>
              <w:left w:val="nil"/>
              <w:bottom w:val="single" w:sz="4" w:space="0" w:color="auto"/>
              <w:right w:val="single" w:sz="4" w:space="0" w:color="auto"/>
            </w:tcBorders>
            <w:shd w:val="clear" w:color="000000" w:fill="4D93D9"/>
            <w:vAlign w:val="center"/>
            <w:hideMark/>
          </w:tcPr>
          <w:p w14:paraId="7BD11AA1"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795" w:type="pct"/>
            <w:tcBorders>
              <w:top w:val="nil"/>
              <w:left w:val="nil"/>
              <w:bottom w:val="single" w:sz="4" w:space="0" w:color="auto"/>
              <w:right w:val="single" w:sz="4" w:space="0" w:color="auto"/>
            </w:tcBorders>
            <w:shd w:val="clear" w:color="000000" w:fill="4D93D9"/>
            <w:vAlign w:val="center"/>
            <w:hideMark/>
          </w:tcPr>
          <w:p w14:paraId="1FF77F10"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39" w:type="pct"/>
            <w:tcBorders>
              <w:top w:val="nil"/>
              <w:left w:val="nil"/>
              <w:bottom w:val="single" w:sz="4" w:space="0" w:color="auto"/>
              <w:right w:val="single" w:sz="4" w:space="0" w:color="auto"/>
            </w:tcBorders>
            <w:shd w:val="clear" w:color="000000" w:fill="4D93D9"/>
            <w:vAlign w:val="center"/>
            <w:hideMark/>
          </w:tcPr>
          <w:p w14:paraId="74D243EE"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95" w:type="pct"/>
            <w:tcBorders>
              <w:top w:val="nil"/>
              <w:left w:val="nil"/>
              <w:bottom w:val="single" w:sz="4" w:space="0" w:color="auto"/>
              <w:right w:val="single" w:sz="4" w:space="0" w:color="auto"/>
            </w:tcBorders>
            <w:shd w:val="clear" w:color="000000" w:fill="4D93D9"/>
            <w:vAlign w:val="center"/>
            <w:hideMark/>
          </w:tcPr>
          <w:p w14:paraId="4184E75D"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r>
      <w:tr w:rsidR="007B3093" w14:paraId="69DEAE57" w14:textId="77777777">
        <w:trPr>
          <w:gridAfter w:val="1"/>
          <w:wAfter w:w="86" w:type="pct"/>
          <w:trHeight w:val="495"/>
        </w:trPr>
        <w:tc>
          <w:tcPr>
            <w:tcW w:w="1153" w:type="pct"/>
            <w:vMerge w:val="restart"/>
            <w:tcBorders>
              <w:top w:val="nil"/>
              <w:left w:val="single" w:sz="4" w:space="0" w:color="auto"/>
              <w:bottom w:val="single" w:sz="4" w:space="0" w:color="auto"/>
              <w:right w:val="single" w:sz="4" w:space="0" w:color="auto"/>
            </w:tcBorders>
            <w:shd w:val="clear" w:color="000000" w:fill="DAE9F8"/>
            <w:vAlign w:val="center"/>
            <w:hideMark/>
          </w:tcPr>
          <w:p w14:paraId="56C82DBA"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033" w:type="pct"/>
            <w:vMerge w:val="restart"/>
            <w:tcBorders>
              <w:top w:val="nil"/>
              <w:left w:val="single" w:sz="4" w:space="0" w:color="auto"/>
              <w:bottom w:val="single" w:sz="4" w:space="0" w:color="auto"/>
              <w:right w:val="single" w:sz="4" w:space="0" w:color="auto"/>
            </w:tcBorders>
            <w:shd w:val="clear" w:color="000000" w:fill="DAE9F8"/>
            <w:vAlign w:val="center"/>
            <w:hideMark/>
          </w:tcPr>
          <w:p w14:paraId="588F1CC0"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1.5. Administración del Proyecto</w:t>
            </w:r>
          </w:p>
        </w:tc>
        <w:tc>
          <w:tcPr>
            <w:tcW w:w="7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054EC5F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EDG PGE conformado</w:t>
            </w:r>
          </w:p>
        </w:tc>
        <w:tc>
          <w:tcPr>
            <w:tcW w:w="939" w:type="pct"/>
            <w:tcBorders>
              <w:top w:val="nil"/>
              <w:left w:val="nil"/>
              <w:bottom w:val="single" w:sz="4" w:space="0" w:color="auto"/>
              <w:right w:val="single" w:sz="4" w:space="0" w:color="auto"/>
            </w:tcBorders>
            <w:shd w:val="clear" w:color="000000" w:fill="DAE9F8"/>
            <w:vAlign w:val="center"/>
            <w:hideMark/>
          </w:tcPr>
          <w:p w14:paraId="3A0D9B3A"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Especialista de Adquisiciones, </w:t>
            </w:r>
          </w:p>
        </w:tc>
        <w:tc>
          <w:tcPr>
            <w:tcW w:w="9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3708DBA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contratada</w:t>
            </w:r>
          </w:p>
        </w:tc>
      </w:tr>
      <w:tr w:rsidR="007B3093" w14:paraId="1CD17DC1" w14:textId="77777777">
        <w:trPr>
          <w:gridAfter w:val="1"/>
          <w:wAfter w:w="86" w:type="pct"/>
          <w:trHeight w:val="288"/>
        </w:trPr>
        <w:tc>
          <w:tcPr>
            <w:tcW w:w="1153" w:type="pct"/>
            <w:vMerge/>
            <w:tcBorders>
              <w:top w:val="nil"/>
              <w:left w:val="single" w:sz="4" w:space="0" w:color="auto"/>
              <w:bottom w:val="single" w:sz="4" w:space="0" w:color="auto"/>
              <w:right w:val="single" w:sz="4" w:space="0" w:color="auto"/>
            </w:tcBorders>
            <w:vAlign w:val="center"/>
            <w:hideMark/>
          </w:tcPr>
          <w:p w14:paraId="1ED32D4E"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267DB9D1"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404E4E68"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1722D09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Monitoreo y Seguimiento</w:t>
            </w:r>
          </w:p>
        </w:tc>
        <w:tc>
          <w:tcPr>
            <w:tcW w:w="995" w:type="pct"/>
            <w:vMerge/>
            <w:tcBorders>
              <w:top w:val="nil"/>
              <w:left w:val="single" w:sz="4" w:space="0" w:color="auto"/>
              <w:bottom w:val="single" w:sz="4" w:space="0" w:color="auto"/>
              <w:right w:val="single" w:sz="4" w:space="0" w:color="auto"/>
            </w:tcBorders>
            <w:vAlign w:val="center"/>
            <w:hideMark/>
          </w:tcPr>
          <w:p w14:paraId="2DA7E38E"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2BE943E8" w14:textId="77777777">
        <w:trPr>
          <w:gridAfter w:val="1"/>
          <w:wAfter w:w="86" w:type="pct"/>
          <w:trHeight w:val="288"/>
        </w:trPr>
        <w:tc>
          <w:tcPr>
            <w:tcW w:w="1153" w:type="pct"/>
            <w:vMerge/>
            <w:tcBorders>
              <w:top w:val="nil"/>
              <w:left w:val="single" w:sz="4" w:space="0" w:color="auto"/>
              <w:bottom w:val="single" w:sz="4" w:space="0" w:color="auto"/>
              <w:right w:val="single" w:sz="4" w:space="0" w:color="auto"/>
            </w:tcBorders>
            <w:vAlign w:val="center"/>
            <w:hideMark/>
          </w:tcPr>
          <w:p w14:paraId="2BD20D50"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34557261"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4D11D58B"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403A1B53"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Tecnologías y Comunicación</w:t>
            </w:r>
          </w:p>
        </w:tc>
        <w:tc>
          <w:tcPr>
            <w:tcW w:w="995" w:type="pct"/>
            <w:vMerge/>
            <w:tcBorders>
              <w:top w:val="nil"/>
              <w:left w:val="single" w:sz="4" w:space="0" w:color="auto"/>
              <w:bottom w:val="single" w:sz="4" w:space="0" w:color="auto"/>
              <w:right w:val="single" w:sz="4" w:space="0" w:color="auto"/>
            </w:tcBorders>
            <w:vAlign w:val="center"/>
            <w:hideMark/>
          </w:tcPr>
          <w:p w14:paraId="1037133A"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48777909" w14:textId="77777777">
        <w:trPr>
          <w:gridAfter w:val="1"/>
          <w:wAfter w:w="86" w:type="pct"/>
          <w:trHeight w:val="300"/>
        </w:trPr>
        <w:tc>
          <w:tcPr>
            <w:tcW w:w="1153" w:type="pct"/>
            <w:vMerge/>
            <w:tcBorders>
              <w:top w:val="nil"/>
              <w:left w:val="single" w:sz="4" w:space="0" w:color="auto"/>
              <w:bottom w:val="single" w:sz="4" w:space="0" w:color="auto"/>
              <w:right w:val="single" w:sz="4" w:space="0" w:color="auto"/>
            </w:tcBorders>
            <w:vAlign w:val="center"/>
            <w:hideMark/>
          </w:tcPr>
          <w:p w14:paraId="2EDED8B9"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362D08F3"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78BD20A6"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0A9A805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Financiero</w:t>
            </w:r>
          </w:p>
        </w:tc>
        <w:tc>
          <w:tcPr>
            <w:tcW w:w="995" w:type="pct"/>
            <w:vMerge/>
            <w:tcBorders>
              <w:top w:val="nil"/>
              <w:left w:val="single" w:sz="4" w:space="0" w:color="auto"/>
              <w:bottom w:val="single" w:sz="4" w:space="0" w:color="auto"/>
              <w:right w:val="single" w:sz="4" w:space="0" w:color="auto"/>
            </w:tcBorders>
            <w:vAlign w:val="center"/>
            <w:hideMark/>
          </w:tcPr>
          <w:p w14:paraId="643B0D3B"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7B2B2795" w14:textId="77777777">
        <w:trPr>
          <w:gridAfter w:val="1"/>
          <w:wAfter w:w="86" w:type="pct"/>
          <w:trHeight w:val="1212"/>
        </w:trPr>
        <w:tc>
          <w:tcPr>
            <w:tcW w:w="1153" w:type="pct"/>
            <w:vMerge/>
            <w:tcBorders>
              <w:top w:val="nil"/>
              <w:left w:val="single" w:sz="4" w:space="0" w:color="auto"/>
              <w:bottom w:val="single" w:sz="4" w:space="0" w:color="auto"/>
              <w:right w:val="single" w:sz="4" w:space="0" w:color="auto"/>
            </w:tcBorders>
            <w:vAlign w:val="center"/>
            <w:hideMark/>
          </w:tcPr>
          <w:p w14:paraId="2A6B17A0"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tcBorders>
              <w:top w:val="nil"/>
              <w:left w:val="nil"/>
              <w:bottom w:val="single" w:sz="4" w:space="0" w:color="auto"/>
              <w:right w:val="single" w:sz="4" w:space="0" w:color="auto"/>
            </w:tcBorders>
            <w:shd w:val="clear" w:color="000000" w:fill="DAE9F8"/>
            <w:vAlign w:val="center"/>
            <w:hideMark/>
          </w:tcPr>
          <w:p w14:paraId="6976284B"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1.3.  Implementar un Sistema Informático Integrado</w:t>
            </w:r>
          </w:p>
        </w:tc>
        <w:tc>
          <w:tcPr>
            <w:tcW w:w="795" w:type="pct"/>
            <w:tcBorders>
              <w:top w:val="nil"/>
              <w:left w:val="nil"/>
              <w:bottom w:val="single" w:sz="4" w:space="0" w:color="auto"/>
              <w:right w:val="single" w:sz="4" w:space="0" w:color="auto"/>
            </w:tcBorders>
            <w:shd w:val="clear" w:color="000000" w:fill="DAE9F8"/>
            <w:vAlign w:val="center"/>
            <w:hideMark/>
          </w:tcPr>
          <w:p w14:paraId="74F4B6E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Sistema Informático Integrado implementado</w:t>
            </w:r>
          </w:p>
        </w:tc>
        <w:tc>
          <w:tcPr>
            <w:tcW w:w="939" w:type="pct"/>
            <w:tcBorders>
              <w:top w:val="nil"/>
              <w:left w:val="nil"/>
              <w:bottom w:val="single" w:sz="4" w:space="0" w:color="auto"/>
              <w:right w:val="single" w:sz="4" w:space="0" w:color="auto"/>
            </w:tcBorders>
            <w:shd w:val="clear" w:color="000000" w:fill="DAE9F8"/>
            <w:vAlign w:val="center"/>
            <w:hideMark/>
          </w:tcPr>
          <w:p w14:paraId="6B19F78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“Contratación de una firma consultora para la Implementación, puesta en marcha y acompañamiento del Sistema Nacional de Defensa Jurídica del Estado, todo ello en el marco del Nuevo Modelo de Gestión y la Agenda Digital de la Procuraduría General del Estado."</w:t>
            </w:r>
          </w:p>
        </w:tc>
        <w:tc>
          <w:tcPr>
            <w:tcW w:w="995" w:type="pct"/>
            <w:tcBorders>
              <w:top w:val="nil"/>
              <w:left w:val="nil"/>
              <w:bottom w:val="single" w:sz="4" w:space="0" w:color="auto"/>
              <w:right w:val="single" w:sz="4" w:space="0" w:color="auto"/>
            </w:tcBorders>
            <w:shd w:val="clear" w:color="000000" w:fill="DAE9F8"/>
            <w:vAlign w:val="center"/>
            <w:hideMark/>
          </w:tcPr>
          <w:p w14:paraId="5E3A3C6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Producto 0.- Plan de trabajo</w:t>
            </w:r>
          </w:p>
        </w:tc>
      </w:tr>
      <w:tr w:rsidR="007B3093" w14:paraId="27D8605D" w14:textId="77777777">
        <w:trPr>
          <w:gridAfter w:val="1"/>
          <w:wAfter w:w="86" w:type="pct"/>
          <w:trHeight w:val="732"/>
        </w:trPr>
        <w:tc>
          <w:tcPr>
            <w:tcW w:w="1153" w:type="pct"/>
            <w:vMerge/>
            <w:tcBorders>
              <w:top w:val="nil"/>
              <w:left w:val="single" w:sz="4" w:space="0" w:color="auto"/>
              <w:bottom w:val="single" w:sz="4" w:space="0" w:color="auto"/>
              <w:right w:val="single" w:sz="4" w:space="0" w:color="auto"/>
            </w:tcBorders>
            <w:vAlign w:val="center"/>
            <w:hideMark/>
          </w:tcPr>
          <w:p w14:paraId="419A70DF"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tcBorders>
              <w:top w:val="nil"/>
              <w:left w:val="nil"/>
              <w:bottom w:val="single" w:sz="4" w:space="0" w:color="auto"/>
              <w:right w:val="single" w:sz="4" w:space="0" w:color="auto"/>
            </w:tcBorders>
            <w:shd w:val="clear" w:color="000000" w:fill="DAE9F8"/>
            <w:vAlign w:val="center"/>
            <w:hideMark/>
          </w:tcPr>
          <w:p w14:paraId="5CE8EAA9"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1.4. Fortalecer el Hardware para soportar el nuevo sistema integrado</w:t>
            </w:r>
          </w:p>
        </w:tc>
        <w:tc>
          <w:tcPr>
            <w:tcW w:w="795" w:type="pct"/>
            <w:tcBorders>
              <w:top w:val="nil"/>
              <w:left w:val="nil"/>
              <w:bottom w:val="single" w:sz="4" w:space="0" w:color="auto"/>
              <w:right w:val="single" w:sz="4" w:space="0" w:color="auto"/>
            </w:tcBorders>
            <w:shd w:val="clear" w:color="000000" w:fill="DAE9F8"/>
            <w:vAlign w:val="center"/>
            <w:hideMark/>
          </w:tcPr>
          <w:p w14:paraId="6E7F3274"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Hardware para soportar el nuevo sistema integrado fortalecido</w:t>
            </w:r>
          </w:p>
        </w:tc>
        <w:tc>
          <w:tcPr>
            <w:tcW w:w="939" w:type="pct"/>
            <w:tcBorders>
              <w:top w:val="nil"/>
              <w:left w:val="nil"/>
              <w:bottom w:val="single" w:sz="4" w:space="0" w:color="auto"/>
              <w:right w:val="single" w:sz="4" w:space="0" w:color="auto"/>
            </w:tcBorders>
            <w:shd w:val="clear" w:color="000000" w:fill="DAE9F8"/>
            <w:vAlign w:val="center"/>
            <w:hideMark/>
          </w:tcPr>
          <w:p w14:paraId="20BF7CE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Adquisición de equipos para la renovación parcial del parque informático, usuario final a nivel e de nacional para fortalecer el hardware de la Procuraduría General del Estado</w:t>
            </w:r>
          </w:p>
        </w:tc>
        <w:tc>
          <w:tcPr>
            <w:tcW w:w="995" w:type="pct"/>
            <w:tcBorders>
              <w:top w:val="nil"/>
              <w:left w:val="nil"/>
              <w:bottom w:val="single" w:sz="4" w:space="0" w:color="auto"/>
              <w:right w:val="single" w:sz="4" w:space="0" w:color="auto"/>
            </w:tcBorders>
            <w:shd w:val="clear" w:color="000000" w:fill="DAE9F8"/>
            <w:vAlign w:val="center"/>
            <w:hideMark/>
          </w:tcPr>
          <w:p w14:paraId="6D27B85B"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Adquisición equipos tecnológicos - 2</w:t>
            </w:r>
          </w:p>
        </w:tc>
      </w:tr>
      <w:tr w:rsidR="007B3093" w14:paraId="47D30A57" w14:textId="77777777">
        <w:trPr>
          <w:gridAfter w:val="1"/>
          <w:wAfter w:w="86" w:type="pct"/>
          <w:trHeight w:val="480"/>
        </w:trPr>
        <w:tc>
          <w:tcPr>
            <w:tcW w:w="1153" w:type="pct"/>
            <w:vMerge w:val="restart"/>
            <w:tcBorders>
              <w:top w:val="nil"/>
              <w:left w:val="single" w:sz="4" w:space="0" w:color="auto"/>
              <w:bottom w:val="single" w:sz="4" w:space="0" w:color="auto"/>
              <w:right w:val="single" w:sz="4" w:space="0" w:color="auto"/>
            </w:tcBorders>
            <w:shd w:val="clear" w:color="000000" w:fill="FBE2D5"/>
            <w:vAlign w:val="center"/>
            <w:hideMark/>
          </w:tcPr>
          <w:p w14:paraId="32F59971"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3. - Fortalecer la capacidad de control, consultoría y asesoría legal de la PGE</w:t>
            </w:r>
          </w:p>
        </w:tc>
        <w:tc>
          <w:tcPr>
            <w:tcW w:w="1033" w:type="pct"/>
            <w:vMerge w:val="restart"/>
            <w:tcBorders>
              <w:top w:val="nil"/>
              <w:left w:val="single" w:sz="4" w:space="0" w:color="auto"/>
              <w:bottom w:val="single" w:sz="4" w:space="0" w:color="auto"/>
              <w:right w:val="single" w:sz="4" w:space="0" w:color="auto"/>
            </w:tcBorders>
            <w:shd w:val="clear" w:color="000000" w:fill="FBE2D5"/>
            <w:vAlign w:val="center"/>
            <w:hideMark/>
          </w:tcPr>
          <w:p w14:paraId="130C4CBC"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3.2. Capacitar a organismos del Estado o Municipios para la formulación adecuada de sus consultas.</w:t>
            </w:r>
          </w:p>
        </w:tc>
        <w:tc>
          <w:tcPr>
            <w:tcW w:w="795" w:type="pct"/>
            <w:vMerge w:val="restart"/>
            <w:tcBorders>
              <w:top w:val="nil"/>
              <w:left w:val="single" w:sz="4" w:space="0" w:color="auto"/>
              <w:bottom w:val="single" w:sz="4" w:space="0" w:color="auto"/>
              <w:right w:val="single" w:sz="4" w:space="0" w:color="auto"/>
            </w:tcBorders>
            <w:shd w:val="clear" w:color="000000" w:fill="FBE2D5"/>
            <w:vAlign w:val="center"/>
            <w:hideMark/>
          </w:tcPr>
          <w:p w14:paraId="59E8831D"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Capacitaciones a organismos del Estado o Municipios para la formulación adecuada de sus consultas realizadas</w:t>
            </w:r>
          </w:p>
        </w:tc>
        <w:tc>
          <w:tcPr>
            <w:tcW w:w="939" w:type="pct"/>
            <w:vMerge w:val="restart"/>
            <w:tcBorders>
              <w:top w:val="nil"/>
              <w:left w:val="single" w:sz="4" w:space="0" w:color="auto"/>
              <w:bottom w:val="single" w:sz="4" w:space="0" w:color="auto"/>
              <w:right w:val="single" w:sz="4" w:space="0" w:color="auto"/>
            </w:tcBorders>
            <w:shd w:val="clear" w:color="000000" w:fill="FBE2D5"/>
            <w:vAlign w:val="center"/>
            <w:hideMark/>
          </w:tcPr>
          <w:p w14:paraId="47FADFED"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Servicios de logística, producción y ejecución del evento “Simposio internacional de la protección del interés público en el Estado Constitucional de Derechos”</w:t>
            </w:r>
          </w:p>
        </w:tc>
        <w:tc>
          <w:tcPr>
            <w:tcW w:w="995" w:type="pct"/>
            <w:vMerge w:val="restart"/>
            <w:tcBorders>
              <w:top w:val="nil"/>
              <w:left w:val="single" w:sz="4" w:space="0" w:color="auto"/>
              <w:bottom w:val="single" w:sz="4" w:space="0" w:color="auto"/>
              <w:right w:val="single" w:sz="4" w:space="0" w:color="auto"/>
            </w:tcBorders>
            <w:shd w:val="clear" w:color="000000" w:fill="FBE2D5"/>
            <w:vAlign w:val="center"/>
            <w:hideMark/>
          </w:tcPr>
          <w:p w14:paraId="7E6D729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Simposio</w:t>
            </w:r>
          </w:p>
        </w:tc>
      </w:tr>
      <w:tr w:rsidR="007B3093" w14:paraId="6D28E429" w14:textId="77777777">
        <w:trPr>
          <w:trHeight w:val="870"/>
        </w:trPr>
        <w:tc>
          <w:tcPr>
            <w:tcW w:w="1153" w:type="pct"/>
            <w:vMerge/>
            <w:tcBorders>
              <w:top w:val="nil"/>
              <w:left w:val="single" w:sz="4" w:space="0" w:color="auto"/>
              <w:bottom w:val="single" w:sz="4" w:space="0" w:color="auto"/>
              <w:right w:val="single" w:sz="4" w:space="0" w:color="auto"/>
            </w:tcBorders>
            <w:vAlign w:val="center"/>
            <w:hideMark/>
          </w:tcPr>
          <w:p w14:paraId="064077A9"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723B4FE1"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6874617F"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vMerge/>
            <w:tcBorders>
              <w:top w:val="nil"/>
              <w:left w:val="single" w:sz="4" w:space="0" w:color="auto"/>
              <w:bottom w:val="single" w:sz="4" w:space="0" w:color="auto"/>
              <w:right w:val="single" w:sz="4" w:space="0" w:color="auto"/>
            </w:tcBorders>
            <w:vAlign w:val="center"/>
            <w:hideMark/>
          </w:tcPr>
          <w:p w14:paraId="53CD4197" w14:textId="77777777" w:rsidR="007B3093" w:rsidRDefault="007B3093">
            <w:pPr>
              <w:spacing w:after="0" w:line="240" w:lineRule="auto"/>
              <w:rPr>
                <w:rFonts w:ascii="Calibri" w:eastAsia="Times New Roman" w:hAnsi="Calibri" w:cs="Calibri"/>
                <w:color w:val="000000"/>
                <w:sz w:val="14"/>
                <w:szCs w:val="14"/>
                <w:lang w:eastAsia="es-EC"/>
              </w:rPr>
            </w:pPr>
          </w:p>
        </w:tc>
        <w:tc>
          <w:tcPr>
            <w:tcW w:w="995" w:type="pct"/>
            <w:vMerge/>
            <w:tcBorders>
              <w:top w:val="nil"/>
              <w:left w:val="single" w:sz="4" w:space="0" w:color="auto"/>
              <w:bottom w:val="single" w:sz="4" w:space="0" w:color="auto"/>
              <w:right w:val="single" w:sz="4" w:space="0" w:color="auto"/>
            </w:tcBorders>
            <w:vAlign w:val="center"/>
            <w:hideMark/>
          </w:tcPr>
          <w:p w14:paraId="045A32BF" w14:textId="77777777" w:rsidR="007B3093" w:rsidRDefault="007B3093">
            <w:pPr>
              <w:spacing w:after="0" w:line="240" w:lineRule="auto"/>
              <w:rPr>
                <w:rFonts w:ascii="Calibri" w:eastAsia="Times New Roman" w:hAnsi="Calibri" w:cs="Calibri"/>
                <w:color w:val="000000"/>
                <w:sz w:val="14"/>
                <w:szCs w:val="14"/>
                <w:lang w:eastAsia="es-EC"/>
              </w:rPr>
            </w:pPr>
          </w:p>
        </w:tc>
        <w:tc>
          <w:tcPr>
            <w:tcW w:w="86" w:type="pct"/>
            <w:tcBorders>
              <w:top w:val="nil"/>
              <w:left w:val="nil"/>
              <w:bottom w:val="nil"/>
              <w:right w:val="nil"/>
            </w:tcBorders>
            <w:shd w:val="clear" w:color="auto" w:fill="auto"/>
            <w:noWrap/>
            <w:vAlign w:val="bottom"/>
            <w:hideMark/>
          </w:tcPr>
          <w:p w14:paraId="13598AA7"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7FF67AE1" w14:textId="77777777">
        <w:trPr>
          <w:trHeight w:val="525"/>
        </w:trPr>
        <w:tc>
          <w:tcPr>
            <w:tcW w:w="1153" w:type="pct"/>
            <w:vMerge w:val="restart"/>
            <w:tcBorders>
              <w:top w:val="nil"/>
              <w:left w:val="single" w:sz="4" w:space="0" w:color="auto"/>
              <w:bottom w:val="single" w:sz="4" w:space="0" w:color="auto"/>
              <w:right w:val="single" w:sz="4" w:space="0" w:color="auto"/>
            </w:tcBorders>
            <w:shd w:val="clear" w:color="000000" w:fill="D9D9D9"/>
            <w:vAlign w:val="center"/>
            <w:hideMark/>
          </w:tcPr>
          <w:p w14:paraId="54C5DB46"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lastRenderedPageBreak/>
              <w:t>COMPONENTE 4. - Fortalecer los Centros de Mediación de la PGE</w:t>
            </w:r>
          </w:p>
        </w:tc>
        <w:tc>
          <w:tcPr>
            <w:tcW w:w="1033" w:type="pct"/>
            <w:vMerge w:val="restart"/>
            <w:tcBorders>
              <w:top w:val="nil"/>
              <w:left w:val="single" w:sz="4" w:space="0" w:color="auto"/>
              <w:bottom w:val="single" w:sz="4" w:space="0" w:color="auto"/>
              <w:right w:val="single" w:sz="4" w:space="0" w:color="auto"/>
            </w:tcBorders>
            <w:shd w:val="clear" w:color="000000" w:fill="D9D9D9"/>
            <w:vAlign w:val="center"/>
            <w:hideMark/>
          </w:tcPr>
          <w:p w14:paraId="4579F94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4.1. Readecuar los espacios de los centros de mediación.</w:t>
            </w:r>
          </w:p>
        </w:tc>
        <w:tc>
          <w:tcPr>
            <w:tcW w:w="795" w:type="pct"/>
            <w:vMerge w:val="restart"/>
            <w:tcBorders>
              <w:top w:val="nil"/>
              <w:left w:val="single" w:sz="4" w:space="0" w:color="auto"/>
              <w:bottom w:val="single" w:sz="4" w:space="0" w:color="auto"/>
              <w:right w:val="single" w:sz="4" w:space="0" w:color="auto"/>
            </w:tcBorders>
            <w:shd w:val="clear" w:color="000000" w:fill="D9D9D9"/>
            <w:vAlign w:val="center"/>
            <w:hideMark/>
          </w:tcPr>
          <w:p w14:paraId="735DD5E3"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Espacios de los centros de mediación readecuados</w:t>
            </w:r>
          </w:p>
        </w:tc>
        <w:tc>
          <w:tcPr>
            <w:tcW w:w="939" w:type="pct"/>
            <w:vMerge w:val="restart"/>
            <w:tcBorders>
              <w:top w:val="nil"/>
              <w:left w:val="single" w:sz="4" w:space="0" w:color="auto"/>
              <w:bottom w:val="single" w:sz="4" w:space="0" w:color="auto"/>
              <w:right w:val="single" w:sz="4" w:space="0" w:color="auto"/>
            </w:tcBorders>
            <w:shd w:val="clear" w:color="000000" w:fill="D9D9D9"/>
            <w:vAlign w:val="center"/>
            <w:hideMark/>
          </w:tcPr>
          <w:p w14:paraId="71E35A46"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Consultoría para la elaboración del diseño de readecuación integral de las oficinas del centro de mediación en las ciudades de Quito, Guayaquil, Cuenca, Loja, Riobamba y Portoviejo de la Procuraduría General del Estado (PGE)</w:t>
            </w:r>
          </w:p>
        </w:tc>
        <w:tc>
          <w:tcPr>
            <w:tcW w:w="995" w:type="pct"/>
            <w:vMerge w:val="restart"/>
            <w:tcBorders>
              <w:top w:val="nil"/>
              <w:left w:val="single" w:sz="4" w:space="0" w:color="auto"/>
              <w:bottom w:val="single" w:sz="4" w:space="0" w:color="auto"/>
              <w:right w:val="single" w:sz="4" w:space="0" w:color="auto"/>
            </w:tcBorders>
            <w:shd w:val="clear" w:color="000000" w:fill="D9D9D9"/>
            <w:vAlign w:val="center"/>
            <w:hideMark/>
          </w:tcPr>
          <w:p w14:paraId="3A0B368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Consultoría base para readecuaciones de Centros de Mediación a nivel nacional</w:t>
            </w:r>
          </w:p>
        </w:tc>
        <w:tc>
          <w:tcPr>
            <w:tcW w:w="86" w:type="pct"/>
            <w:vAlign w:val="center"/>
            <w:hideMark/>
          </w:tcPr>
          <w:p w14:paraId="5B379FB3" w14:textId="77777777" w:rsidR="007B3093" w:rsidRDefault="007B3093">
            <w:pPr>
              <w:spacing w:after="0" w:line="240" w:lineRule="auto"/>
              <w:rPr>
                <w:rFonts w:ascii="Times New Roman" w:eastAsia="Times New Roman" w:hAnsi="Times New Roman" w:cs="Times New Roman"/>
                <w:sz w:val="14"/>
                <w:szCs w:val="14"/>
                <w:lang w:eastAsia="es-EC"/>
              </w:rPr>
            </w:pPr>
          </w:p>
        </w:tc>
      </w:tr>
      <w:tr w:rsidR="007B3093" w14:paraId="45136B38" w14:textId="77777777">
        <w:trPr>
          <w:trHeight w:val="930"/>
        </w:trPr>
        <w:tc>
          <w:tcPr>
            <w:tcW w:w="1153" w:type="pct"/>
            <w:vMerge/>
            <w:tcBorders>
              <w:top w:val="nil"/>
              <w:left w:val="single" w:sz="4" w:space="0" w:color="auto"/>
              <w:bottom w:val="single" w:sz="4" w:space="0" w:color="auto"/>
              <w:right w:val="single" w:sz="4" w:space="0" w:color="auto"/>
            </w:tcBorders>
            <w:vAlign w:val="center"/>
            <w:hideMark/>
          </w:tcPr>
          <w:p w14:paraId="2DD4F650"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5DFA162E"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5E31C89D"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vMerge/>
            <w:tcBorders>
              <w:top w:val="nil"/>
              <w:left w:val="single" w:sz="4" w:space="0" w:color="auto"/>
              <w:bottom w:val="single" w:sz="4" w:space="0" w:color="auto"/>
              <w:right w:val="single" w:sz="4" w:space="0" w:color="auto"/>
            </w:tcBorders>
            <w:vAlign w:val="center"/>
            <w:hideMark/>
          </w:tcPr>
          <w:p w14:paraId="36EA0A13" w14:textId="77777777" w:rsidR="007B3093" w:rsidRDefault="007B3093">
            <w:pPr>
              <w:spacing w:after="0" w:line="240" w:lineRule="auto"/>
              <w:rPr>
                <w:rFonts w:ascii="Calibri" w:eastAsia="Times New Roman" w:hAnsi="Calibri" w:cs="Calibri"/>
                <w:color w:val="000000"/>
                <w:sz w:val="14"/>
                <w:szCs w:val="14"/>
                <w:lang w:eastAsia="es-EC"/>
              </w:rPr>
            </w:pPr>
          </w:p>
        </w:tc>
        <w:tc>
          <w:tcPr>
            <w:tcW w:w="995" w:type="pct"/>
            <w:vMerge/>
            <w:tcBorders>
              <w:top w:val="nil"/>
              <w:left w:val="single" w:sz="4" w:space="0" w:color="auto"/>
              <w:bottom w:val="single" w:sz="4" w:space="0" w:color="auto"/>
              <w:right w:val="single" w:sz="4" w:space="0" w:color="auto"/>
            </w:tcBorders>
            <w:vAlign w:val="center"/>
            <w:hideMark/>
          </w:tcPr>
          <w:p w14:paraId="4B9148FA" w14:textId="77777777" w:rsidR="007B3093" w:rsidRDefault="007B3093">
            <w:pPr>
              <w:spacing w:after="0" w:line="240" w:lineRule="auto"/>
              <w:rPr>
                <w:rFonts w:ascii="Calibri" w:eastAsia="Times New Roman" w:hAnsi="Calibri" w:cs="Calibri"/>
                <w:color w:val="000000"/>
                <w:sz w:val="14"/>
                <w:szCs w:val="14"/>
                <w:lang w:eastAsia="es-EC"/>
              </w:rPr>
            </w:pPr>
          </w:p>
        </w:tc>
        <w:tc>
          <w:tcPr>
            <w:tcW w:w="86" w:type="pct"/>
            <w:tcBorders>
              <w:top w:val="nil"/>
              <w:left w:val="nil"/>
              <w:bottom w:val="nil"/>
              <w:right w:val="nil"/>
            </w:tcBorders>
            <w:shd w:val="clear" w:color="auto" w:fill="auto"/>
            <w:noWrap/>
            <w:vAlign w:val="bottom"/>
            <w:hideMark/>
          </w:tcPr>
          <w:p w14:paraId="1FA98300"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379ED1F9" w14:textId="77777777">
        <w:trPr>
          <w:trHeight w:val="780"/>
        </w:trPr>
        <w:tc>
          <w:tcPr>
            <w:tcW w:w="1153" w:type="pct"/>
            <w:tcBorders>
              <w:top w:val="nil"/>
              <w:left w:val="single" w:sz="4" w:space="0" w:color="auto"/>
              <w:bottom w:val="single" w:sz="4" w:space="0" w:color="auto"/>
              <w:right w:val="single" w:sz="4" w:space="0" w:color="auto"/>
            </w:tcBorders>
            <w:shd w:val="clear" w:color="000000" w:fill="F2CEEF"/>
            <w:vAlign w:val="center"/>
            <w:hideMark/>
          </w:tcPr>
          <w:p w14:paraId="1505237B"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1033" w:type="pct"/>
            <w:tcBorders>
              <w:top w:val="nil"/>
              <w:left w:val="nil"/>
              <w:bottom w:val="single" w:sz="4" w:space="0" w:color="auto"/>
              <w:right w:val="single" w:sz="4" w:space="0" w:color="auto"/>
            </w:tcBorders>
            <w:shd w:val="clear" w:color="000000" w:fill="F2CEEF"/>
            <w:vAlign w:val="center"/>
            <w:hideMark/>
          </w:tcPr>
          <w:p w14:paraId="012EDAE3"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5.3. - Desarrollar materiales de difusión</w:t>
            </w:r>
          </w:p>
        </w:tc>
        <w:tc>
          <w:tcPr>
            <w:tcW w:w="795" w:type="pct"/>
            <w:tcBorders>
              <w:top w:val="nil"/>
              <w:left w:val="nil"/>
              <w:bottom w:val="single" w:sz="4" w:space="0" w:color="auto"/>
              <w:right w:val="single" w:sz="4" w:space="0" w:color="auto"/>
            </w:tcBorders>
            <w:shd w:val="clear" w:color="000000" w:fill="F2CEEF"/>
            <w:vAlign w:val="center"/>
            <w:hideMark/>
          </w:tcPr>
          <w:p w14:paraId="7D8FE89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Productos comunicacionales de difusión referentes al nuevo modelo de gestión</w:t>
            </w:r>
          </w:p>
        </w:tc>
        <w:tc>
          <w:tcPr>
            <w:tcW w:w="939" w:type="pct"/>
            <w:tcBorders>
              <w:top w:val="nil"/>
              <w:left w:val="nil"/>
              <w:bottom w:val="single" w:sz="4" w:space="0" w:color="auto"/>
              <w:right w:val="single" w:sz="4" w:space="0" w:color="auto"/>
            </w:tcBorders>
            <w:shd w:val="clear" w:color="000000" w:fill="F2CEEF"/>
            <w:vAlign w:val="center"/>
            <w:hideMark/>
          </w:tcPr>
          <w:p w14:paraId="14DAD68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Desarrollar productos comunicacionales de difusión del Nuevo Modelo de Gestión de la PGE</w:t>
            </w:r>
          </w:p>
        </w:tc>
        <w:tc>
          <w:tcPr>
            <w:tcW w:w="995" w:type="pct"/>
            <w:tcBorders>
              <w:top w:val="nil"/>
              <w:left w:val="nil"/>
              <w:bottom w:val="single" w:sz="4" w:space="0" w:color="auto"/>
              <w:right w:val="single" w:sz="4" w:space="0" w:color="auto"/>
            </w:tcBorders>
            <w:shd w:val="clear" w:color="000000" w:fill="F2CEEF"/>
            <w:vAlign w:val="center"/>
            <w:hideMark/>
          </w:tcPr>
          <w:p w14:paraId="2A65C19B"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Productos comunicacionales</w:t>
            </w:r>
          </w:p>
        </w:tc>
        <w:tc>
          <w:tcPr>
            <w:tcW w:w="86" w:type="pct"/>
            <w:vAlign w:val="center"/>
            <w:hideMark/>
          </w:tcPr>
          <w:p w14:paraId="1CC11DBE" w14:textId="77777777" w:rsidR="007B3093" w:rsidRDefault="007B3093">
            <w:pPr>
              <w:spacing w:after="0" w:line="240" w:lineRule="auto"/>
              <w:rPr>
                <w:rFonts w:ascii="Times New Roman" w:eastAsia="Times New Roman" w:hAnsi="Times New Roman" w:cs="Times New Roman"/>
                <w:sz w:val="14"/>
                <w:szCs w:val="14"/>
                <w:lang w:eastAsia="es-EC"/>
              </w:rPr>
            </w:pPr>
          </w:p>
        </w:tc>
      </w:tr>
      <w:tr w:rsidR="007B3093" w14:paraId="0F3C3FB0" w14:textId="77777777">
        <w:trPr>
          <w:trHeight w:val="300"/>
        </w:trPr>
        <w:tc>
          <w:tcPr>
            <w:tcW w:w="1153" w:type="pct"/>
            <w:tcBorders>
              <w:top w:val="nil"/>
              <w:left w:val="single" w:sz="4" w:space="0" w:color="auto"/>
              <w:bottom w:val="single" w:sz="4" w:space="0" w:color="auto"/>
              <w:right w:val="single" w:sz="4" w:space="0" w:color="auto"/>
            </w:tcBorders>
            <w:shd w:val="clear" w:color="000000" w:fill="4D93D9"/>
            <w:vAlign w:val="center"/>
            <w:hideMark/>
          </w:tcPr>
          <w:p w14:paraId="62EA1007"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AÑO 2024</w:t>
            </w:r>
          </w:p>
        </w:tc>
        <w:tc>
          <w:tcPr>
            <w:tcW w:w="1033" w:type="pct"/>
            <w:tcBorders>
              <w:top w:val="nil"/>
              <w:left w:val="nil"/>
              <w:bottom w:val="single" w:sz="4" w:space="0" w:color="auto"/>
              <w:right w:val="single" w:sz="4" w:space="0" w:color="auto"/>
            </w:tcBorders>
            <w:shd w:val="clear" w:color="000000" w:fill="4D93D9"/>
            <w:vAlign w:val="center"/>
            <w:hideMark/>
          </w:tcPr>
          <w:p w14:paraId="4875BCD3"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795" w:type="pct"/>
            <w:tcBorders>
              <w:top w:val="nil"/>
              <w:left w:val="nil"/>
              <w:bottom w:val="single" w:sz="4" w:space="0" w:color="auto"/>
              <w:right w:val="single" w:sz="4" w:space="0" w:color="auto"/>
            </w:tcBorders>
            <w:shd w:val="clear" w:color="000000" w:fill="4D93D9"/>
            <w:vAlign w:val="center"/>
            <w:hideMark/>
          </w:tcPr>
          <w:p w14:paraId="67D9D426"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39" w:type="pct"/>
            <w:tcBorders>
              <w:top w:val="nil"/>
              <w:left w:val="nil"/>
              <w:bottom w:val="single" w:sz="4" w:space="0" w:color="auto"/>
              <w:right w:val="single" w:sz="4" w:space="0" w:color="auto"/>
            </w:tcBorders>
            <w:shd w:val="clear" w:color="000000" w:fill="4D93D9"/>
            <w:vAlign w:val="center"/>
            <w:hideMark/>
          </w:tcPr>
          <w:p w14:paraId="2AACAC6B"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995" w:type="pct"/>
            <w:tcBorders>
              <w:top w:val="nil"/>
              <w:left w:val="nil"/>
              <w:bottom w:val="single" w:sz="4" w:space="0" w:color="auto"/>
              <w:right w:val="single" w:sz="4" w:space="0" w:color="auto"/>
            </w:tcBorders>
            <w:shd w:val="clear" w:color="000000" w:fill="4D93D9"/>
            <w:vAlign w:val="center"/>
            <w:hideMark/>
          </w:tcPr>
          <w:p w14:paraId="3D5F4CF4" w14:textId="77777777" w:rsidR="007B3093" w:rsidRDefault="00000000">
            <w:pPr>
              <w:spacing w:after="0" w:line="240" w:lineRule="auto"/>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w:t>
            </w:r>
          </w:p>
        </w:tc>
        <w:tc>
          <w:tcPr>
            <w:tcW w:w="86" w:type="pct"/>
            <w:vAlign w:val="center"/>
            <w:hideMark/>
          </w:tcPr>
          <w:p w14:paraId="0C17FC71" w14:textId="77777777" w:rsidR="007B3093" w:rsidRDefault="007B3093">
            <w:pPr>
              <w:spacing w:after="0" w:line="240" w:lineRule="auto"/>
              <w:rPr>
                <w:rFonts w:ascii="Times New Roman" w:eastAsia="Times New Roman" w:hAnsi="Times New Roman" w:cs="Times New Roman"/>
                <w:sz w:val="14"/>
                <w:szCs w:val="14"/>
                <w:lang w:eastAsia="es-EC"/>
              </w:rPr>
            </w:pPr>
          </w:p>
        </w:tc>
      </w:tr>
      <w:tr w:rsidR="007B3093" w14:paraId="33C436BE" w14:textId="77777777">
        <w:trPr>
          <w:trHeight w:val="495"/>
        </w:trPr>
        <w:tc>
          <w:tcPr>
            <w:tcW w:w="1153" w:type="pct"/>
            <w:vMerge w:val="restart"/>
            <w:tcBorders>
              <w:top w:val="nil"/>
              <w:left w:val="single" w:sz="4" w:space="0" w:color="auto"/>
              <w:bottom w:val="single" w:sz="4" w:space="0" w:color="auto"/>
              <w:right w:val="single" w:sz="4" w:space="0" w:color="auto"/>
            </w:tcBorders>
            <w:shd w:val="clear" w:color="000000" w:fill="DAE9F8"/>
            <w:vAlign w:val="center"/>
            <w:hideMark/>
          </w:tcPr>
          <w:p w14:paraId="1564051A"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033" w:type="pct"/>
            <w:vMerge w:val="restart"/>
            <w:tcBorders>
              <w:top w:val="nil"/>
              <w:left w:val="single" w:sz="4" w:space="0" w:color="auto"/>
              <w:bottom w:val="single" w:sz="4" w:space="0" w:color="auto"/>
              <w:right w:val="single" w:sz="4" w:space="0" w:color="auto"/>
            </w:tcBorders>
            <w:shd w:val="clear" w:color="000000" w:fill="DAE9F8"/>
            <w:vAlign w:val="center"/>
            <w:hideMark/>
          </w:tcPr>
          <w:p w14:paraId="392478D5"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1.5. Administración del Proyecto</w:t>
            </w:r>
          </w:p>
        </w:tc>
        <w:tc>
          <w:tcPr>
            <w:tcW w:w="7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473C5AA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EDG PGE conformado</w:t>
            </w:r>
          </w:p>
        </w:tc>
        <w:tc>
          <w:tcPr>
            <w:tcW w:w="939" w:type="pct"/>
            <w:tcBorders>
              <w:top w:val="nil"/>
              <w:left w:val="nil"/>
              <w:bottom w:val="single" w:sz="4" w:space="0" w:color="auto"/>
              <w:right w:val="single" w:sz="4" w:space="0" w:color="auto"/>
            </w:tcBorders>
            <w:shd w:val="clear" w:color="000000" w:fill="DAE9F8"/>
            <w:vAlign w:val="center"/>
            <w:hideMark/>
          </w:tcPr>
          <w:p w14:paraId="716F436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Especialista de Adquisiciones, </w:t>
            </w:r>
          </w:p>
        </w:tc>
        <w:tc>
          <w:tcPr>
            <w:tcW w:w="9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547A058F"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Equipo de Gestión contratado</w:t>
            </w:r>
          </w:p>
        </w:tc>
        <w:tc>
          <w:tcPr>
            <w:tcW w:w="86" w:type="pct"/>
            <w:vAlign w:val="center"/>
            <w:hideMark/>
          </w:tcPr>
          <w:p w14:paraId="683426DF" w14:textId="77777777" w:rsidR="007B3093" w:rsidRDefault="007B3093">
            <w:pPr>
              <w:spacing w:after="0" w:line="240" w:lineRule="auto"/>
              <w:rPr>
                <w:rFonts w:ascii="Times New Roman" w:eastAsia="Times New Roman" w:hAnsi="Times New Roman" w:cs="Times New Roman"/>
                <w:sz w:val="14"/>
                <w:szCs w:val="14"/>
                <w:lang w:eastAsia="es-EC"/>
              </w:rPr>
            </w:pPr>
          </w:p>
        </w:tc>
      </w:tr>
      <w:tr w:rsidR="007B3093" w14:paraId="40B8613D" w14:textId="77777777">
        <w:trPr>
          <w:trHeight w:val="288"/>
        </w:trPr>
        <w:tc>
          <w:tcPr>
            <w:tcW w:w="1153" w:type="pct"/>
            <w:vMerge/>
            <w:tcBorders>
              <w:top w:val="nil"/>
              <w:left w:val="single" w:sz="4" w:space="0" w:color="auto"/>
              <w:bottom w:val="single" w:sz="4" w:space="0" w:color="auto"/>
              <w:right w:val="single" w:sz="4" w:space="0" w:color="auto"/>
            </w:tcBorders>
            <w:vAlign w:val="center"/>
            <w:hideMark/>
          </w:tcPr>
          <w:p w14:paraId="0974E8EC"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65186DAA"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7533FAFB"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6630626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Monitoreo y Seguimiento</w:t>
            </w:r>
          </w:p>
        </w:tc>
        <w:tc>
          <w:tcPr>
            <w:tcW w:w="995" w:type="pct"/>
            <w:vMerge/>
            <w:tcBorders>
              <w:top w:val="nil"/>
              <w:left w:val="single" w:sz="4" w:space="0" w:color="auto"/>
              <w:bottom w:val="single" w:sz="4" w:space="0" w:color="auto"/>
              <w:right w:val="single" w:sz="4" w:space="0" w:color="auto"/>
            </w:tcBorders>
            <w:vAlign w:val="center"/>
            <w:hideMark/>
          </w:tcPr>
          <w:p w14:paraId="693CB128" w14:textId="77777777" w:rsidR="007B3093" w:rsidRDefault="007B3093">
            <w:pPr>
              <w:spacing w:after="0" w:line="240" w:lineRule="auto"/>
              <w:rPr>
                <w:rFonts w:ascii="Calibri" w:eastAsia="Times New Roman" w:hAnsi="Calibri" w:cs="Calibri"/>
                <w:color w:val="000000"/>
                <w:sz w:val="14"/>
                <w:szCs w:val="14"/>
                <w:lang w:eastAsia="es-EC"/>
              </w:rPr>
            </w:pPr>
          </w:p>
        </w:tc>
        <w:tc>
          <w:tcPr>
            <w:tcW w:w="86" w:type="pct"/>
            <w:vAlign w:val="center"/>
            <w:hideMark/>
          </w:tcPr>
          <w:p w14:paraId="58654942" w14:textId="77777777" w:rsidR="007B3093" w:rsidRDefault="007B3093">
            <w:pPr>
              <w:spacing w:after="0" w:line="240" w:lineRule="auto"/>
              <w:rPr>
                <w:rFonts w:ascii="Times New Roman" w:eastAsia="Times New Roman" w:hAnsi="Times New Roman" w:cs="Times New Roman"/>
                <w:sz w:val="14"/>
                <w:szCs w:val="14"/>
                <w:lang w:eastAsia="es-EC"/>
              </w:rPr>
            </w:pPr>
          </w:p>
        </w:tc>
      </w:tr>
      <w:tr w:rsidR="007B3093" w14:paraId="371A3A22" w14:textId="77777777">
        <w:trPr>
          <w:trHeight w:val="300"/>
        </w:trPr>
        <w:tc>
          <w:tcPr>
            <w:tcW w:w="1153" w:type="pct"/>
            <w:vMerge/>
            <w:tcBorders>
              <w:top w:val="nil"/>
              <w:left w:val="single" w:sz="4" w:space="0" w:color="auto"/>
              <w:bottom w:val="single" w:sz="4" w:space="0" w:color="auto"/>
              <w:right w:val="single" w:sz="4" w:space="0" w:color="auto"/>
            </w:tcBorders>
            <w:vAlign w:val="center"/>
            <w:hideMark/>
          </w:tcPr>
          <w:p w14:paraId="7C772917"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02703F96"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27440415"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tcBorders>
              <w:top w:val="nil"/>
              <w:left w:val="nil"/>
              <w:bottom w:val="single" w:sz="4" w:space="0" w:color="auto"/>
              <w:right w:val="single" w:sz="4" w:space="0" w:color="auto"/>
            </w:tcBorders>
            <w:shd w:val="clear" w:color="000000" w:fill="DAE9F8"/>
            <w:vAlign w:val="center"/>
            <w:hideMark/>
          </w:tcPr>
          <w:p w14:paraId="775D620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Especialista de Tecnologías y Comunicación</w:t>
            </w:r>
          </w:p>
        </w:tc>
        <w:tc>
          <w:tcPr>
            <w:tcW w:w="995" w:type="pct"/>
            <w:vMerge/>
            <w:tcBorders>
              <w:top w:val="nil"/>
              <w:left w:val="single" w:sz="4" w:space="0" w:color="auto"/>
              <w:bottom w:val="single" w:sz="4" w:space="0" w:color="auto"/>
              <w:right w:val="single" w:sz="4" w:space="0" w:color="auto"/>
            </w:tcBorders>
            <w:vAlign w:val="center"/>
            <w:hideMark/>
          </w:tcPr>
          <w:p w14:paraId="5485E967" w14:textId="77777777" w:rsidR="007B3093" w:rsidRDefault="007B3093">
            <w:pPr>
              <w:spacing w:after="0" w:line="240" w:lineRule="auto"/>
              <w:rPr>
                <w:rFonts w:ascii="Calibri" w:eastAsia="Times New Roman" w:hAnsi="Calibri" w:cs="Calibri"/>
                <w:color w:val="000000"/>
                <w:sz w:val="14"/>
                <w:szCs w:val="14"/>
                <w:lang w:eastAsia="es-EC"/>
              </w:rPr>
            </w:pPr>
          </w:p>
        </w:tc>
        <w:tc>
          <w:tcPr>
            <w:tcW w:w="86" w:type="pct"/>
            <w:vAlign w:val="center"/>
            <w:hideMark/>
          </w:tcPr>
          <w:p w14:paraId="3057E5DE" w14:textId="77777777" w:rsidR="007B3093" w:rsidRDefault="007B3093">
            <w:pPr>
              <w:spacing w:after="0" w:line="240" w:lineRule="auto"/>
              <w:rPr>
                <w:rFonts w:ascii="Times New Roman" w:eastAsia="Times New Roman" w:hAnsi="Times New Roman" w:cs="Times New Roman"/>
                <w:sz w:val="14"/>
                <w:szCs w:val="14"/>
                <w:lang w:eastAsia="es-EC"/>
              </w:rPr>
            </w:pPr>
          </w:p>
        </w:tc>
      </w:tr>
      <w:tr w:rsidR="007B3093" w14:paraId="4FE6B0BA" w14:textId="77777777">
        <w:trPr>
          <w:trHeight w:val="435"/>
        </w:trPr>
        <w:tc>
          <w:tcPr>
            <w:tcW w:w="1153" w:type="pct"/>
            <w:vMerge/>
            <w:tcBorders>
              <w:top w:val="nil"/>
              <w:left w:val="single" w:sz="4" w:space="0" w:color="auto"/>
              <w:bottom w:val="single" w:sz="4" w:space="0" w:color="auto"/>
              <w:right w:val="single" w:sz="4" w:space="0" w:color="auto"/>
            </w:tcBorders>
            <w:vAlign w:val="center"/>
            <w:hideMark/>
          </w:tcPr>
          <w:p w14:paraId="043504F2"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val="restart"/>
            <w:tcBorders>
              <w:top w:val="nil"/>
              <w:left w:val="single" w:sz="4" w:space="0" w:color="auto"/>
              <w:bottom w:val="single" w:sz="4" w:space="0" w:color="auto"/>
              <w:right w:val="single" w:sz="4" w:space="0" w:color="auto"/>
            </w:tcBorders>
            <w:shd w:val="clear" w:color="000000" w:fill="DAE9F8"/>
            <w:vAlign w:val="center"/>
            <w:hideMark/>
          </w:tcPr>
          <w:p w14:paraId="010B5C2F"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1.3.  Implementar un Sistema Informático Integrado</w:t>
            </w:r>
          </w:p>
        </w:tc>
        <w:tc>
          <w:tcPr>
            <w:tcW w:w="795" w:type="pct"/>
            <w:vMerge w:val="restart"/>
            <w:tcBorders>
              <w:top w:val="nil"/>
              <w:left w:val="single" w:sz="4" w:space="0" w:color="auto"/>
              <w:bottom w:val="single" w:sz="4" w:space="0" w:color="auto"/>
              <w:right w:val="single" w:sz="4" w:space="0" w:color="auto"/>
            </w:tcBorders>
            <w:shd w:val="clear" w:color="000000" w:fill="DAE9F8"/>
            <w:vAlign w:val="center"/>
            <w:hideMark/>
          </w:tcPr>
          <w:p w14:paraId="2BDC2741"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Sistema Informático Integrado implementado</w:t>
            </w:r>
          </w:p>
        </w:tc>
        <w:tc>
          <w:tcPr>
            <w:tcW w:w="939" w:type="pct"/>
            <w:vMerge w:val="restart"/>
            <w:tcBorders>
              <w:top w:val="nil"/>
              <w:left w:val="single" w:sz="4" w:space="0" w:color="auto"/>
              <w:bottom w:val="single" w:sz="4" w:space="0" w:color="auto"/>
              <w:right w:val="single" w:sz="4" w:space="0" w:color="auto"/>
            </w:tcBorders>
            <w:shd w:val="clear" w:color="000000" w:fill="DAE9F8"/>
            <w:vAlign w:val="center"/>
            <w:hideMark/>
          </w:tcPr>
          <w:p w14:paraId="37DABA96"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“Contratación de una firma consultora para la Implementación, puesta en marcha y acompañamiento del Sistema Nacional de Defensa Jurídica del Estado, todo ello en el marco del Nuevo Modelo de Gestión y la Agenda Digital de la Procuraduría General del Estado."</w:t>
            </w:r>
          </w:p>
        </w:tc>
        <w:tc>
          <w:tcPr>
            <w:tcW w:w="995" w:type="pct"/>
            <w:tcBorders>
              <w:top w:val="nil"/>
              <w:left w:val="nil"/>
              <w:bottom w:val="single" w:sz="4" w:space="0" w:color="auto"/>
              <w:right w:val="single" w:sz="4" w:space="0" w:color="auto"/>
            </w:tcBorders>
            <w:shd w:val="clear" w:color="000000" w:fill="DAE9F8"/>
            <w:vAlign w:val="center"/>
            <w:hideMark/>
          </w:tcPr>
          <w:p w14:paraId="5D34E6E4"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Producto 1: Toma de conocimiento</w:t>
            </w:r>
          </w:p>
        </w:tc>
        <w:tc>
          <w:tcPr>
            <w:tcW w:w="86" w:type="pct"/>
            <w:vAlign w:val="center"/>
            <w:hideMark/>
          </w:tcPr>
          <w:p w14:paraId="518AAB9E" w14:textId="77777777" w:rsidR="007B3093" w:rsidRDefault="007B3093">
            <w:pPr>
              <w:spacing w:after="0" w:line="240" w:lineRule="auto"/>
              <w:rPr>
                <w:rFonts w:ascii="Times New Roman" w:eastAsia="Times New Roman" w:hAnsi="Times New Roman" w:cs="Times New Roman"/>
                <w:sz w:val="14"/>
                <w:szCs w:val="14"/>
                <w:lang w:eastAsia="es-EC"/>
              </w:rPr>
            </w:pPr>
          </w:p>
        </w:tc>
      </w:tr>
      <w:tr w:rsidR="007B3093" w14:paraId="053B34A6" w14:textId="77777777">
        <w:trPr>
          <w:trHeight w:val="492"/>
        </w:trPr>
        <w:tc>
          <w:tcPr>
            <w:tcW w:w="1153" w:type="pct"/>
            <w:vMerge/>
            <w:tcBorders>
              <w:top w:val="nil"/>
              <w:left w:val="single" w:sz="4" w:space="0" w:color="auto"/>
              <w:bottom w:val="single" w:sz="4" w:space="0" w:color="auto"/>
              <w:right w:val="single" w:sz="4" w:space="0" w:color="auto"/>
            </w:tcBorders>
            <w:vAlign w:val="center"/>
            <w:hideMark/>
          </w:tcPr>
          <w:p w14:paraId="6016B1BA"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61AD0476"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4590FF2E"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vMerge/>
            <w:tcBorders>
              <w:top w:val="nil"/>
              <w:left w:val="single" w:sz="4" w:space="0" w:color="auto"/>
              <w:bottom w:val="single" w:sz="4" w:space="0" w:color="auto"/>
              <w:right w:val="single" w:sz="4" w:space="0" w:color="auto"/>
            </w:tcBorders>
            <w:vAlign w:val="center"/>
            <w:hideMark/>
          </w:tcPr>
          <w:p w14:paraId="669A5928" w14:textId="77777777" w:rsidR="007B3093" w:rsidRDefault="007B3093">
            <w:pPr>
              <w:spacing w:after="0" w:line="240" w:lineRule="auto"/>
              <w:rPr>
                <w:rFonts w:ascii="Calibri" w:eastAsia="Times New Roman" w:hAnsi="Calibri" w:cs="Calibri"/>
                <w:color w:val="000000"/>
                <w:sz w:val="14"/>
                <w:szCs w:val="14"/>
                <w:lang w:eastAsia="es-EC"/>
              </w:rPr>
            </w:pPr>
          </w:p>
        </w:tc>
        <w:tc>
          <w:tcPr>
            <w:tcW w:w="995" w:type="pct"/>
            <w:tcBorders>
              <w:top w:val="nil"/>
              <w:left w:val="nil"/>
              <w:bottom w:val="single" w:sz="4" w:space="0" w:color="auto"/>
              <w:right w:val="single" w:sz="4" w:space="0" w:color="auto"/>
            </w:tcBorders>
            <w:shd w:val="clear" w:color="000000" w:fill="DAE9F8"/>
            <w:vAlign w:val="center"/>
            <w:hideMark/>
          </w:tcPr>
          <w:p w14:paraId="4A5B3E61"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Producto 2: Análisis, diseño y definición de las funcionalidades de los sistemas a desarrollar</w:t>
            </w:r>
          </w:p>
        </w:tc>
        <w:tc>
          <w:tcPr>
            <w:tcW w:w="86" w:type="pct"/>
            <w:vAlign w:val="center"/>
            <w:hideMark/>
          </w:tcPr>
          <w:p w14:paraId="2974E9D4" w14:textId="77777777" w:rsidR="007B3093" w:rsidRDefault="007B3093">
            <w:pPr>
              <w:spacing w:after="0" w:line="240" w:lineRule="auto"/>
              <w:rPr>
                <w:rFonts w:ascii="Times New Roman" w:eastAsia="Times New Roman" w:hAnsi="Times New Roman" w:cs="Times New Roman"/>
                <w:sz w:val="14"/>
                <w:szCs w:val="14"/>
                <w:lang w:eastAsia="es-EC"/>
              </w:rPr>
            </w:pPr>
          </w:p>
        </w:tc>
      </w:tr>
      <w:tr w:rsidR="007B3093" w14:paraId="0CD213DB" w14:textId="77777777">
        <w:trPr>
          <w:trHeight w:val="480"/>
        </w:trPr>
        <w:tc>
          <w:tcPr>
            <w:tcW w:w="1153" w:type="pct"/>
            <w:vMerge w:val="restart"/>
            <w:tcBorders>
              <w:top w:val="nil"/>
              <w:left w:val="single" w:sz="4" w:space="0" w:color="auto"/>
              <w:bottom w:val="single" w:sz="4" w:space="0" w:color="auto"/>
              <w:right w:val="single" w:sz="4" w:space="0" w:color="auto"/>
            </w:tcBorders>
            <w:shd w:val="clear" w:color="000000" w:fill="D9D9D9"/>
            <w:vAlign w:val="center"/>
            <w:hideMark/>
          </w:tcPr>
          <w:p w14:paraId="4B5F747C"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4. - Fortalecer los Centros de Mediación de la PGE</w:t>
            </w:r>
          </w:p>
        </w:tc>
        <w:tc>
          <w:tcPr>
            <w:tcW w:w="1033" w:type="pct"/>
            <w:vMerge w:val="restart"/>
            <w:tcBorders>
              <w:top w:val="nil"/>
              <w:left w:val="single" w:sz="4" w:space="0" w:color="auto"/>
              <w:bottom w:val="single" w:sz="4" w:space="0" w:color="auto"/>
              <w:right w:val="single" w:sz="4" w:space="0" w:color="auto"/>
            </w:tcBorders>
            <w:shd w:val="clear" w:color="000000" w:fill="D9D9D9"/>
            <w:vAlign w:val="center"/>
            <w:hideMark/>
          </w:tcPr>
          <w:p w14:paraId="28048B05"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4.1. Readecuar los espacios de los centros de mediación.</w:t>
            </w:r>
          </w:p>
        </w:tc>
        <w:tc>
          <w:tcPr>
            <w:tcW w:w="795" w:type="pct"/>
            <w:vMerge w:val="restart"/>
            <w:tcBorders>
              <w:top w:val="nil"/>
              <w:left w:val="single" w:sz="4" w:space="0" w:color="auto"/>
              <w:bottom w:val="single" w:sz="4" w:space="0" w:color="auto"/>
              <w:right w:val="single" w:sz="4" w:space="0" w:color="auto"/>
            </w:tcBorders>
            <w:shd w:val="clear" w:color="000000" w:fill="D9D9D9"/>
            <w:vAlign w:val="center"/>
            <w:hideMark/>
          </w:tcPr>
          <w:p w14:paraId="51560DB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Espacios de los centros de mediación readecuados</w:t>
            </w:r>
          </w:p>
        </w:tc>
        <w:tc>
          <w:tcPr>
            <w:tcW w:w="939" w:type="pct"/>
            <w:vMerge w:val="restart"/>
            <w:tcBorders>
              <w:top w:val="nil"/>
              <w:left w:val="single" w:sz="4" w:space="0" w:color="auto"/>
              <w:bottom w:val="single" w:sz="4" w:space="0" w:color="auto"/>
              <w:right w:val="single" w:sz="4" w:space="0" w:color="auto"/>
            </w:tcBorders>
            <w:shd w:val="clear" w:color="000000" w:fill="D9D9D9"/>
            <w:vAlign w:val="center"/>
            <w:hideMark/>
          </w:tcPr>
          <w:p w14:paraId="6D590995"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Readecuación integral de las oficinas del centro de mediación en las ciudades de Quito, Guayaquil de la PGE</w:t>
            </w:r>
          </w:p>
        </w:tc>
        <w:tc>
          <w:tcPr>
            <w:tcW w:w="995" w:type="pct"/>
            <w:vMerge w:val="restart"/>
            <w:tcBorders>
              <w:top w:val="nil"/>
              <w:left w:val="single" w:sz="4" w:space="0" w:color="auto"/>
              <w:bottom w:val="single" w:sz="4" w:space="0" w:color="auto"/>
              <w:right w:val="single" w:sz="4" w:space="0" w:color="auto"/>
            </w:tcBorders>
            <w:shd w:val="clear" w:color="000000" w:fill="D9D9D9"/>
            <w:vAlign w:val="center"/>
            <w:hideMark/>
          </w:tcPr>
          <w:p w14:paraId="0BD18CBF"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Readecuación Centro de Mediación de Guayaquil</w:t>
            </w:r>
          </w:p>
        </w:tc>
        <w:tc>
          <w:tcPr>
            <w:tcW w:w="86" w:type="pct"/>
            <w:vAlign w:val="center"/>
            <w:hideMark/>
          </w:tcPr>
          <w:p w14:paraId="0111395B" w14:textId="77777777" w:rsidR="007B3093" w:rsidRDefault="007B3093">
            <w:pPr>
              <w:spacing w:after="0" w:line="240" w:lineRule="auto"/>
              <w:rPr>
                <w:rFonts w:ascii="Times New Roman" w:eastAsia="Times New Roman" w:hAnsi="Times New Roman" w:cs="Times New Roman"/>
                <w:sz w:val="14"/>
                <w:szCs w:val="14"/>
                <w:lang w:eastAsia="es-EC"/>
              </w:rPr>
            </w:pPr>
          </w:p>
        </w:tc>
      </w:tr>
      <w:tr w:rsidR="007B3093" w14:paraId="66A7EAEE" w14:textId="77777777">
        <w:trPr>
          <w:trHeight w:val="300"/>
        </w:trPr>
        <w:tc>
          <w:tcPr>
            <w:tcW w:w="1153" w:type="pct"/>
            <w:vMerge/>
            <w:tcBorders>
              <w:top w:val="nil"/>
              <w:left w:val="single" w:sz="4" w:space="0" w:color="auto"/>
              <w:bottom w:val="single" w:sz="4" w:space="0" w:color="auto"/>
              <w:right w:val="single" w:sz="4" w:space="0" w:color="auto"/>
            </w:tcBorders>
            <w:vAlign w:val="center"/>
            <w:hideMark/>
          </w:tcPr>
          <w:p w14:paraId="72506A16" w14:textId="77777777" w:rsidR="007B3093" w:rsidRDefault="007B3093">
            <w:pPr>
              <w:spacing w:after="0" w:line="240" w:lineRule="auto"/>
              <w:rPr>
                <w:rFonts w:ascii="Calibri" w:eastAsia="Times New Roman" w:hAnsi="Calibri" w:cs="Calibri"/>
                <w:color w:val="000000"/>
                <w:sz w:val="14"/>
                <w:szCs w:val="14"/>
                <w:lang w:eastAsia="es-EC"/>
              </w:rPr>
            </w:pPr>
          </w:p>
        </w:tc>
        <w:tc>
          <w:tcPr>
            <w:tcW w:w="1033" w:type="pct"/>
            <w:vMerge/>
            <w:tcBorders>
              <w:top w:val="nil"/>
              <w:left w:val="single" w:sz="4" w:space="0" w:color="auto"/>
              <w:bottom w:val="single" w:sz="4" w:space="0" w:color="auto"/>
              <w:right w:val="single" w:sz="4" w:space="0" w:color="auto"/>
            </w:tcBorders>
            <w:vAlign w:val="center"/>
            <w:hideMark/>
          </w:tcPr>
          <w:p w14:paraId="1202B5CF" w14:textId="77777777" w:rsidR="007B3093" w:rsidRDefault="007B3093">
            <w:pPr>
              <w:spacing w:after="0" w:line="240" w:lineRule="auto"/>
              <w:rPr>
                <w:rFonts w:ascii="Calibri" w:eastAsia="Times New Roman" w:hAnsi="Calibri" w:cs="Calibri"/>
                <w:color w:val="000000"/>
                <w:sz w:val="14"/>
                <w:szCs w:val="14"/>
                <w:lang w:eastAsia="es-EC"/>
              </w:rPr>
            </w:pPr>
          </w:p>
        </w:tc>
        <w:tc>
          <w:tcPr>
            <w:tcW w:w="795" w:type="pct"/>
            <w:vMerge/>
            <w:tcBorders>
              <w:top w:val="nil"/>
              <w:left w:val="single" w:sz="4" w:space="0" w:color="auto"/>
              <w:bottom w:val="single" w:sz="4" w:space="0" w:color="auto"/>
              <w:right w:val="single" w:sz="4" w:space="0" w:color="auto"/>
            </w:tcBorders>
            <w:vAlign w:val="center"/>
            <w:hideMark/>
          </w:tcPr>
          <w:p w14:paraId="0D057FF9" w14:textId="77777777" w:rsidR="007B3093" w:rsidRDefault="007B3093">
            <w:pPr>
              <w:spacing w:after="0" w:line="240" w:lineRule="auto"/>
              <w:rPr>
                <w:rFonts w:ascii="Calibri" w:eastAsia="Times New Roman" w:hAnsi="Calibri" w:cs="Calibri"/>
                <w:color w:val="000000"/>
                <w:sz w:val="14"/>
                <w:szCs w:val="14"/>
                <w:lang w:eastAsia="es-EC"/>
              </w:rPr>
            </w:pPr>
          </w:p>
        </w:tc>
        <w:tc>
          <w:tcPr>
            <w:tcW w:w="939" w:type="pct"/>
            <w:vMerge/>
            <w:tcBorders>
              <w:top w:val="nil"/>
              <w:left w:val="single" w:sz="4" w:space="0" w:color="auto"/>
              <w:bottom w:val="single" w:sz="4" w:space="0" w:color="auto"/>
              <w:right w:val="single" w:sz="4" w:space="0" w:color="auto"/>
            </w:tcBorders>
            <w:vAlign w:val="center"/>
            <w:hideMark/>
          </w:tcPr>
          <w:p w14:paraId="270B28A8" w14:textId="77777777" w:rsidR="007B3093" w:rsidRDefault="007B3093">
            <w:pPr>
              <w:spacing w:after="0" w:line="240" w:lineRule="auto"/>
              <w:rPr>
                <w:rFonts w:ascii="Calibri" w:eastAsia="Times New Roman" w:hAnsi="Calibri" w:cs="Calibri"/>
                <w:color w:val="000000"/>
                <w:sz w:val="14"/>
                <w:szCs w:val="14"/>
                <w:lang w:eastAsia="es-EC"/>
              </w:rPr>
            </w:pPr>
          </w:p>
        </w:tc>
        <w:tc>
          <w:tcPr>
            <w:tcW w:w="995" w:type="pct"/>
            <w:vMerge/>
            <w:tcBorders>
              <w:top w:val="nil"/>
              <w:left w:val="single" w:sz="4" w:space="0" w:color="auto"/>
              <w:bottom w:val="single" w:sz="4" w:space="0" w:color="auto"/>
              <w:right w:val="single" w:sz="4" w:space="0" w:color="auto"/>
            </w:tcBorders>
            <w:vAlign w:val="center"/>
            <w:hideMark/>
          </w:tcPr>
          <w:p w14:paraId="72238D85" w14:textId="77777777" w:rsidR="007B3093" w:rsidRDefault="007B3093">
            <w:pPr>
              <w:spacing w:after="0" w:line="240" w:lineRule="auto"/>
              <w:rPr>
                <w:rFonts w:ascii="Calibri" w:eastAsia="Times New Roman" w:hAnsi="Calibri" w:cs="Calibri"/>
                <w:color w:val="000000"/>
                <w:sz w:val="14"/>
                <w:szCs w:val="14"/>
                <w:lang w:eastAsia="es-EC"/>
              </w:rPr>
            </w:pPr>
          </w:p>
        </w:tc>
        <w:tc>
          <w:tcPr>
            <w:tcW w:w="86" w:type="pct"/>
            <w:tcBorders>
              <w:top w:val="nil"/>
              <w:left w:val="nil"/>
              <w:bottom w:val="nil"/>
              <w:right w:val="nil"/>
            </w:tcBorders>
            <w:shd w:val="clear" w:color="auto" w:fill="auto"/>
            <w:noWrap/>
            <w:vAlign w:val="bottom"/>
            <w:hideMark/>
          </w:tcPr>
          <w:p w14:paraId="58F91503" w14:textId="77777777" w:rsidR="007B3093" w:rsidRDefault="007B3093">
            <w:pPr>
              <w:spacing w:after="0" w:line="240" w:lineRule="auto"/>
              <w:rPr>
                <w:rFonts w:ascii="Calibri" w:eastAsia="Times New Roman" w:hAnsi="Calibri" w:cs="Calibri"/>
                <w:color w:val="000000"/>
                <w:sz w:val="14"/>
                <w:szCs w:val="14"/>
                <w:lang w:eastAsia="es-EC"/>
              </w:rPr>
            </w:pPr>
          </w:p>
        </w:tc>
      </w:tr>
    </w:tbl>
    <w:p w14:paraId="52EC9A4E" w14:textId="77777777" w:rsidR="007B3093" w:rsidRDefault="00000000">
      <w:pPr>
        <w:ind w:left="708" w:firstLine="708"/>
        <w:rPr>
          <w:b/>
          <w:bCs/>
          <w:lang w:eastAsia="es-EC"/>
        </w:rPr>
      </w:pPr>
      <w:r>
        <w:rPr>
          <w:b/>
          <w:bCs/>
          <w:lang w:eastAsia="es-EC"/>
        </w:rPr>
        <w:t>Elaboración: EDG PROFIP</w:t>
      </w:r>
    </w:p>
    <w:p w14:paraId="59E8871D" w14:textId="77777777" w:rsidR="007B3093" w:rsidRDefault="007B3093">
      <w:pPr>
        <w:ind w:left="708" w:firstLine="708"/>
        <w:rPr>
          <w:b/>
          <w:bCs/>
          <w:sz w:val="24"/>
          <w:szCs w:val="24"/>
          <w:lang w:eastAsia="es-EC"/>
        </w:rPr>
      </w:pPr>
    </w:p>
    <w:p w14:paraId="48944923" w14:textId="77777777" w:rsidR="007B3093" w:rsidRDefault="00000000">
      <w:pPr>
        <w:pStyle w:val="Prrafodelista"/>
        <w:spacing w:after="120" w:line="360" w:lineRule="auto"/>
        <w:ind w:left="142"/>
        <w:jc w:val="both"/>
        <w:rPr>
          <w:rFonts w:cstheme="minorHAnsi"/>
        </w:rPr>
      </w:pPr>
      <w:r>
        <w:rPr>
          <w:rFonts w:cstheme="minorHAnsi"/>
        </w:rPr>
        <w:t>Producto de la gestión del proyecto conforme a lo programado, a partir de 2021 la institución cuenta con el Diseño Estratégico y la propuesta de reforma institucional integral, que incluye el modelo de gestión, sus instrumentos y la gestión del cambio.</w:t>
      </w:r>
    </w:p>
    <w:p w14:paraId="7BC6A93D" w14:textId="77777777" w:rsidR="007B3093" w:rsidRDefault="007B3093">
      <w:pPr>
        <w:pStyle w:val="Prrafodelista"/>
        <w:spacing w:after="120" w:line="360" w:lineRule="auto"/>
        <w:ind w:left="142"/>
        <w:jc w:val="both"/>
        <w:rPr>
          <w:rFonts w:cstheme="minorHAnsi"/>
        </w:rPr>
      </w:pPr>
    </w:p>
    <w:p w14:paraId="0F578E16" w14:textId="77777777" w:rsidR="007B3093" w:rsidRDefault="00000000">
      <w:pPr>
        <w:pStyle w:val="Prrafodelista"/>
        <w:spacing w:after="120" w:line="360" w:lineRule="auto"/>
        <w:ind w:left="142"/>
        <w:jc w:val="both"/>
        <w:rPr>
          <w:rFonts w:cstheme="minorHAnsi"/>
        </w:rPr>
      </w:pPr>
      <w:r>
        <w:rPr>
          <w:bCs/>
        </w:rPr>
        <w:t>Mediante Oficio Nro. MDT-VSP-2024-0488-O de 26 de diciembre de 2024 el Ministerio de Trabajo, emitió la validación técnica a los instrumentos presentados por la Procuraduría General del Estado:</w:t>
      </w:r>
    </w:p>
    <w:p w14:paraId="2CF29E76" w14:textId="77777777" w:rsidR="007B3093" w:rsidRDefault="00000000">
      <w:pPr>
        <w:pStyle w:val="Prrafodelista"/>
        <w:numPr>
          <w:ilvl w:val="3"/>
          <w:numId w:val="98"/>
        </w:numPr>
        <w:spacing w:after="0" w:line="240" w:lineRule="auto"/>
        <w:jc w:val="both"/>
        <w:rPr>
          <w:bCs/>
        </w:rPr>
      </w:pPr>
      <w:r>
        <w:rPr>
          <w:bCs/>
        </w:rPr>
        <w:t>Matriz de Competencias</w:t>
      </w:r>
    </w:p>
    <w:p w14:paraId="72B5DEBE" w14:textId="77777777" w:rsidR="007B3093" w:rsidRDefault="00000000">
      <w:pPr>
        <w:pStyle w:val="Prrafodelista"/>
        <w:numPr>
          <w:ilvl w:val="3"/>
          <w:numId w:val="98"/>
        </w:numPr>
        <w:spacing w:after="0" w:line="240" w:lineRule="auto"/>
        <w:jc w:val="both"/>
        <w:rPr>
          <w:bCs/>
        </w:rPr>
      </w:pPr>
      <w:r>
        <w:rPr>
          <w:bCs/>
        </w:rPr>
        <w:t>Cadena De Valor</w:t>
      </w:r>
    </w:p>
    <w:p w14:paraId="462F22F9" w14:textId="77777777" w:rsidR="007B3093" w:rsidRDefault="00000000">
      <w:pPr>
        <w:pStyle w:val="Prrafodelista"/>
        <w:numPr>
          <w:ilvl w:val="3"/>
          <w:numId w:val="98"/>
        </w:numPr>
        <w:spacing w:after="0" w:line="240" w:lineRule="auto"/>
        <w:jc w:val="both"/>
        <w:rPr>
          <w:bCs/>
        </w:rPr>
      </w:pPr>
      <w:r>
        <w:rPr>
          <w:bCs/>
        </w:rPr>
        <w:t>Modelo de Gestión</w:t>
      </w:r>
    </w:p>
    <w:p w14:paraId="195D7F5A" w14:textId="77777777" w:rsidR="007B3093" w:rsidRDefault="007B3093">
      <w:pPr>
        <w:pStyle w:val="Prrafodelista"/>
        <w:spacing w:after="120" w:line="360" w:lineRule="auto"/>
        <w:ind w:left="142"/>
        <w:jc w:val="both"/>
        <w:rPr>
          <w:rFonts w:cstheme="minorHAnsi"/>
        </w:rPr>
      </w:pPr>
    </w:p>
    <w:p w14:paraId="32EB71D1" w14:textId="77777777" w:rsidR="007B3093" w:rsidRDefault="00000000">
      <w:pPr>
        <w:pStyle w:val="Prrafodelista"/>
        <w:spacing w:after="120" w:line="360" w:lineRule="auto"/>
        <w:ind w:left="142"/>
        <w:jc w:val="both"/>
        <w:rPr>
          <w:rFonts w:cstheme="minorHAnsi"/>
        </w:rPr>
      </w:pPr>
      <w:r>
        <w:rPr>
          <w:rFonts w:cstheme="minorHAnsi"/>
        </w:rPr>
        <w:lastRenderedPageBreak/>
        <w:t>A la par de este proceso que busca remozar y agilizar la estructura de la PGE; con el transcurso de los años y el accionar de las instituciones del Estado, la línea base de la PGE presenta una evolución que se muestra en el siguiente cuadro:</w:t>
      </w:r>
    </w:p>
    <w:p w14:paraId="0D7A3BC4" w14:textId="77777777" w:rsidR="007B3093" w:rsidRDefault="007B3093">
      <w:pPr>
        <w:pStyle w:val="Prrafodelista"/>
        <w:spacing w:after="120" w:line="360" w:lineRule="auto"/>
        <w:ind w:left="142"/>
        <w:jc w:val="both"/>
        <w:rPr>
          <w:rFonts w:cstheme="minorHAnsi"/>
        </w:rPr>
      </w:pPr>
    </w:p>
    <w:p w14:paraId="255383B4" w14:textId="77777777" w:rsidR="007B3093" w:rsidRDefault="00000000">
      <w:pPr>
        <w:ind w:left="708" w:firstLine="708"/>
      </w:pPr>
      <w:r>
        <w:rPr>
          <w:b/>
          <w:bCs/>
          <w:sz w:val="24"/>
          <w:szCs w:val="24"/>
          <w:lang w:eastAsia="es-EC"/>
        </w:rPr>
        <w:t>Tabla 5. Evolución histórica de causas 2018-2023</w:t>
      </w:r>
      <w:r>
        <w:fldChar w:fldCharType="begin"/>
      </w:r>
      <w:r>
        <w:instrText xml:space="preserve"> LINK Excel.Sheet.12 "C:\\Users\\Maira Cedeño\\Desktop\\PERFIL\\29052024 TABLAS PERFIL.xlsx" CAUSAS!F25C1:F32C8 \a \f 4 \h  \* MERGEFORMAT </w:instrText>
      </w:r>
      <w:r>
        <w:fldChar w:fldCharType="separate"/>
      </w:r>
    </w:p>
    <w:tbl>
      <w:tblPr>
        <w:tblW w:w="9193" w:type="dxa"/>
        <w:tblLook w:val="04A0" w:firstRow="1" w:lastRow="0" w:firstColumn="1" w:lastColumn="0" w:noHBand="0" w:noVBand="1"/>
      </w:tblPr>
      <w:tblGrid>
        <w:gridCol w:w="1947"/>
        <w:gridCol w:w="1535"/>
        <w:gridCol w:w="1114"/>
        <w:gridCol w:w="975"/>
        <w:gridCol w:w="836"/>
        <w:gridCol w:w="975"/>
        <w:gridCol w:w="975"/>
        <w:gridCol w:w="836"/>
      </w:tblGrid>
      <w:tr w:rsidR="007B3093" w14:paraId="580C8779" w14:textId="77777777">
        <w:trPr>
          <w:trHeight w:val="263"/>
        </w:trPr>
        <w:tc>
          <w:tcPr>
            <w:tcW w:w="1947" w:type="dxa"/>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0FF05E65" w14:textId="77777777" w:rsidR="007B3093" w:rsidRDefault="00000000">
            <w:pPr>
              <w:spacing w:after="0" w:line="240" w:lineRule="auto"/>
              <w:jc w:val="center"/>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AREAS</w:t>
            </w:r>
          </w:p>
        </w:tc>
        <w:tc>
          <w:tcPr>
            <w:tcW w:w="1534" w:type="dxa"/>
            <w:tcBorders>
              <w:top w:val="single" w:sz="4" w:space="0" w:color="auto"/>
              <w:left w:val="nil"/>
              <w:bottom w:val="single" w:sz="4" w:space="0" w:color="auto"/>
              <w:right w:val="single" w:sz="4" w:space="0" w:color="auto"/>
            </w:tcBorders>
            <w:shd w:val="clear" w:color="000000" w:fill="104861"/>
            <w:noWrap/>
            <w:vAlign w:val="center"/>
            <w:hideMark/>
          </w:tcPr>
          <w:p w14:paraId="1361FF8B" w14:textId="77777777" w:rsidR="007B3093" w:rsidRDefault="00000000">
            <w:pPr>
              <w:spacing w:after="0" w:line="240" w:lineRule="auto"/>
              <w:jc w:val="center"/>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ESTADO</w:t>
            </w:r>
          </w:p>
        </w:tc>
        <w:tc>
          <w:tcPr>
            <w:tcW w:w="1114" w:type="dxa"/>
            <w:tcBorders>
              <w:top w:val="single" w:sz="4" w:space="0" w:color="auto"/>
              <w:left w:val="nil"/>
              <w:bottom w:val="single" w:sz="4" w:space="0" w:color="auto"/>
              <w:right w:val="single" w:sz="4" w:space="0" w:color="auto"/>
            </w:tcBorders>
            <w:shd w:val="clear" w:color="000000" w:fill="104861"/>
            <w:noWrap/>
            <w:vAlign w:val="center"/>
            <w:hideMark/>
          </w:tcPr>
          <w:p w14:paraId="31952979" w14:textId="77777777" w:rsidR="007B3093" w:rsidRDefault="00000000">
            <w:pPr>
              <w:spacing w:after="0" w:line="240" w:lineRule="auto"/>
              <w:jc w:val="center"/>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2018</w:t>
            </w:r>
          </w:p>
        </w:tc>
        <w:tc>
          <w:tcPr>
            <w:tcW w:w="975" w:type="dxa"/>
            <w:tcBorders>
              <w:top w:val="single" w:sz="4" w:space="0" w:color="auto"/>
              <w:left w:val="nil"/>
              <w:bottom w:val="single" w:sz="4" w:space="0" w:color="auto"/>
              <w:right w:val="single" w:sz="4" w:space="0" w:color="auto"/>
            </w:tcBorders>
            <w:shd w:val="clear" w:color="000000" w:fill="104861"/>
            <w:noWrap/>
            <w:vAlign w:val="center"/>
            <w:hideMark/>
          </w:tcPr>
          <w:p w14:paraId="4264E6B7" w14:textId="77777777" w:rsidR="007B3093" w:rsidRDefault="00000000">
            <w:pPr>
              <w:spacing w:after="0" w:line="240" w:lineRule="auto"/>
              <w:jc w:val="center"/>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2019</w:t>
            </w:r>
          </w:p>
        </w:tc>
        <w:tc>
          <w:tcPr>
            <w:tcW w:w="836" w:type="dxa"/>
            <w:tcBorders>
              <w:top w:val="single" w:sz="4" w:space="0" w:color="auto"/>
              <w:left w:val="nil"/>
              <w:bottom w:val="single" w:sz="4" w:space="0" w:color="auto"/>
              <w:right w:val="single" w:sz="4" w:space="0" w:color="auto"/>
            </w:tcBorders>
            <w:shd w:val="clear" w:color="000000" w:fill="104861"/>
            <w:noWrap/>
            <w:vAlign w:val="center"/>
            <w:hideMark/>
          </w:tcPr>
          <w:p w14:paraId="33F3D991" w14:textId="77777777" w:rsidR="007B3093" w:rsidRDefault="00000000">
            <w:pPr>
              <w:spacing w:after="0" w:line="240" w:lineRule="auto"/>
              <w:jc w:val="center"/>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2020</w:t>
            </w:r>
          </w:p>
        </w:tc>
        <w:tc>
          <w:tcPr>
            <w:tcW w:w="975" w:type="dxa"/>
            <w:tcBorders>
              <w:top w:val="single" w:sz="4" w:space="0" w:color="auto"/>
              <w:left w:val="nil"/>
              <w:bottom w:val="single" w:sz="4" w:space="0" w:color="auto"/>
              <w:right w:val="single" w:sz="4" w:space="0" w:color="auto"/>
            </w:tcBorders>
            <w:shd w:val="clear" w:color="000000" w:fill="104861"/>
            <w:noWrap/>
            <w:vAlign w:val="center"/>
            <w:hideMark/>
          </w:tcPr>
          <w:p w14:paraId="2CEE5669" w14:textId="77777777" w:rsidR="007B3093" w:rsidRDefault="00000000">
            <w:pPr>
              <w:spacing w:after="0" w:line="240" w:lineRule="auto"/>
              <w:jc w:val="center"/>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2021</w:t>
            </w:r>
          </w:p>
        </w:tc>
        <w:tc>
          <w:tcPr>
            <w:tcW w:w="975" w:type="dxa"/>
            <w:tcBorders>
              <w:top w:val="single" w:sz="4" w:space="0" w:color="auto"/>
              <w:left w:val="nil"/>
              <w:bottom w:val="single" w:sz="4" w:space="0" w:color="auto"/>
              <w:right w:val="single" w:sz="4" w:space="0" w:color="auto"/>
            </w:tcBorders>
            <w:shd w:val="clear" w:color="000000" w:fill="104861"/>
            <w:noWrap/>
            <w:vAlign w:val="center"/>
            <w:hideMark/>
          </w:tcPr>
          <w:p w14:paraId="4E75BF9A" w14:textId="77777777" w:rsidR="007B3093" w:rsidRDefault="00000000">
            <w:pPr>
              <w:spacing w:after="0" w:line="240" w:lineRule="auto"/>
              <w:jc w:val="center"/>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2022</w:t>
            </w:r>
          </w:p>
        </w:tc>
        <w:tc>
          <w:tcPr>
            <w:tcW w:w="836" w:type="dxa"/>
            <w:tcBorders>
              <w:top w:val="single" w:sz="4" w:space="0" w:color="auto"/>
              <w:left w:val="nil"/>
              <w:bottom w:val="single" w:sz="4" w:space="0" w:color="auto"/>
              <w:right w:val="single" w:sz="4" w:space="0" w:color="auto"/>
            </w:tcBorders>
            <w:shd w:val="clear" w:color="000000" w:fill="104861"/>
            <w:noWrap/>
            <w:vAlign w:val="center"/>
            <w:hideMark/>
          </w:tcPr>
          <w:p w14:paraId="16445F66" w14:textId="77777777" w:rsidR="007B3093" w:rsidRDefault="00000000">
            <w:pPr>
              <w:spacing w:after="0" w:line="240" w:lineRule="auto"/>
              <w:jc w:val="center"/>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2023</w:t>
            </w:r>
          </w:p>
        </w:tc>
      </w:tr>
      <w:tr w:rsidR="007B3093" w14:paraId="54E0C4A1" w14:textId="77777777">
        <w:trPr>
          <w:trHeight w:val="250"/>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73B6085E"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Patrocinio</w:t>
            </w:r>
          </w:p>
        </w:tc>
        <w:tc>
          <w:tcPr>
            <w:tcW w:w="1534" w:type="dxa"/>
            <w:tcBorders>
              <w:top w:val="nil"/>
              <w:left w:val="nil"/>
              <w:bottom w:val="single" w:sz="4" w:space="0" w:color="auto"/>
              <w:right w:val="single" w:sz="4" w:space="0" w:color="auto"/>
            </w:tcBorders>
            <w:shd w:val="clear" w:color="auto" w:fill="auto"/>
            <w:noWrap/>
            <w:vAlign w:val="center"/>
            <w:hideMark/>
          </w:tcPr>
          <w:p w14:paraId="296BEF11"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Causas Nuevas</w:t>
            </w:r>
          </w:p>
        </w:tc>
        <w:tc>
          <w:tcPr>
            <w:tcW w:w="1114" w:type="dxa"/>
            <w:tcBorders>
              <w:top w:val="nil"/>
              <w:left w:val="nil"/>
              <w:bottom w:val="single" w:sz="4" w:space="0" w:color="auto"/>
              <w:right w:val="single" w:sz="4" w:space="0" w:color="auto"/>
            </w:tcBorders>
            <w:shd w:val="clear" w:color="auto" w:fill="auto"/>
            <w:noWrap/>
            <w:vAlign w:val="center"/>
            <w:hideMark/>
          </w:tcPr>
          <w:p w14:paraId="2CBF2ED3"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13.172 </w:t>
            </w:r>
          </w:p>
        </w:tc>
        <w:tc>
          <w:tcPr>
            <w:tcW w:w="975" w:type="dxa"/>
            <w:tcBorders>
              <w:top w:val="nil"/>
              <w:left w:val="nil"/>
              <w:bottom w:val="single" w:sz="4" w:space="0" w:color="auto"/>
              <w:right w:val="single" w:sz="4" w:space="0" w:color="auto"/>
            </w:tcBorders>
            <w:shd w:val="clear" w:color="auto" w:fill="auto"/>
            <w:noWrap/>
            <w:vAlign w:val="center"/>
            <w:hideMark/>
          </w:tcPr>
          <w:p w14:paraId="3D7431B7"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15.407 </w:t>
            </w:r>
          </w:p>
        </w:tc>
        <w:tc>
          <w:tcPr>
            <w:tcW w:w="836" w:type="dxa"/>
            <w:tcBorders>
              <w:top w:val="nil"/>
              <w:left w:val="nil"/>
              <w:bottom w:val="single" w:sz="4" w:space="0" w:color="auto"/>
              <w:right w:val="single" w:sz="4" w:space="0" w:color="auto"/>
            </w:tcBorders>
            <w:shd w:val="clear" w:color="auto" w:fill="auto"/>
            <w:noWrap/>
            <w:vAlign w:val="center"/>
            <w:hideMark/>
          </w:tcPr>
          <w:p w14:paraId="2DA403E3"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13.186 </w:t>
            </w:r>
          </w:p>
        </w:tc>
        <w:tc>
          <w:tcPr>
            <w:tcW w:w="975" w:type="dxa"/>
            <w:tcBorders>
              <w:top w:val="nil"/>
              <w:left w:val="nil"/>
              <w:bottom w:val="single" w:sz="4" w:space="0" w:color="auto"/>
              <w:right w:val="single" w:sz="4" w:space="0" w:color="auto"/>
            </w:tcBorders>
            <w:shd w:val="clear" w:color="auto" w:fill="auto"/>
            <w:noWrap/>
            <w:vAlign w:val="center"/>
            <w:hideMark/>
          </w:tcPr>
          <w:p w14:paraId="0835DD1B"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20.189 </w:t>
            </w:r>
          </w:p>
        </w:tc>
        <w:tc>
          <w:tcPr>
            <w:tcW w:w="975" w:type="dxa"/>
            <w:tcBorders>
              <w:top w:val="nil"/>
              <w:left w:val="nil"/>
              <w:bottom w:val="single" w:sz="4" w:space="0" w:color="auto"/>
              <w:right w:val="single" w:sz="4" w:space="0" w:color="auto"/>
            </w:tcBorders>
            <w:shd w:val="clear" w:color="auto" w:fill="auto"/>
            <w:noWrap/>
            <w:vAlign w:val="center"/>
            <w:hideMark/>
          </w:tcPr>
          <w:p w14:paraId="15700CC8"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21.251 </w:t>
            </w:r>
          </w:p>
        </w:tc>
        <w:tc>
          <w:tcPr>
            <w:tcW w:w="836" w:type="dxa"/>
            <w:tcBorders>
              <w:top w:val="nil"/>
              <w:left w:val="nil"/>
              <w:bottom w:val="single" w:sz="4" w:space="0" w:color="auto"/>
              <w:right w:val="single" w:sz="4" w:space="0" w:color="auto"/>
            </w:tcBorders>
            <w:shd w:val="clear" w:color="auto" w:fill="auto"/>
            <w:noWrap/>
            <w:vAlign w:val="center"/>
            <w:hideMark/>
          </w:tcPr>
          <w:p w14:paraId="06A72270"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22.492 </w:t>
            </w:r>
          </w:p>
        </w:tc>
      </w:tr>
      <w:tr w:rsidR="007B3093" w14:paraId="0574EFF1" w14:textId="77777777">
        <w:trPr>
          <w:trHeight w:val="283"/>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4DE43931"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Asuntos Internacionales</w:t>
            </w:r>
          </w:p>
        </w:tc>
        <w:tc>
          <w:tcPr>
            <w:tcW w:w="1534" w:type="dxa"/>
            <w:tcBorders>
              <w:top w:val="nil"/>
              <w:left w:val="nil"/>
              <w:bottom w:val="single" w:sz="4" w:space="0" w:color="auto"/>
              <w:right w:val="single" w:sz="4" w:space="0" w:color="auto"/>
            </w:tcBorders>
            <w:shd w:val="clear" w:color="auto" w:fill="auto"/>
            <w:noWrap/>
            <w:vAlign w:val="center"/>
            <w:hideMark/>
          </w:tcPr>
          <w:p w14:paraId="4772EB6F"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Causas Nuevas</w:t>
            </w:r>
          </w:p>
        </w:tc>
        <w:tc>
          <w:tcPr>
            <w:tcW w:w="1114" w:type="dxa"/>
            <w:tcBorders>
              <w:top w:val="nil"/>
              <w:left w:val="nil"/>
              <w:bottom w:val="single" w:sz="4" w:space="0" w:color="auto"/>
              <w:right w:val="single" w:sz="4" w:space="0" w:color="auto"/>
            </w:tcBorders>
            <w:shd w:val="clear" w:color="auto" w:fill="auto"/>
            <w:noWrap/>
            <w:vAlign w:val="center"/>
            <w:hideMark/>
          </w:tcPr>
          <w:p w14:paraId="1EBEEAFA"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20 </w:t>
            </w:r>
          </w:p>
        </w:tc>
        <w:tc>
          <w:tcPr>
            <w:tcW w:w="975" w:type="dxa"/>
            <w:tcBorders>
              <w:top w:val="nil"/>
              <w:left w:val="nil"/>
              <w:bottom w:val="single" w:sz="4" w:space="0" w:color="auto"/>
              <w:right w:val="single" w:sz="4" w:space="0" w:color="auto"/>
            </w:tcBorders>
            <w:shd w:val="clear" w:color="auto" w:fill="auto"/>
            <w:noWrap/>
            <w:vAlign w:val="center"/>
            <w:hideMark/>
          </w:tcPr>
          <w:p w14:paraId="1D4930A5"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11 </w:t>
            </w:r>
          </w:p>
        </w:tc>
        <w:tc>
          <w:tcPr>
            <w:tcW w:w="836" w:type="dxa"/>
            <w:tcBorders>
              <w:top w:val="nil"/>
              <w:left w:val="nil"/>
              <w:bottom w:val="single" w:sz="4" w:space="0" w:color="auto"/>
              <w:right w:val="single" w:sz="4" w:space="0" w:color="auto"/>
            </w:tcBorders>
            <w:shd w:val="clear" w:color="auto" w:fill="auto"/>
            <w:noWrap/>
            <w:vAlign w:val="center"/>
            <w:hideMark/>
          </w:tcPr>
          <w:p w14:paraId="1BDBE9C8"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4 </w:t>
            </w:r>
          </w:p>
        </w:tc>
        <w:tc>
          <w:tcPr>
            <w:tcW w:w="975" w:type="dxa"/>
            <w:tcBorders>
              <w:top w:val="nil"/>
              <w:left w:val="nil"/>
              <w:bottom w:val="single" w:sz="4" w:space="0" w:color="auto"/>
              <w:right w:val="single" w:sz="4" w:space="0" w:color="auto"/>
            </w:tcBorders>
            <w:shd w:val="clear" w:color="auto" w:fill="auto"/>
            <w:noWrap/>
            <w:vAlign w:val="center"/>
            <w:hideMark/>
          </w:tcPr>
          <w:p w14:paraId="5EA46E34"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0 </w:t>
            </w:r>
          </w:p>
        </w:tc>
        <w:tc>
          <w:tcPr>
            <w:tcW w:w="975" w:type="dxa"/>
            <w:tcBorders>
              <w:top w:val="nil"/>
              <w:left w:val="nil"/>
              <w:bottom w:val="single" w:sz="4" w:space="0" w:color="auto"/>
              <w:right w:val="single" w:sz="4" w:space="0" w:color="auto"/>
            </w:tcBorders>
            <w:shd w:val="clear" w:color="auto" w:fill="auto"/>
            <w:noWrap/>
            <w:vAlign w:val="center"/>
            <w:hideMark/>
          </w:tcPr>
          <w:p w14:paraId="6524A4D8"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5 </w:t>
            </w:r>
          </w:p>
        </w:tc>
        <w:tc>
          <w:tcPr>
            <w:tcW w:w="836" w:type="dxa"/>
            <w:tcBorders>
              <w:top w:val="nil"/>
              <w:left w:val="nil"/>
              <w:bottom w:val="single" w:sz="4" w:space="0" w:color="auto"/>
              <w:right w:val="single" w:sz="4" w:space="0" w:color="auto"/>
            </w:tcBorders>
            <w:shd w:val="clear" w:color="auto" w:fill="auto"/>
            <w:noWrap/>
            <w:vAlign w:val="center"/>
            <w:hideMark/>
          </w:tcPr>
          <w:p w14:paraId="49D4D825"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5 </w:t>
            </w:r>
          </w:p>
        </w:tc>
      </w:tr>
      <w:tr w:rsidR="007B3093" w14:paraId="129C8385" w14:textId="77777777">
        <w:trPr>
          <w:trHeight w:val="258"/>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7225A4A0"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Derechos Humanos</w:t>
            </w:r>
          </w:p>
        </w:tc>
        <w:tc>
          <w:tcPr>
            <w:tcW w:w="1534" w:type="dxa"/>
            <w:tcBorders>
              <w:top w:val="nil"/>
              <w:left w:val="nil"/>
              <w:bottom w:val="single" w:sz="4" w:space="0" w:color="auto"/>
              <w:right w:val="single" w:sz="4" w:space="0" w:color="auto"/>
            </w:tcBorders>
            <w:shd w:val="clear" w:color="auto" w:fill="auto"/>
            <w:noWrap/>
            <w:vAlign w:val="center"/>
            <w:hideMark/>
          </w:tcPr>
          <w:p w14:paraId="2929712F"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Causas Nuevas</w:t>
            </w:r>
          </w:p>
        </w:tc>
        <w:tc>
          <w:tcPr>
            <w:tcW w:w="1114" w:type="dxa"/>
            <w:tcBorders>
              <w:top w:val="nil"/>
              <w:left w:val="nil"/>
              <w:bottom w:val="single" w:sz="4" w:space="0" w:color="auto"/>
              <w:right w:val="single" w:sz="4" w:space="0" w:color="auto"/>
            </w:tcBorders>
            <w:shd w:val="clear" w:color="auto" w:fill="auto"/>
            <w:noWrap/>
            <w:vAlign w:val="center"/>
            <w:hideMark/>
          </w:tcPr>
          <w:p w14:paraId="35E7D0A5"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112 </w:t>
            </w:r>
          </w:p>
        </w:tc>
        <w:tc>
          <w:tcPr>
            <w:tcW w:w="975" w:type="dxa"/>
            <w:tcBorders>
              <w:top w:val="nil"/>
              <w:left w:val="nil"/>
              <w:bottom w:val="single" w:sz="4" w:space="0" w:color="auto"/>
              <w:right w:val="single" w:sz="4" w:space="0" w:color="auto"/>
            </w:tcBorders>
            <w:shd w:val="clear" w:color="auto" w:fill="auto"/>
            <w:noWrap/>
            <w:vAlign w:val="center"/>
            <w:hideMark/>
          </w:tcPr>
          <w:p w14:paraId="193C291A"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0 </w:t>
            </w:r>
          </w:p>
        </w:tc>
        <w:tc>
          <w:tcPr>
            <w:tcW w:w="836" w:type="dxa"/>
            <w:tcBorders>
              <w:top w:val="nil"/>
              <w:left w:val="nil"/>
              <w:bottom w:val="single" w:sz="4" w:space="0" w:color="auto"/>
              <w:right w:val="single" w:sz="4" w:space="0" w:color="auto"/>
            </w:tcBorders>
            <w:shd w:val="clear" w:color="auto" w:fill="auto"/>
            <w:noWrap/>
            <w:vAlign w:val="center"/>
            <w:hideMark/>
          </w:tcPr>
          <w:p w14:paraId="34019826"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0 </w:t>
            </w:r>
          </w:p>
        </w:tc>
        <w:tc>
          <w:tcPr>
            <w:tcW w:w="975" w:type="dxa"/>
            <w:tcBorders>
              <w:top w:val="nil"/>
              <w:left w:val="nil"/>
              <w:bottom w:val="single" w:sz="4" w:space="0" w:color="auto"/>
              <w:right w:val="single" w:sz="4" w:space="0" w:color="auto"/>
            </w:tcBorders>
            <w:shd w:val="clear" w:color="auto" w:fill="auto"/>
            <w:noWrap/>
            <w:vAlign w:val="center"/>
            <w:hideMark/>
          </w:tcPr>
          <w:p w14:paraId="3C36AB25"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271 </w:t>
            </w:r>
          </w:p>
        </w:tc>
        <w:tc>
          <w:tcPr>
            <w:tcW w:w="975" w:type="dxa"/>
            <w:tcBorders>
              <w:top w:val="nil"/>
              <w:left w:val="nil"/>
              <w:bottom w:val="single" w:sz="4" w:space="0" w:color="auto"/>
              <w:right w:val="single" w:sz="4" w:space="0" w:color="auto"/>
            </w:tcBorders>
            <w:shd w:val="clear" w:color="auto" w:fill="auto"/>
            <w:noWrap/>
            <w:vAlign w:val="center"/>
            <w:hideMark/>
          </w:tcPr>
          <w:p w14:paraId="18506CE8"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268 </w:t>
            </w:r>
          </w:p>
        </w:tc>
        <w:tc>
          <w:tcPr>
            <w:tcW w:w="836" w:type="dxa"/>
            <w:tcBorders>
              <w:top w:val="nil"/>
              <w:left w:val="nil"/>
              <w:bottom w:val="single" w:sz="4" w:space="0" w:color="auto"/>
              <w:right w:val="single" w:sz="4" w:space="0" w:color="auto"/>
            </w:tcBorders>
            <w:shd w:val="clear" w:color="auto" w:fill="auto"/>
            <w:noWrap/>
            <w:vAlign w:val="center"/>
            <w:hideMark/>
          </w:tcPr>
          <w:p w14:paraId="606EB82D"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15 </w:t>
            </w:r>
          </w:p>
        </w:tc>
      </w:tr>
      <w:tr w:rsidR="007B3093" w14:paraId="77528623" w14:textId="77777777">
        <w:trPr>
          <w:trHeight w:val="250"/>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196E51BF"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Mediación</w:t>
            </w:r>
          </w:p>
        </w:tc>
        <w:tc>
          <w:tcPr>
            <w:tcW w:w="1534" w:type="dxa"/>
            <w:tcBorders>
              <w:top w:val="nil"/>
              <w:left w:val="nil"/>
              <w:bottom w:val="single" w:sz="4" w:space="0" w:color="auto"/>
              <w:right w:val="single" w:sz="4" w:space="0" w:color="auto"/>
            </w:tcBorders>
            <w:shd w:val="clear" w:color="auto" w:fill="auto"/>
            <w:noWrap/>
            <w:vAlign w:val="center"/>
            <w:hideMark/>
          </w:tcPr>
          <w:p w14:paraId="3842CA5A"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Causas Nuevas</w:t>
            </w:r>
          </w:p>
        </w:tc>
        <w:tc>
          <w:tcPr>
            <w:tcW w:w="1114" w:type="dxa"/>
            <w:tcBorders>
              <w:top w:val="nil"/>
              <w:left w:val="nil"/>
              <w:bottom w:val="single" w:sz="4" w:space="0" w:color="auto"/>
              <w:right w:val="single" w:sz="4" w:space="0" w:color="auto"/>
            </w:tcBorders>
            <w:shd w:val="clear" w:color="auto" w:fill="auto"/>
            <w:noWrap/>
            <w:vAlign w:val="center"/>
            <w:hideMark/>
          </w:tcPr>
          <w:p w14:paraId="7559C0D9"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1.492 </w:t>
            </w:r>
          </w:p>
        </w:tc>
        <w:tc>
          <w:tcPr>
            <w:tcW w:w="975" w:type="dxa"/>
            <w:tcBorders>
              <w:top w:val="nil"/>
              <w:left w:val="nil"/>
              <w:bottom w:val="single" w:sz="4" w:space="0" w:color="auto"/>
              <w:right w:val="single" w:sz="4" w:space="0" w:color="auto"/>
            </w:tcBorders>
            <w:shd w:val="clear" w:color="auto" w:fill="auto"/>
            <w:noWrap/>
            <w:vAlign w:val="center"/>
            <w:hideMark/>
          </w:tcPr>
          <w:p w14:paraId="0F484317"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1.524 </w:t>
            </w:r>
          </w:p>
        </w:tc>
        <w:tc>
          <w:tcPr>
            <w:tcW w:w="836" w:type="dxa"/>
            <w:tcBorders>
              <w:top w:val="nil"/>
              <w:left w:val="nil"/>
              <w:bottom w:val="single" w:sz="4" w:space="0" w:color="auto"/>
              <w:right w:val="single" w:sz="4" w:space="0" w:color="auto"/>
            </w:tcBorders>
            <w:shd w:val="clear" w:color="auto" w:fill="auto"/>
            <w:noWrap/>
            <w:vAlign w:val="center"/>
            <w:hideMark/>
          </w:tcPr>
          <w:p w14:paraId="62427F61"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859 </w:t>
            </w:r>
          </w:p>
        </w:tc>
        <w:tc>
          <w:tcPr>
            <w:tcW w:w="975" w:type="dxa"/>
            <w:tcBorders>
              <w:top w:val="nil"/>
              <w:left w:val="nil"/>
              <w:bottom w:val="single" w:sz="4" w:space="0" w:color="auto"/>
              <w:right w:val="single" w:sz="4" w:space="0" w:color="auto"/>
            </w:tcBorders>
            <w:shd w:val="clear" w:color="auto" w:fill="auto"/>
            <w:noWrap/>
            <w:vAlign w:val="center"/>
            <w:hideMark/>
          </w:tcPr>
          <w:p w14:paraId="2C1D84A8"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1.059 </w:t>
            </w:r>
          </w:p>
        </w:tc>
        <w:tc>
          <w:tcPr>
            <w:tcW w:w="975" w:type="dxa"/>
            <w:tcBorders>
              <w:top w:val="nil"/>
              <w:left w:val="nil"/>
              <w:bottom w:val="single" w:sz="4" w:space="0" w:color="auto"/>
              <w:right w:val="single" w:sz="4" w:space="0" w:color="auto"/>
            </w:tcBorders>
            <w:shd w:val="clear" w:color="auto" w:fill="auto"/>
            <w:noWrap/>
            <w:vAlign w:val="center"/>
            <w:hideMark/>
          </w:tcPr>
          <w:p w14:paraId="0376E166"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1.375 </w:t>
            </w:r>
          </w:p>
        </w:tc>
        <w:tc>
          <w:tcPr>
            <w:tcW w:w="836" w:type="dxa"/>
            <w:tcBorders>
              <w:top w:val="nil"/>
              <w:left w:val="nil"/>
              <w:bottom w:val="single" w:sz="4" w:space="0" w:color="auto"/>
              <w:right w:val="single" w:sz="4" w:space="0" w:color="auto"/>
            </w:tcBorders>
            <w:shd w:val="clear" w:color="auto" w:fill="auto"/>
            <w:noWrap/>
            <w:vAlign w:val="center"/>
            <w:hideMark/>
          </w:tcPr>
          <w:p w14:paraId="02B1BAA9"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1.138 </w:t>
            </w:r>
          </w:p>
        </w:tc>
      </w:tr>
      <w:tr w:rsidR="007B3093" w14:paraId="302FE699" w14:textId="77777777">
        <w:trPr>
          <w:trHeight w:val="250"/>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33F0D505"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Consultoría</w:t>
            </w:r>
          </w:p>
        </w:tc>
        <w:tc>
          <w:tcPr>
            <w:tcW w:w="1534" w:type="dxa"/>
            <w:tcBorders>
              <w:top w:val="nil"/>
              <w:left w:val="nil"/>
              <w:bottom w:val="single" w:sz="4" w:space="0" w:color="auto"/>
              <w:right w:val="single" w:sz="4" w:space="0" w:color="auto"/>
            </w:tcBorders>
            <w:shd w:val="clear" w:color="auto" w:fill="auto"/>
            <w:noWrap/>
            <w:vAlign w:val="center"/>
            <w:hideMark/>
          </w:tcPr>
          <w:p w14:paraId="3928E560"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Consultas Totales</w:t>
            </w:r>
          </w:p>
        </w:tc>
        <w:tc>
          <w:tcPr>
            <w:tcW w:w="1114" w:type="dxa"/>
            <w:tcBorders>
              <w:top w:val="nil"/>
              <w:left w:val="nil"/>
              <w:bottom w:val="single" w:sz="4" w:space="0" w:color="auto"/>
              <w:right w:val="single" w:sz="4" w:space="0" w:color="auto"/>
            </w:tcBorders>
            <w:shd w:val="clear" w:color="auto" w:fill="auto"/>
            <w:noWrap/>
            <w:vAlign w:val="center"/>
            <w:hideMark/>
          </w:tcPr>
          <w:p w14:paraId="70F4756E"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588 </w:t>
            </w:r>
          </w:p>
        </w:tc>
        <w:tc>
          <w:tcPr>
            <w:tcW w:w="975" w:type="dxa"/>
            <w:tcBorders>
              <w:top w:val="nil"/>
              <w:left w:val="nil"/>
              <w:bottom w:val="single" w:sz="4" w:space="0" w:color="auto"/>
              <w:right w:val="single" w:sz="4" w:space="0" w:color="auto"/>
            </w:tcBorders>
            <w:shd w:val="clear" w:color="auto" w:fill="auto"/>
            <w:noWrap/>
            <w:vAlign w:val="center"/>
            <w:hideMark/>
          </w:tcPr>
          <w:p w14:paraId="6D49E9D4"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555 </w:t>
            </w:r>
          </w:p>
        </w:tc>
        <w:tc>
          <w:tcPr>
            <w:tcW w:w="836" w:type="dxa"/>
            <w:tcBorders>
              <w:top w:val="nil"/>
              <w:left w:val="nil"/>
              <w:bottom w:val="single" w:sz="4" w:space="0" w:color="auto"/>
              <w:right w:val="single" w:sz="4" w:space="0" w:color="auto"/>
            </w:tcBorders>
            <w:shd w:val="clear" w:color="auto" w:fill="auto"/>
            <w:noWrap/>
            <w:vAlign w:val="center"/>
            <w:hideMark/>
          </w:tcPr>
          <w:p w14:paraId="479C675F"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615 </w:t>
            </w:r>
          </w:p>
        </w:tc>
        <w:tc>
          <w:tcPr>
            <w:tcW w:w="975" w:type="dxa"/>
            <w:tcBorders>
              <w:top w:val="nil"/>
              <w:left w:val="nil"/>
              <w:bottom w:val="single" w:sz="4" w:space="0" w:color="auto"/>
              <w:right w:val="single" w:sz="4" w:space="0" w:color="auto"/>
            </w:tcBorders>
            <w:shd w:val="clear" w:color="auto" w:fill="auto"/>
            <w:noWrap/>
            <w:vAlign w:val="center"/>
            <w:hideMark/>
          </w:tcPr>
          <w:p w14:paraId="56367D01"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535 </w:t>
            </w:r>
          </w:p>
        </w:tc>
        <w:tc>
          <w:tcPr>
            <w:tcW w:w="975" w:type="dxa"/>
            <w:tcBorders>
              <w:top w:val="nil"/>
              <w:left w:val="nil"/>
              <w:bottom w:val="single" w:sz="4" w:space="0" w:color="auto"/>
              <w:right w:val="single" w:sz="4" w:space="0" w:color="auto"/>
            </w:tcBorders>
            <w:shd w:val="clear" w:color="auto" w:fill="auto"/>
            <w:noWrap/>
            <w:vAlign w:val="center"/>
            <w:hideMark/>
          </w:tcPr>
          <w:p w14:paraId="036672DF"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577 </w:t>
            </w:r>
          </w:p>
        </w:tc>
        <w:tc>
          <w:tcPr>
            <w:tcW w:w="836" w:type="dxa"/>
            <w:tcBorders>
              <w:top w:val="nil"/>
              <w:left w:val="nil"/>
              <w:bottom w:val="single" w:sz="4" w:space="0" w:color="auto"/>
              <w:right w:val="single" w:sz="4" w:space="0" w:color="auto"/>
            </w:tcBorders>
            <w:shd w:val="clear" w:color="auto" w:fill="auto"/>
            <w:noWrap/>
            <w:vAlign w:val="center"/>
            <w:hideMark/>
          </w:tcPr>
          <w:p w14:paraId="0C5190E2"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494 </w:t>
            </w:r>
          </w:p>
        </w:tc>
      </w:tr>
      <w:tr w:rsidR="007B3093" w14:paraId="5A51DDCB" w14:textId="77777777">
        <w:trPr>
          <w:trHeight w:val="253"/>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38AE53C6"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Control de la Legalidad</w:t>
            </w:r>
          </w:p>
        </w:tc>
        <w:tc>
          <w:tcPr>
            <w:tcW w:w="1534" w:type="dxa"/>
            <w:tcBorders>
              <w:top w:val="nil"/>
              <w:left w:val="nil"/>
              <w:bottom w:val="single" w:sz="4" w:space="0" w:color="auto"/>
              <w:right w:val="single" w:sz="4" w:space="0" w:color="auto"/>
            </w:tcBorders>
            <w:shd w:val="clear" w:color="auto" w:fill="auto"/>
            <w:noWrap/>
            <w:vAlign w:val="center"/>
            <w:hideMark/>
          </w:tcPr>
          <w:p w14:paraId="12D0A4C1" w14:textId="77777777" w:rsidR="007B3093" w:rsidRDefault="00000000">
            <w:pPr>
              <w:spacing w:after="0" w:line="240" w:lineRule="auto"/>
              <w:jc w:val="center"/>
              <w:rPr>
                <w:rFonts w:ascii="Aptos Narrow" w:eastAsia="Times New Roman" w:hAnsi="Aptos Narrow" w:cs="Times New Roman"/>
                <w:color w:val="000000"/>
                <w:sz w:val="16"/>
                <w:lang w:val="en-US"/>
              </w:rPr>
            </w:pPr>
            <w:r>
              <w:rPr>
                <w:rFonts w:ascii="Aptos Narrow" w:eastAsia="Times New Roman" w:hAnsi="Aptos Narrow" w:cs="Times New Roman"/>
                <w:color w:val="000000"/>
                <w:sz w:val="16"/>
                <w:lang w:val="en-US"/>
              </w:rPr>
              <w:t>Causas Activas</w:t>
            </w:r>
          </w:p>
        </w:tc>
        <w:tc>
          <w:tcPr>
            <w:tcW w:w="1114" w:type="dxa"/>
            <w:tcBorders>
              <w:top w:val="nil"/>
              <w:left w:val="nil"/>
              <w:bottom w:val="single" w:sz="4" w:space="0" w:color="auto"/>
              <w:right w:val="single" w:sz="4" w:space="0" w:color="auto"/>
            </w:tcBorders>
            <w:shd w:val="clear" w:color="auto" w:fill="auto"/>
            <w:noWrap/>
            <w:vAlign w:val="center"/>
            <w:hideMark/>
          </w:tcPr>
          <w:p w14:paraId="694D4113"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292 </w:t>
            </w:r>
          </w:p>
        </w:tc>
        <w:tc>
          <w:tcPr>
            <w:tcW w:w="975" w:type="dxa"/>
            <w:tcBorders>
              <w:top w:val="nil"/>
              <w:left w:val="nil"/>
              <w:bottom w:val="single" w:sz="4" w:space="0" w:color="auto"/>
              <w:right w:val="single" w:sz="4" w:space="0" w:color="auto"/>
            </w:tcBorders>
            <w:shd w:val="clear" w:color="auto" w:fill="auto"/>
            <w:noWrap/>
            <w:vAlign w:val="center"/>
            <w:hideMark/>
          </w:tcPr>
          <w:p w14:paraId="53C6623F"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w:t>
            </w:r>
          </w:p>
        </w:tc>
        <w:tc>
          <w:tcPr>
            <w:tcW w:w="836" w:type="dxa"/>
            <w:tcBorders>
              <w:top w:val="nil"/>
              <w:left w:val="nil"/>
              <w:bottom w:val="single" w:sz="4" w:space="0" w:color="auto"/>
              <w:right w:val="single" w:sz="4" w:space="0" w:color="auto"/>
            </w:tcBorders>
            <w:shd w:val="clear" w:color="auto" w:fill="auto"/>
            <w:noWrap/>
            <w:vAlign w:val="center"/>
            <w:hideMark/>
          </w:tcPr>
          <w:p w14:paraId="7CB3FDC0"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50 </w:t>
            </w:r>
          </w:p>
        </w:tc>
        <w:tc>
          <w:tcPr>
            <w:tcW w:w="975" w:type="dxa"/>
            <w:tcBorders>
              <w:top w:val="nil"/>
              <w:left w:val="nil"/>
              <w:bottom w:val="single" w:sz="4" w:space="0" w:color="auto"/>
              <w:right w:val="single" w:sz="4" w:space="0" w:color="auto"/>
            </w:tcBorders>
            <w:shd w:val="clear" w:color="auto" w:fill="auto"/>
            <w:noWrap/>
            <w:vAlign w:val="center"/>
            <w:hideMark/>
          </w:tcPr>
          <w:p w14:paraId="201A9A0D"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34 </w:t>
            </w:r>
          </w:p>
        </w:tc>
        <w:tc>
          <w:tcPr>
            <w:tcW w:w="975" w:type="dxa"/>
            <w:tcBorders>
              <w:top w:val="nil"/>
              <w:left w:val="nil"/>
              <w:bottom w:val="single" w:sz="4" w:space="0" w:color="auto"/>
              <w:right w:val="single" w:sz="4" w:space="0" w:color="auto"/>
            </w:tcBorders>
            <w:shd w:val="clear" w:color="auto" w:fill="auto"/>
            <w:noWrap/>
            <w:vAlign w:val="center"/>
            <w:hideMark/>
          </w:tcPr>
          <w:p w14:paraId="37949C65"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40 </w:t>
            </w:r>
          </w:p>
        </w:tc>
        <w:tc>
          <w:tcPr>
            <w:tcW w:w="836" w:type="dxa"/>
            <w:tcBorders>
              <w:top w:val="nil"/>
              <w:left w:val="nil"/>
              <w:bottom w:val="single" w:sz="4" w:space="0" w:color="auto"/>
              <w:right w:val="single" w:sz="4" w:space="0" w:color="auto"/>
            </w:tcBorders>
            <w:shd w:val="clear" w:color="auto" w:fill="auto"/>
            <w:noWrap/>
            <w:vAlign w:val="center"/>
            <w:hideMark/>
          </w:tcPr>
          <w:p w14:paraId="5B40A6F5" w14:textId="77777777" w:rsidR="007B3093" w:rsidRDefault="00000000">
            <w:pPr>
              <w:spacing w:after="0" w:line="240" w:lineRule="auto"/>
              <w:jc w:val="right"/>
              <w:rPr>
                <w:rFonts w:ascii="Aptos Narrow" w:eastAsia="Times New Roman" w:hAnsi="Aptos Narrow" w:cs="Times New Roman"/>
                <w:color w:val="000000"/>
                <w:sz w:val="18"/>
                <w:lang w:val="en-US"/>
              </w:rPr>
            </w:pPr>
            <w:r>
              <w:rPr>
                <w:rFonts w:ascii="Aptos Narrow" w:eastAsia="Times New Roman" w:hAnsi="Aptos Narrow" w:cs="Times New Roman"/>
                <w:color w:val="000000"/>
                <w:sz w:val="18"/>
                <w:lang w:val="en-US"/>
              </w:rPr>
              <w:t xml:space="preserve">13 </w:t>
            </w:r>
          </w:p>
        </w:tc>
      </w:tr>
      <w:tr w:rsidR="007B3093" w14:paraId="1B9478F9" w14:textId="77777777">
        <w:trPr>
          <w:trHeight w:val="263"/>
        </w:trPr>
        <w:tc>
          <w:tcPr>
            <w:tcW w:w="3482" w:type="dxa"/>
            <w:gridSpan w:val="2"/>
            <w:tcBorders>
              <w:top w:val="single" w:sz="4" w:space="0" w:color="auto"/>
              <w:left w:val="single" w:sz="4" w:space="0" w:color="auto"/>
              <w:bottom w:val="nil"/>
              <w:right w:val="nil"/>
            </w:tcBorders>
            <w:shd w:val="clear" w:color="000000" w:fill="104861"/>
            <w:vAlign w:val="center"/>
            <w:hideMark/>
          </w:tcPr>
          <w:p w14:paraId="11B697F4" w14:textId="77777777" w:rsidR="007B3093" w:rsidRDefault="00000000">
            <w:pPr>
              <w:spacing w:after="0" w:line="240" w:lineRule="auto"/>
              <w:jc w:val="center"/>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TOTAL:</w:t>
            </w:r>
          </w:p>
        </w:tc>
        <w:tc>
          <w:tcPr>
            <w:tcW w:w="1114" w:type="dxa"/>
            <w:tcBorders>
              <w:top w:val="nil"/>
              <w:left w:val="nil"/>
              <w:bottom w:val="nil"/>
              <w:right w:val="nil"/>
            </w:tcBorders>
            <w:shd w:val="clear" w:color="000000" w:fill="104861"/>
            <w:noWrap/>
            <w:vAlign w:val="center"/>
            <w:hideMark/>
          </w:tcPr>
          <w:p w14:paraId="24F03200" w14:textId="77777777" w:rsidR="007B3093" w:rsidRDefault="00000000">
            <w:pPr>
              <w:spacing w:after="0" w:line="240" w:lineRule="auto"/>
              <w:jc w:val="right"/>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 xml:space="preserve">15.676 </w:t>
            </w:r>
          </w:p>
        </w:tc>
        <w:tc>
          <w:tcPr>
            <w:tcW w:w="975" w:type="dxa"/>
            <w:tcBorders>
              <w:top w:val="nil"/>
              <w:left w:val="nil"/>
              <w:bottom w:val="nil"/>
              <w:right w:val="nil"/>
            </w:tcBorders>
            <w:shd w:val="clear" w:color="000000" w:fill="104861"/>
            <w:noWrap/>
            <w:vAlign w:val="center"/>
            <w:hideMark/>
          </w:tcPr>
          <w:p w14:paraId="2DBAF2FB" w14:textId="77777777" w:rsidR="007B3093" w:rsidRDefault="00000000">
            <w:pPr>
              <w:spacing w:after="0" w:line="240" w:lineRule="auto"/>
              <w:jc w:val="right"/>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 xml:space="preserve">17.497 </w:t>
            </w:r>
          </w:p>
        </w:tc>
        <w:tc>
          <w:tcPr>
            <w:tcW w:w="836" w:type="dxa"/>
            <w:tcBorders>
              <w:top w:val="nil"/>
              <w:left w:val="nil"/>
              <w:bottom w:val="nil"/>
              <w:right w:val="nil"/>
            </w:tcBorders>
            <w:shd w:val="clear" w:color="000000" w:fill="104861"/>
            <w:noWrap/>
            <w:vAlign w:val="center"/>
            <w:hideMark/>
          </w:tcPr>
          <w:p w14:paraId="78085DDF" w14:textId="77777777" w:rsidR="007B3093" w:rsidRDefault="00000000">
            <w:pPr>
              <w:spacing w:after="0" w:line="240" w:lineRule="auto"/>
              <w:jc w:val="right"/>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 xml:space="preserve">14.714 </w:t>
            </w:r>
          </w:p>
        </w:tc>
        <w:tc>
          <w:tcPr>
            <w:tcW w:w="975" w:type="dxa"/>
            <w:tcBorders>
              <w:top w:val="nil"/>
              <w:left w:val="nil"/>
              <w:bottom w:val="nil"/>
              <w:right w:val="nil"/>
            </w:tcBorders>
            <w:shd w:val="clear" w:color="000000" w:fill="104861"/>
            <w:noWrap/>
            <w:vAlign w:val="center"/>
            <w:hideMark/>
          </w:tcPr>
          <w:p w14:paraId="74063A48" w14:textId="77777777" w:rsidR="007B3093" w:rsidRDefault="00000000">
            <w:pPr>
              <w:spacing w:after="0" w:line="240" w:lineRule="auto"/>
              <w:jc w:val="right"/>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 xml:space="preserve">22.088 </w:t>
            </w:r>
          </w:p>
        </w:tc>
        <w:tc>
          <w:tcPr>
            <w:tcW w:w="975" w:type="dxa"/>
            <w:tcBorders>
              <w:top w:val="nil"/>
              <w:left w:val="nil"/>
              <w:bottom w:val="nil"/>
              <w:right w:val="nil"/>
            </w:tcBorders>
            <w:shd w:val="clear" w:color="000000" w:fill="104861"/>
            <w:noWrap/>
            <w:vAlign w:val="center"/>
            <w:hideMark/>
          </w:tcPr>
          <w:p w14:paraId="2DF6C92E" w14:textId="77777777" w:rsidR="007B3093" w:rsidRDefault="00000000">
            <w:pPr>
              <w:spacing w:after="0" w:line="240" w:lineRule="auto"/>
              <w:jc w:val="right"/>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 xml:space="preserve">23.516 </w:t>
            </w:r>
          </w:p>
        </w:tc>
        <w:tc>
          <w:tcPr>
            <w:tcW w:w="836" w:type="dxa"/>
            <w:tcBorders>
              <w:top w:val="nil"/>
              <w:left w:val="nil"/>
              <w:bottom w:val="nil"/>
              <w:right w:val="nil"/>
            </w:tcBorders>
            <w:shd w:val="clear" w:color="000000" w:fill="104861"/>
            <w:noWrap/>
            <w:vAlign w:val="center"/>
            <w:hideMark/>
          </w:tcPr>
          <w:p w14:paraId="6F90A846" w14:textId="77777777" w:rsidR="007B3093" w:rsidRDefault="00000000">
            <w:pPr>
              <w:spacing w:after="0" w:line="240" w:lineRule="auto"/>
              <w:jc w:val="right"/>
              <w:rPr>
                <w:rFonts w:ascii="Aptos Narrow" w:eastAsia="Times New Roman" w:hAnsi="Aptos Narrow" w:cs="Times New Roman"/>
                <w:b/>
                <w:bCs/>
                <w:color w:val="FFFFFF"/>
                <w:sz w:val="18"/>
                <w:lang w:val="en-US"/>
              </w:rPr>
            </w:pPr>
            <w:r>
              <w:rPr>
                <w:rFonts w:ascii="Aptos Narrow" w:eastAsia="Times New Roman" w:hAnsi="Aptos Narrow" w:cs="Times New Roman"/>
                <w:b/>
                <w:bCs/>
                <w:color w:val="FFFFFF"/>
                <w:sz w:val="18"/>
                <w:lang w:val="en-US"/>
              </w:rPr>
              <w:t xml:space="preserve">24.157 </w:t>
            </w:r>
          </w:p>
        </w:tc>
      </w:tr>
    </w:tbl>
    <w:p w14:paraId="29F19F88" w14:textId="77777777" w:rsidR="007B3093" w:rsidRDefault="00000000">
      <w:pPr>
        <w:pStyle w:val="Prrafodelista"/>
        <w:spacing w:after="120" w:line="360" w:lineRule="auto"/>
        <w:ind w:left="142"/>
        <w:jc w:val="both"/>
        <w:rPr>
          <w:rFonts w:cstheme="minorHAnsi"/>
          <w:b/>
          <w:bCs/>
        </w:rPr>
      </w:pPr>
      <w:r>
        <w:rPr>
          <w:rFonts w:cstheme="minorHAnsi"/>
        </w:rPr>
        <w:fldChar w:fldCharType="end"/>
      </w:r>
      <w:r>
        <w:rPr>
          <w:rFonts w:cstheme="minorHAnsi"/>
          <w:b/>
          <w:bCs/>
        </w:rPr>
        <w:t>Fuente: Informes Gerenciales, Fichas de seguimiento</w:t>
      </w:r>
    </w:p>
    <w:p w14:paraId="3581EB4A" w14:textId="77777777" w:rsidR="007B3093" w:rsidRDefault="00000000">
      <w:pPr>
        <w:pStyle w:val="Prrafodelista"/>
        <w:spacing w:after="120" w:line="360" w:lineRule="auto"/>
        <w:ind w:left="142"/>
        <w:jc w:val="both"/>
        <w:rPr>
          <w:rFonts w:cstheme="minorHAnsi"/>
          <w:b/>
          <w:bCs/>
        </w:rPr>
      </w:pPr>
      <w:r>
        <w:rPr>
          <w:rFonts w:cstheme="minorHAnsi"/>
          <w:b/>
          <w:bCs/>
        </w:rPr>
        <w:t>Elaboración: EDG PROFIP</w:t>
      </w:r>
    </w:p>
    <w:p w14:paraId="542C4947" w14:textId="77777777" w:rsidR="007B3093" w:rsidRDefault="00000000">
      <w:pPr>
        <w:spacing w:after="120" w:line="360" w:lineRule="auto"/>
        <w:ind w:left="142"/>
        <w:jc w:val="both"/>
        <w:rPr>
          <w:rFonts w:cstheme="minorHAnsi"/>
        </w:rPr>
      </w:pPr>
      <w:r>
        <w:rPr>
          <w:rFonts w:cstheme="minorHAnsi"/>
        </w:rPr>
        <w:t>Es evidente que, por efecto de la demora en la implementación de los productos recibidos como parte del nuevo modelo de gestión, la PGE aún no alcanza el punto de inflexión en que los procesos judiciales empiecen a mostrar una tendencia a la baja, más considerando que la nueva estructura se complementa con la automatización de los procesos, que por su volumen en documentos físicos se tornan de difícil manejo para el reducido personal de la institución.</w:t>
      </w:r>
    </w:p>
    <w:p w14:paraId="42040900" w14:textId="77777777" w:rsidR="007B3093" w:rsidRDefault="00000000">
      <w:pPr>
        <w:pStyle w:val="Prrafodelista"/>
        <w:spacing w:after="120" w:line="360" w:lineRule="auto"/>
        <w:ind w:left="142"/>
        <w:jc w:val="both"/>
        <w:rPr>
          <w:rFonts w:cstheme="minorHAnsi"/>
        </w:rPr>
      </w:pPr>
      <w:r>
        <w:rPr>
          <w:rFonts w:cstheme="minorHAnsi"/>
        </w:rPr>
        <w:t xml:space="preserve">Siguiendo la línea programada por el proyecto  a septiembre de 2023  se adjudicó la consultoría para la “Implementación, puesta en marcha y acompañamiento del Sistema Nacional de Defensa Jurídica del Estado, todo ello en el marco del Nuevo Modelo de Gestión y la Agenda Digital de la Procuraduría General del Estado”, cuyo objetivo general es el de “Desarrollar e implementar una plataforma informática institucional integral, que permita el efectivo cumplimiento de la misión de la Procuraduría General del Estado, modernizando y automatizando los procesos, aplicaciones e implementando en una nueva arquitectura tecnológica con el fin de mejorar los servicios del organismo, aplicando las mejores prácticas de seguridad integral de los datos, soportar la demanda exponencial a nivel nacional, todo ello en el marco del Modelo de Gestión y la Agenda Digital de la Procuraduría General del Estado de Ecuador”, que se encarga al momento de la automatización de la gestión misional de la institución.  Se debe anotar que originalmente este contrato finalizaba a fines de 2024, sin embargo, por la naturaleza y complejidad de los temas involucrados, propio de la institucionalidad y roles de la PGE, fue preciso ampliar los plazos de entrega de los productos convenidos, por ello se firmó la Enmienda No. 003, con la que se amplía su plazo de ejecución </w:t>
      </w:r>
      <w:r>
        <w:rPr>
          <w:rFonts w:cstheme="minorHAnsi"/>
        </w:rPr>
        <w:lastRenderedPageBreak/>
        <w:t>hasta 2025.  Esta necesidad sustentada en base a los tiempos que requiere la consultoría se ha trasladado a MEF en su calidad de ejecutor del programa y a BID en su calidad de financista y cuenta con la aprobación para ampliación del tiempo de duración del Contrato de Préstamo por un año adicional, conforme a estos acuerdos.</w:t>
      </w:r>
    </w:p>
    <w:p w14:paraId="2FDA2788" w14:textId="77777777" w:rsidR="007B3093" w:rsidRDefault="007B3093">
      <w:pPr>
        <w:autoSpaceDE w:val="0"/>
        <w:autoSpaceDN w:val="0"/>
        <w:adjustRightInd w:val="0"/>
        <w:spacing w:before="120" w:after="120" w:line="360" w:lineRule="auto"/>
        <w:jc w:val="both"/>
        <w:rPr>
          <w:rFonts w:cstheme="minorHAnsi"/>
        </w:rPr>
      </w:pPr>
    </w:p>
    <w:p w14:paraId="5F2B60C6" w14:textId="77777777" w:rsidR="007B3093" w:rsidRDefault="00000000">
      <w:pPr>
        <w:pStyle w:val="Ttulo2"/>
        <w:numPr>
          <w:ilvl w:val="1"/>
          <w:numId w:val="93"/>
        </w:numPr>
        <w:spacing w:before="0" w:line="360" w:lineRule="auto"/>
        <w:ind w:left="426"/>
        <w:rPr>
          <w:rFonts w:asciiTheme="minorHAnsi" w:hAnsiTheme="minorHAnsi" w:cstheme="minorHAnsi"/>
          <w:b/>
          <w:color w:val="auto"/>
          <w:sz w:val="22"/>
          <w:szCs w:val="22"/>
          <w:lang w:eastAsia="es-EC"/>
        </w:rPr>
      </w:pPr>
      <w:bookmarkStart w:id="14" w:name="_Toc195010050"/>
      <w:r>
        <w:rPr>
          <w:rFonts w:asciiTheme="minorHAnsi" w:hAnsiTheme="minorHAnsi" w:cstheme="minorHAnsi"/>
          <w:b/>
          <w:color w:val="auto"/>
          <w:sz w:val="22"/>
          <w:szCs w:val="22"/>
          <w:lang w:eastAsia="es-EC"/>
        </w:rPr>
        <w:t>Análisis de oferta y demanda</w:t>
      </w:r>
      <w:bookmarkStart w:id="15" w:name="_Toc1089423"/>
      <w:bookmarkEnd w:id="14"/>
    </w:p>
    <w:p w14:paraId="1E2C7A00" w14:textId="77777777" w:rsidR="007B3093" w:rsidRDefault="00000000">
      <w:pPr>
        <w:pStyle w:val="Ttulo2"/>
        <w:numPr>
          <w:ilvl w:val="2"/>
          <w:numId w:val="93"/>
        </w:numPr>
        <w:spacing w:before="0" w:line="360" w:lineRule="auto"/>
        <w:ind w:left="851"/>
        <w:rPr>
          <w:rFonts w:asciiTheme="minorHAnsi" w:hAnsiTheme="minorHAnsi" w:cstheme="minorHAnsi"/>
          <w:b/>
          <w:color w:val="auto"/>
          <w:sz w:val="22"/>
          <w:szCs w:val="22"/>
          <w:lang w:eastAsia="es-EC"/>
        </w:rPr>
      </w:pPr>
      <w:bookmarkStart w:id="16" w:name="_Toc1089424"/>
      <w:bookmarkStart w:id="17" w:name="_Toc195010051"/>
      <w:r>
        <w:rPr>
          <w:rFonts w:asciiTheme="minorHAnsi" w:hAnsiTheme="minorHAnsi" w:cstheme="minorHAnsi"/>
          <w:b/>
          <w:color w:val="auto"/>
          <w:sz w:val="22"/>
          <w:szCs w:val="22"/>
          <w:lang w:eastAsia="es-EC"/>
        </w:rPr>
        <w:t>Oferta</w:t>
      </w:r>
      <w:bookmarkEnd w:id="16"/>
      <w:bookmarkEnd w:id="17"/>
    </w:p>
    <w:p w14:paraId="2B512552" w14:textId="77777777" w:rsidR="007B3093" w:rsidRDefault="00000000">
      <w:pPr>
        <w:pStyle w:val="Prrafodelista"/>
        <w:spacing w:before="120" w:after="120" w:line="360" w:lineRule="auto"/>
        <w:ind w:left="142"/>
        <w:contextualSpacing w:val="0"/>
        <w:jc w:val="both"/>
        <w:rPr>
          <w:rFonts w:cstheme="minorHAnsi"/>
          <w:i/>
        </w:rPr>
      </w:pPr>
      <w:r>
        <w:rPr>
          <w:rFonts w:cstheme="minorHAnsi"/>
        </w:rPr>
        <w:t>La Constitución en su Art. 237 establece las funciones de la Procuradora o Procurador General del Estado, además de las otras funciones que determine la ley:</w:t>
      </w:r>
    </w:p>
    <w:p w14:paraId="63119407" w14:textId="77777777" w:rsidR="007B3093" w:rsidRDefault="00000000">
      <w:pPr>
        <w:pStyle w:val="Prrafodelista"/>
        <w:numPr>
          <w:ilvl w:val="0"/>
          <w:numId w:val="41"/>
        </w:numPr>
        <w:spacing w:before="120" w:after="120" w:line="360" w:lineRule="auto"/>
        <w:jc w:val="both"/>
        <w:rPr>
          <w:rFonts w:cstheme="minorHAnsi"/>
          <w:i/>
        </w:rPr>
      </w:pPr>
      <w:r>
        <w:rPr>
          <w:rFonts w:cstheme="minorHAnsi"/>
          <w:i/>
        </w:rPr>
        <w:t>“La representación judicial del Estado.</w:t>
      </w:r>
    </w:p>
    <w:p w14:paraId="3468B732" w14:textId="77777777" w:rsidR="007B3093" w:rsidRDefault="00000000">
      <w:pPr>
        <w:pStyle w:val="Prrafodelista"/>
        <w:numPr>
          <w:ilvl w:val="0"/>
          <w:numId w:val="41"/>
        </w:numPr>
        <w:spacing w:before="120" w:after="120" w:line="360" w:lineRule="auto"/>
        <w:jc w:val="both"/>
        <w:rPr>
          <w:rFonts w:cstheme="minorHAnsi"/>
          <w:i/>
        </w:rPr>
      </w:pPr>
      <w:r>
        <w:rPr>
          <w:rFonts w:cstheme="minorHAnsi"/>
          <w:i/>
        </w:rPr>
        <w:t>El patrocinio del Estado y de sus instituciones.</w:t>
      </w:r>
    </w:p>
    <w:p w14:paraId="3048CD29" w14:textId="77777777" w:rsidR="007B3093" w:rsidRDefault="00000000">
      <w:pPr>
        <w:pStyle w:val="Prrafodelista"/>
        <w:numPr>
          <w:ilvl w:val="0"/>
          <w:numId w:val="41"/>
        </w:numPr>
        <w:spacing w:before="120" w:after="120" w:line="360" w:lineRule="auto"/>
        <w:jc w:val="both"/>
        <w:rPr>
          <w:rFonts w:cstheme="minorHAnsi"/>
          <w:i/>
        </w:rPr>
      </w:pPr>
      <w:r>
        <w:rPr>
          <w:rFonts w:cstheme="minorHAnsi"/>
          <w:i/>
        </w:rPr>
        <w:t>El asesoramiento legal y la absolución de las consultas jurídicas a los organismos y entidades del sector público con carácter vinculante, sobre la inteligencia o aplicación de la ley, en aquellos temasen que la Constitución o la ley no otorguen competencias a otras autoridades u organismos.</w:t>
      </w:r>
    </w:p>
    <w:p w14:paraId="73F3691F" w14:textId="77777777" w:rsidR="007B3093" w:rsidRDefault="00000000">
      <w:pPr>
        <w:pStyle w:val="Prrafodelista"/>
        <w:numPr>
          <w:ilvl w:val="0"/>
          <w:numId w:val="41"/>
        </w:numPr>
        <w:spacing w:before="120" w:after="120" w:line="360" w:lineRule="auto"/>
        <w:jc w:val="both"/>
        <w:rPr>
          <w:rFonts w:cstheme="minorHAnsi"/>
          <w:i/>
        </w:rPr>
      </w:pPr>
      <w:r>
        <w:rPr>
          <w:rFonts w:cstheme="minorHAnsi"/>
          <w:i/>
        </w:rPr>
        <w:t>Controlar con sujeción a la ley los actos y contratos que suscriban los organismos y entidades del sector público.”</w:t>
      </w:r>
    </w:p>
    <w:p w14:paraId="5C14B230" w14:textId="77777777" w:rsidR="007B3093" w:rsidRDefault="00000000">
      <w:pPr>
        <w:pStyle w:val="Prrafodelista"/>
        <w:spacing w:before="120" w:after="120" w:line="360" w:lineRule="auto"/>
        <w:ind w:left="142"/>
        <w:contextualSpacing w:val="0"/>
        <w:jc w:val="both"/>
        <w:rPr>
          <w:rFonts w:cstheme="minorHAnsi"/>
          <w:i/>
        </w:rPr>
      </w:pPr>
      <w:r>
        <w:rPr>
          <w:rFonts w:cstheme="minorHAnsi"/>
        </w:rPr>
        <w:t>De igual manera, La Ley Orgánica de la Procuraduría General del Estado en su Art. 3, de las funciones del Procurador General del Estado le corresponde privativamente las siguientes funciones:</w:t>
      </w:r>
    </w:p>
    <w:p w14:paraId="2104B2E2"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“Ejercer el patrocinio del Estado y de sus instituciones de conformidad con lo previsto en la ley;</w:t>
      </w:r>
    </w:p>
    <w:p w14:paraId="4C4F3A9A"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Representar al Estado y a los organismos y entidades del sector público que carezcan de personería jurídica, en defensa del patrimonio nacional y del interés público;</w:t>
      </w:r>
    </w:p>
    <w:p w14:paraId="1688101F"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Supervisar los juicios que involucren a las entidades del sector público que tengan personería jurídica o a las personas jurídicas de derecho privado que cuenten con recursos públicos, sin perjuicio de promoverlos o de intervenir como parte en ellos, en defensa del patrimonio nacional y del interés público;</w:t>
      </w:r>
    </w:p>
    <w:p w14:paraId="7CDF377F"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Representar al Estado Ecuatoriano y a las entidades del sector público en cualquier juicio o reclamo que deban proponer o que se plantee en su contra en otro Estado, de acuerdo con la Constitución Política de la República, los tratados o convenios internacionales vigentes y las leyes del Estado Ecuatoriano;</w:t>
      </w:r>
    </w:p>
    <w:p w14:paraId="1A60F2DC"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lastRenderedPageBreak/>
        <w:t>Absolver, consultas y asesorar a los organismos y entidades del sector público, así como a las personas jurídicas de derecho privado con finalidad social o pública, sobre la inteligencia o aplicación de las normas "constitucionales", legales o de otro orden jurídico. El pronunciamiento será obligatorio para la Administración Pública, sobre la materia consultada, en los términos que se indican en esta ley; Nota: Texto entre comillas declarado inconstitucional por Resolución de la Corte Constitucional No. 2, publicada en Registro Oficial Suplemento 566 de 8 de Abril del 2009.</w:t>
      </w:r>
    </w:p>
    <w:p w14:paraId="14518ECF"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Nota: Literal derogado por numeral 3. de Derogatorias de Ley No. 1, publicada en Registro Oficial Suplemento 395 de 4 de Agosto del 2008.</w:t>
      </w:r>
    </w:p>
    <w:p w14:paraId="17E0471C"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Supervisar el cumplimiento de dichos contratos y proponer o adoptar, con este fin, las acciones judiciales necesarias en defensa del patrimonio nacional y del interés público;</w:t>
      </w:r>
    </w:p>
    <w:p w14:paraId="1214C196"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 xml:space="preserve"> Reclamar judicial o administrativamente de terceros los bienes fiscales; y, en el caso de los de carácter provincial o municipal o pertenecientes a organismos autónomos del sector público, requerir de las autoridades correspondientes igual medida debiendo actuar por su propia iniciativa en el evento de que no lo hicieren;</w:t>
      </w:r>
    </w:p>
    <w:p w14:paraId="415344C0"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Informar anualmente por escrito al H. Congreso Nacional sobre el ejercicio de sus funciones;</w:t>
      </w:r>
    </w:p>
    <w:p w14:paraId="32814880"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 xml:space="preserve"> Presentar proyectos de ley, en las materias que correspondan a sus atribuciones específicas;</w:t>
      </w:r>
    </w:p>
    <w:p w14:paraId="24C72CAB"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Expedir reglamentos, acuerdos, resoluciones e instructivos de carácter general y particular, dentro del ámbito de su competencia;</w:t>
      </w:r>
    </w:p>
    <w:p w14:paraId="0809719E"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Expedir reglamentos internos, regulaciones de carácter general, acuerdos, resoluciones e instructivos necesarios para normar el patrocinio del Estado y las solicitudes de asesoramiento que correspondan a la Procuraduría General del Estado;</w:t>
      </w:r>
    </w:p>
    <w:p w14:paraId="6D58778A"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Elaborar anualmente la proforma presupuestaria de la entidad; y,</w:t>
      </w:r>
    </w:p>
    <w:p w14:paraId="75EECB5C" w14:textId="77777777" w:rsidR="007B3093" w:rsidRDefault="00000000">
      <w:pPr>
        <w:pStyle w:val="Prrafodelista"/>
        <w:numPr>
          <w:ilvl w:val="0"/>
          <w:numId w:val="40"/>
        </w:numPr>
        <w:spacing w:before="120" w:after="120" w:line="360" w:lineRule="auto"/>
        <w:jc w:val="both"/>
        <w:rPr>
          <w:rFonts w:cstheme="minorHAnsi"/>
          <w:i/>
        </w:rPr>
      </w:pPr>
      <w:r>
        <w:rPr>
          <w:rFonts w:cstheme="minorHAnsi"/>
          <w:i/>
        </w:rPr>
        <w:t>Las demás atribuciones señaladas en la Constitución Política de la República y las leyes.”</w:t>
      </w:r>
    </w:p>
    <w:p w14:paraId="64FC8DB8" w14:textId="77777777" w:rsidR="007B3093" w:rsidRDefault="007B3093">
      <w:pPr>
        <w:pStyle w:val="Prrafodelista"/>
        <w:spacing w:before="120" w:after="120" w:line="360" w:lineRule="auto"/>
        <w:ind w:left="927"/>
        <w:jc w:val="both"/>
        <w:rPr>
          <w:rFonts w:cstheme="minorHAnsi"/>
          <w:i/>
        </w:rPr>
      </w:pPr>
    </w:p>
    <w:p w14:paraId="47D5AB14"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En este sentido, para estimar la oferta correspondiente a las actividades de la Procuraduría General del Estado, se consideró el número de casos, consultas y otros trámites gestionados por las áreas misionales de la PGE, que fueron atendidos durante el año 2018 alcanzando un total de 10.889 casos, que corresponden a: 9.506 casos cerrados de la Dirección Nacional de Patrocinio, 9 de la Dirección Nacional de Asuntos Internacionales, 5 de la Dirección Nacional </w:t>
      </w:r>
      <w:r>
        <w:rPr>
          <w:rFonts w:cstheme="minorHAnsi"/>
        </w:rPr>
        <w:lastRenderedPageBreak/>
        <w:t>de Derechos Humanos, 1.091 de la Dirección Nacional de Mediación, 111 de la Dirección Nacional de Consultoría y 167 de la Dirección Nacional de Control de la Legalidad.</w:t>
      </w:r>
    </w:p>
    <w:p w14:paraId="6B10F2EF" w14:textId="77777777" w:rsidR="007B3093" w:rsidRDefault="00000000">
      <w:pPr>
        <w:pStyle w:val="Prrafodelista"/>
        <w:spacing w:before="120" w:after="120" w:line="360" w:lineRule="auto"/>
        <w:ind w:left="142"/>
        <w:contextualSpacing w:val="0"/>
        <w:jc w:val="both"/>
        <w:rPr>
          <w:rFonts w:cstheme="minorHAnsi"/>
        </w:rPr>
      </w:pPr>
      <w:r>
        <w:rPr>
          <w:rFonts w:cstheme="minorHAnsi"/>
        </w:rPr>
        <w:t>La proyección se realiza en función del impacto progresivo que tendrá el fortalecimiento institucional en la eficiencia de los servicios de la PGE, multiplicando la línea base establecida al 2018 por la estimación de incremento anual definido en las metas de los objetivos del proyecto, tal como se muestra a continuación:</w:t>
      </w:r>
    </w:p>
    <w:p w14:paraId="04449E68" w14:textId="77777777" w:rsidR="007B3093" w:rsidRDefault="00000000">
      <w:pPr>
        <w:pStyle w:val="Sinespaciado"/>
        <w:jc w:val="center"/>
      </w:pPr>
      <w:r>
        <w:rPr>
          <w:rFonts w:cstheme="minorHAnsi"/>
          <w:b/>
        </w:rPr>
        <w:t>Tabla 6: Porcentajes de Incremento para Oferta Proyectada</w:t>
      </w: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3"/>
        <w:gridCol w:w="587"/>
        <w:gridCol w:w="587"/>
        <w:gridCol w:w="587"/>
        <w:gridCol w:w="587"/>
        <w:gridCol w:w="587"/>
        <w:gridCol w:w="587"/>
      </w:tblGrid>
      <w:tr w:rsidR="007B3093" w14:paraId="58387BDE" w14:textId="77777777">
        <w:trPr>
          <w:trHeight w:val="450"/>
          <w:jc w:val="center"/>
        </w:trPr>
        <w:tc>
          <w:tcPr>
            <w:tcW w:w="5423" w:type="dxa"/>
            <w:vMerge w:val="restart"/>
            <w:shd w:val="clear" w:color="auto" w:fill="1F4E79" w:themeFill="accent1" w:themeFillShade="80"/>
            <w:noWrap/>
            <w:vAlign w:val="center"/>
            <w:hideMark/>
          </w:tcPr>
          <w:p w14:paraId="577DBEB1" w14:textId="77777777" w:rsidR="007B3093" w:rsidRDefault="00000000">
            <w:pPr>
              <w:spacing w:after="0" w:line="240" w:lineRule="auto"/>
              <w:jc w:val="center"/>
              <w:rPr>
                <w:rFonts w:ascii="Calibri" w:eastAsia="Times New Roman" w:hAnsi="Calibri" w:cs="Times New Roman"/>
                <w:b/>
                <w:color w:val="FFFFFF" w:themeColor="background1"/>
                <w:lang w:eastAsia="es-EC"/>
              </w:rPr>
            </w:pPr>
            <w:r>
              <w:rPr>
                <w:rFonts w:ascii="Calibri" w:eastAsia="Times New Roman" w:hAnsi="Calibri" w:cs="Times New Roman"/>
                <w:b/>
                <w:color w:val="FFFFFF" w:themeColor="background1"/>
                <w:lang w:eastAsia="es-EC"/>
              </w:rPr>
              <w:t>INDICADOR DE PROPÓSITO</w:t>
            </w:r>
          </w:p>
        </w:tc>
        <w:tc>
          <w:tcPr>
            <w:tcW w:w="587" w:type="dxa"/>
            <w:vMerge w:val="restart"/>
            <w:shd w:val="clear" w:color="auto" w:fill="1F4E79" w:themeFill="accent1" w:themeFillShade="80"/>
            <w:noWrap/>
            <w:vAlign w:val="center"/>
            <w:hideMark/>
          </w:tcPr>
          <w:p w14:paraId="0E096E03" w14:textId="77777777" w:rsidR="007B3093" w:rsidRDefault="00000000">
            <w:pPr>
              <w:spacing w:after="0" w:line="240" w:lineRule="auto"/>
              <w:jc w:val="center"/>
              <w:rPr>
                <w:rFonts w:ascii="Calibri" w:eastAsia="Times New Roman" w:hAnsi="Calibri" w:cs="Times New Roman"/>
                <w:b/>
                <w:color w:val="FFFFFF" w:themeColor="background1"/>
                <w:lang w:eastAsia="es-EC"/>
              </w:rPr>
            </w:pPr>
            <w:r>
              <w:rPr>
                <w:rFonts w:ascii="Calibri" w:eastAsia="Times New Roman" w:hAnsi="Calibri" w:cs="Times New Roman"/>
                <w:b/>
                <w:color w:val="FFFFFF" w:themeColor="background1"/>
                <w:lang w:eastAsia="es-EC"/>
              </w:rPr>
              <w:t>2019</w:t>
            </w:r>
          </w:p>
        </w:tc>
        <w:tc>
          <w:tcPr>
            <w:tcW w:w="587" w:type="dxa"/>
            <w:vMerge w:val="restart"/>
            <w:shd w:val="clear" w:color="auto" w:fill="1F4E79" w:themeFill="accent1" w:themeFillShade="80"/>
            <w:noWrap/>
            <w:vAlign w:val="center"/>
            <w:hideMark/>
          </w:tcPr>
          <w:p w14:paraId="1ACE172C" w14:textId="77777777" w:rsidR="007B3093" w:rsidRDefault="00000000">
            <w:pPr>
              <w:spacing w:after="0" w:line="240" w:lineRule="auto"/>
              <w:jc w:val="center"/>
              <w:rPr>
                <w:rFonts w:ascii="Calibri" w:eastAsia="Times New Roman" w:hAnsi="Calibri" w:cs="Times New Roman"/>
                <w:b/>
                <w:color w:val="FFFFFF" w:themeColor="background1"/>
                <w:lang w:eastAsia="es-EC"/>
              </w:rPr>
            </w:pPr>
            <w:r>
              <w:rPr>
                <w:rFonts w:ascii="Calibri" w:eastAsia="Times New Roman" w:hAnsi="Calibri" w:cs="Times New Roman"/>
                <w:b/>
                <w:color w:val="FFFFFF" w:themeColor="background1"/>
                <w:lang w:eastAsia="es-EC"/>
              </w:rPr>
              <w:t>2020</w:t>
            </w:r>
          </w:p>
        </w:tc>
        <w:tc>
          <w:tcPr>
            <w:tcW w:w="587" w:type="dxa"/>
            <w:vMerge w:val="restart"/>
            <w:shd w:val="clear" w:color="auto" w:fill="1F4E79" w:themeFill="accent1" w:themeFillShade="80"/>
            <w:noWrap/>
            <w:vAlign w:val="center"/>
            <w:hideMark/>
          </w:tcPr>
          <w:p w14:paraId="6F5BC1A8" w14:textId="77777777" w:rsidR="007B3093" w:rsidRDefault="00000000">
            <w:pPr>
              <w:spacing w:after="0" w:line="240" w:lineRule="auto"/>
              <w:jc w:val="center"/>
              <w:rPr>
                <w:rFonts w:ascii="Calibri" w:eastAsia="Times New Roman" w:hAnsi="Calibri" w:cs="Times New Roman"/>
                <w:b/>
                <w:color w:val="FFFFFF" w:themeColor="background1"/>
                <w:lang w:eastAsia="es-EC"/>
              </w:rPr>
            </w:pPr>
            <w:r>
              <w:rPr>
                <w:rFonts w:ascii="Calibri" w:eastAsia="Times New Roman" w:hAnsi="Calibri" w:cs="Times New Roman"/>
                <w:b/>
                <w:color w:val="FFFFFF" w:themeColor="background1"/>
                <w:lang w:eastAsia="es-EC"/>
              </w:rPr>
              <w:t>2021</w:t>
            </w:r>
          </w:p>
        </w:tc>
        <w:tc>
          <w:tcPr>
            <w:tcW w:w="587" w:type="dxa"/>
            <w:vMerge w:val="restart"/>
            <w:shd w:val="clear" w:color="auto" w:fill="1F4E79" w:themeFill="accent1" w:themeFillShade="80"/>
            <w:noWrap/>
            <w:vAlign w:val="center"/>
            <w:hideMark/>
          </w:tcPr>
          <w:p w14:paraId="2E213F98" w14:textId="77777777" w:rsidR="007B3093" w:rsidRDefault="00000000">
            <w:pPr>
              <w:spacing w:after="0" w:line="240" w:lineRule="auto"/>
              <w:jc w:val="center"/>
              <w:rPr>
                <w:rFonts w:ascii="Calibri" w:eastAsia="Times New Roman" w:hAnsi="Calibri" w:cs="Times New Roman"/>
                <w:b/>
                <w:color w:val="FFFFFF" w:themeColor="background1"/>
                <w:lang w:eastAsia="es-EC"/>
              </w:rPr>
            </w:pPr>
            <w:r>
              <w:rPr>
                <w:rFonts w:ascii="Calibri" w:eastAsia="Times New Roman" w:hAnsi="Calibri" w:cs="Times New Roman"/>
                <w:b/>
                <w:color w:val="FFFFFF" w:themeColor="background1"/>
                <w:lang w:eastAsia="es-EC"/>
              </w:rPr>
              <w:t>2022</w:t>
            </w:r>
          </w:p>
        </w:tc>
        <w:tc>
          <w:tcPr>
            <w:tcW w:w="587" w:type="dxa"/>
            <w:vMerge w:val="restart"/>
            <w:shd w:val="clear" w:color="auto" w:fill="1F4E79" w:themeFill="accent1" w:themeFillShade="80"/>
            <w:vAlign w:val="center"/>
          </w:tcPr>
          <w:p w14:paraId="4C9183E8" w14:textId="77777777" w:rsidR="007B3093" w:rsidRDefault="00000000">
            <w:pPr>
              <w:spacing w:after="0" w:line="240" w:lineRule="auto"/>
              <w:jc w:val="center"/>
              <w:rPr>
                <w:rFonts w:ascii="Calibri" w:eastAsia="Times New Roman" w:hAnsi="Calibri" w:cs="Times New Roman"/>
                <w:b/>
                <w:color w:val="FFFFFF" w:themeColor="background1"/>
                <w:lang w:eastAsia="es-EC"/>
              </w:rPr>
            </w:pPr>
            <w:r>
              <w:rPr>
                <w:rFonts w:ascii="Calibri" w:eastAsia="Times New Roman" w:hAnsi="Calibri" w:cs="Times New Roman"/>
                <w:b/>
                <w:color w:val="FFFFFF" w:themeColor="background1"/>
                <w:lang w:eastAsia="es-EC"/>
              </w:rPr>
              <w:t>2023</w:t>
            </w:r>
          </w:p>
        </w:tc>
        <w:tc>
          <w:tcPr>
            <w:tcW w:w="587" w:type="dxa"/>
            <w:vMerge w:val="restart"/>
            <w:shd w:val="clear" w:color="auto" w:fill="1F4E79" w:themeFill="accent1" w:themeFillShade="80"/>
            <w:noWrap/>
            <w:vAlign w:val="center"/>
            <w:hideMark/>
          </w:tcPr>
          <w:p w14:paraId="057E4562" w14:textId="77777777" w:rsidR="007B3093" w:rsidRDefault="00000000">
            <w:pPr>
              <w:spacing w:after="0" w:line="240" w:lineRule="auto"/>
              <w:jc w:val="center"/>
              <w:rPr>
                <w:rFonts w:ascii="Calibri" w:eastAsia="Times New Roman" w:hAnsi="Calibri" w:cs="Times New Roman"/>
                <w:b/>
                <w:color w:val="FFFFFF" w:themeColor="background1"/>
                <w:lang w:eastAsia="es-EC"/>
              </w:rPr>
            </w:pPr>
            <w:r>
              <w:rPr>
                <w:rFonts w:ascii="Calibri" w:eastAsia="Times New Roman" w:hAnsi="Calibri" w:cs="Times New Roman"/>
                <w:b/>
                <w:color w:val="FFFFFF" w:themeColor="background1"/>
                <w:lang w:eastAsia="es-EC"/>
              </w:rPr>
              <w:t>2024</w:t>
            </w:r>
          </w:p>
        </w:tc>
      </w:tr>
      <w:tr w:rsidR="007B3093" w14:paraId="14BAD3C3" w14:textId="77777777">
        <w:trPr>
          <w:trHeight w:val="450"/>
          <w:jc w:val="center"/>
        </w:trPr>
        <w:tc>
          <w:tcPr>
            <w:tcW w:w="5423" w:type="dxa"/>
            <w:vMerge/>
            <w:shd w:val="clear" w:color="auto" w:fill="1F4E79" w:themeFill="accent1" w:themeFillShade="80"/>
            <w:vAlign w:val="center"/>
            <w:hideMark/>
          </w:tcPr>
          <w:p w14:paraId="09F4E77E" w14:textId="77777777" w:rsidR="007B3093" w:rsidRDefault="007B3093">
            <w:pPr>
              <w:spacing w:after="0" w:line="240" w:lineRule="auto"/>
              <w:rPr>
                <w:rFonts w:ascii="Calibri" w:eastAsia="Times New Roman" w:hAnsi="Calibri" w:cs="Times New Roman"/>
                <w:color w:val="000000"/>
                <w:lang w:eastAsia="es-EC"/>
              </w:rPr>
            </w:pPr>
          </w:p>
        </w:tc>
        <w:tc>
          <w:tcPr>
            <w:tcW w:w="587" w:type="dxa"/>
            <w:vMerge/>
            <w:shd w:val="clear" w:color="auto" w:fill="1F4E79" w:themeFill="accent1" w:themeFillShade="80"/>
            <w:vAlign w:val="center"/>
            <w:hideMark/>
          </w:tcPr>
          <w:p w14:paraId="13617935" w14:textId="77777777" w:rsidR="007B3093" w:rsidRDefault="007B3093">
            <w:pPr>
              <w:spacing w:after="0" w:line="240" w:lineRule="auto"/>
              <w:rPr>
                <w:rFonts w:ascii="Calibri" w:eastAsia="Times New Roman" w:hAnsi="Calibri" w:cs="Times New Roman"/>
                <w:color w:val="000000"/>
                <w:lang w:eastAsia="es-EC"/>
              </w:rPr>
            </w:pPr>
          </w:p>
        </w:tc>
        <w:tc>
          <w:tcPr>
            <w:tcW w:w="587" w:type="dxa"/>
            <w:vMerge/>
            <w:shd w:val="clear" w:color="auto" w:fill="1F4E79" w:themeFill="accent1" w:themeFillShade="80"/>
            <w:vAlign w:val="center"/>
            <w:hideMark/>
          </w:tcPr>
          <w:p w14:paraId="1D73B515" w14:textId="77777777" w:rsidR="007B3093" w:rsidRDefault="007B3093">
            <w:pPr>
              <w:spacing w:after="0" w:line="240" w:lineRule="auto"/>
              <w:rPr>
                <w:rFonts w:ascii="Calibri" w:eastAsia="Times New Roman" w:hAnsi="Calibri" w:cs="Times New Roman"/>
                <w:color w:val="000000"/>
                <w:lang w:eastAsia="es-EC"/>
              </w:rPr>
            </w:pPr>
          </w:p>
        </w:tc>
        <w:tc>
          <w:tcPr>
            <w:tcW w:w="587" w:type="dxa"/>
            <w:vMerge/>
            <w:shd w:val="clear" w:color="auto" w:fill="1F4E79" w:themeFill="accent1" w:themeFillShade="80"/>
            <w:vAlign w:val="center"/>
            <w:hideMark/>
          </w:tcPr>
          <w:p w14:paraId="7AF69D66" w14:textId="77777777" w:rsidR="007B3093" w:rsidRDefault="007B3093">
            <w:pPr>
              <w:spacing w:after="0" w:line="240" w:lineRule="auto"/>
              <w:rPr>
                <w:rFonts w:ascii="Calibri" w:eastAsia="Times New Roman" w:hAnsi="Calibri" w:cs="Times New Roman"/>
                <w:color w:val="000000"/>
                <w:lang w:eastAsia="es-EC"/>
              </w:rPr>
            </w:pPr>
          </w:p>
        </w:tc>
        <w:tc>
          <w:tcPr>
            <w:tcW w:w="587" w:type="dxa"/>
            <w:vMerge/>
            <w:shd w:val="clear" w:color="auto" w:fill="1F4E79" w:themeFill="accent1" w:themeFillShade="80"/>
            <w:vAlign w:val="center"/>
            <w:hideMark/>
          </w:tcPr>
          <w:p w14:paraId="620149CA" w14:textId="77777777" w:rsidR="007B3093" w:rsidRDefault="007B3093">
            <w:pPr>
              <w:spacing w:after="0" w:line="240" w:lineRule="auto"/>
              <w:rPr>
                <w:rFonts w:ascii="Calibri" w:eastAsia="Times New Roman" w:hAnsi="Calibri" w:cs="Times New Roman"/>
                <w:color w:val="000000"/>
                <w:lang w:eastAsia="es-EC"/>
              </w:rPr>
            </w:pPr>
          </w:p>
        </w:tc>
        <w:tc>
          <w:tcPr>
            <w:tcW w:w="587" w:type="dxa"/>
            <w:vMerge/>
            <w:shd w:val="clear" w:color="auto" w:fill="1F4E79" w:themeFill="accent1" w:themeFillShade="80"/>
            <w:vAlign w:val="center"/>
          </w:tcPr>
          <w:p w14:paraId="6678AE69" w14:textId="77777777" w:rsidR="007B3093" w:rsidRDefault="007B3093">
            <w:pPr>
              <w:spacing w:after="0" w:line="240" w:lineRule="auto"/>
              <w:rPr>
                <w:rFonts w:ascii="Calibri" w:eastAsia="Times New Roman" w:hAnsi="Calibri" w:cs="Times New Roman"/>
                <w:color w:val="000000"/>
                <w:lang w:eastAsia="es-EC"/>
              </w:rPr>
            </w:pPr>
          </w:p>
        </w:tc>
        <w:tc>
          <w:tcPr>
            <w:tcW w:w="587" w:type="dxa"/>
            <w:vMerge/>
            <w:shd w:val="clear" w:color="auto" w:fill="1F4E79" w:themeFill="accent1" w:themeFillShade="80"/>
            <w:vAlign w:val="center"/>
            <w:hideMark/>
          </w:tcPr>
          <w:p w14:paraId="3EC7DECA" w14:textId="77777777" w:rsidR="007B3093" w:rsidRDefault="007B3093">
            <w:pPr>
              <w:spacing w:after="0" w:line="240" w:lineRule="auto"/>
              <w:rPr>
                <w:rFonts w:ascii="Calibri" w:eastAsia="Times New Roman" w:hAnsi="Calibri" w:cs="Times New Roman"/>
                <w:color w:val="000000"/>
                <w:lang w:eastAsia="es-EC"/>
              </w:rPr>
            </w:pPr>
          </w:p>
        </w:tc>
      </w:tr>
      <w:tr w:rsidR="007B3093" w14:paraId="7C200A0C" w14:textId="77777777">
        <w:trPr>
          <w:trHeight w:val="315"/>
          <w:jc w:val="center"/>
        </w:trPr>
        <w:tc>
          <w:tcPr>
            <w:tcW w:w="5423" w:type="dxa"/>
            <w:shd w:val="clear" w:color="auto" w:fill="auto"/>
            <w:noWrap/>
            <w:vAlign w:val="bottom"/>
            <w:hideMark/>
          </w:tcPr>
          <w:p w14:paraId="5E5A944A" w14:textId="77777777" w:rsidR="007B3093" w:rsidRDefault="00000000">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 de incremento en causas resueltas a nivel nacional</w:t>
            </w:r>
          </w:p>
        </w:tc>
        <w:tc>
          <w:tcPr>
            <w:tcW w:w="587" w:type="dxa"/>
            <w:shd w:val="clear" w:color="auto" w:fill="auto"/>
            <w:noWrap/>
            <w:vAlign w:val="center"/>
            <w:hideMark/>
          </w:tcPr>
          <w:p w14:paraId="53F7BA6A"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10%</w:t>
            </w:r>
          </w:p>
        </w:tc>
        <w:tc>
          <w:tcPr>
            <w:tcW w:w="587" w:type="dxa"/>
            <w:shd w:val="clear" w:color="auto" w:fill="auto"/>
            <w:noWrap/>
            <w:vAlign w:val="center"/>
            <w:hideMark/>
          </w:tcPr>
          <w:p w14:paraId="61B7650C"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20%</w:t>
            </w:r>
          </w:p>
        </w:tc>
        <w:tc>
          <w:tcPr>
            <w:tcW w:w="587" w:type="dxa"/>
            <w:shd w:val="clear" w:color="auto" w:fill="auto"/>
            <w:noWrap/>
            <w:vAlign w:val="center"/>
            <w:hideMark/>
          </w:tcPr>
          <w:p w14:paraId="53AC76D1"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30%</w:t>
            </w:r>
          </w:p>
        </w:tc>
        <w:tc>
          <w:tcPr>
            <w:tcW w:w="587" w:type="dxa"/>
            <w:shd w:val="clear" w:color="auto" w:fill="auto"/>
            <w:noWrap/>
            <w:vAlign w:val="center"/>
            <w:hideMark/>
          </w:tcPr>
          <w:p w14:paraId="1A571AA0"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40%</w:t>
            </w:r>
          </w:p>
        </w:tc>
        <w:tc>
          <w:tcPr>
            <w:tcW w:w="587" w:type="dxa"/>
            <w:vAlign w:val="center"/>
          </w:tcPr>
          <w:p w14:paraId="1AA538C7"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50%</w:t>
            </w:r>
          </w:p>
        </w:tc>
        <w:tc>
          <w:tcPr>
            <w:tcW w:w="587" w:type="dxa"/>
            <w:shd w:val="clear" w:color="auto" w:fill="auto"/>
            <w:noWrap/>
            <w:vAlign w:val="center"/>
            <w:hideMark/>
          </w:tcPr>
          <w:p w14:paraId="4F7FFD2A"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50%</w:t>
            </w:r>
          </w:p>
        </w:tc>
      </w:tr>
      <w:tr w:rsidR="007B3093" w14:paraId="1C9783F9" w14:textId="77777777">
        <w:trPr>
          <w:trHeight w:val="315"/>
          <w:jc w:val="center"/>
        </w:trPr>
        <w:tc>
          <w:tcPr>
            <w:tcW w:w="5423" w:type="dxa"/>
            <w:shd w:val="clear" w:color="auto" w:fill="auto"/>
            <w:noWrap/>
            <w:vAlign w:val="bottom"/>
            <w:hideMark/>
          </w:tcPr>
          <w:p w14:paraId="742E6DBC" w14:textId="77777777" w:rsidR="007B3093" w:rsidRDefault="00000000">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 de incremento en causas resueltas a nivel internacional</w:t>
            </w:r>
          </w:p>
        </w:tc>
        <w:tc>
          <w:tcPr>
            <w:tcW w:w="587" w:type="dxa"/>
            <w:shd w:val="clear" w:color="auto" w:fill="auto"/>
            <w:noWrap/>
            <w:vAlign w:val="center"/>
            <w:hideMark/>
          </w:tcPr>
          <w:p w14:paraId="3434BD68"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10%</w:t>
            </w:r>
          </w:p>
        </w:tc>
        <w:tc>
          <w:tcPr>
            <w:tcW w:w="587" w:type="dxa"/>
            <w:shd w:val="clear" w:color="auto" w:fill="auto"/>
            <w:noWrap/>
            <w:vAlign w:val="center"/>
            <w:hideMark/>
          </w:tcPr>
          <w:p w14:paraId="66531F36"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20%</w:t>
            </w:r>
          </w:p>
        </w:tc>
        <w:tc>
          <w:tcPr>
            <w:tcW w:w="587" w:type="dxa"/>
            <w:shd w:val="clear" w:color="auto" w:fill="auto"/>
            <w:noWrap/>
            <w:vAlign w:val="center"/>
            <w:hideMark/>
          </w:tcPr>
          <w:p w14:paraId="1DE1520E"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30%</w:t>
            </w:r>
          </w:p>
        </w:tc>
        <w:tc>
          <w:tcPr>
            <w:tcW w:w="587" w:type="dxa"/>
            <w:shd w:val="clear" w:color="auto" w:fill="auto"/>
            <w:noWrap/>
            <w:vAlign w:val="center"/>
            <w:hideMark/>
          </w:tcPr>
          <w:p w14:paraId="6815AB17"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40%</w:t>
            </w:r>
          </w:p>
        </w:tc>
        <w:tc>
          <w:tcPr>
            <w:tcW w:w="587" w:type="dxa"/>
            <w:vAlign w:val="center"/>
          </w:tcPr>
          <w:p w14:paraId="2251808D"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50%</w:t>
            </w:r>
          </w:p>
        </w:tc>
        <w:tc>
          <w:tcPr>
            <w:tcW w:w="587" w:type="dxa"/>
            <w:shd w:val="clear" w:color="auto" w:fill="auto"/>
            <w:noWrap/>
            <w:vAlign w:val="center"/>
            <w:hideMark/>
          </w:tcPr>
          <w:p w14:paraId="2BBD69FB"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50%</w:t>
            </w:r>
          </w:p>
        </w:tc>
      </w:tr>
      <w:tr w:rsidR="007B3093" w14:paraId="47468656" w14:textId="77777777">
        <w:trPr>
          <w:trHeight w:val="315"/>
          <w:jc w:val="center"/>
        </w:trPr>
        <w:tc>
          <w:tcPr>
            <w:tcW w:w="5423" w:type="dxa"/>
            <w:shd w:val="clear" w:color="auto" w:fill="auto"/>
            <w:noWrap/>
            <w:vAlign w:val="bottom"/>
            <w:hideMark/>
          </w:tcPr>
          <w:p w14:paraId="7BAEAD5D" w14:textId="77777777" w:rsidR="007B3093" w:rsidRDefault="00000000">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 de incremento en causas resueltas de derechos humanos</w:t>
            </w:r>
          </w:p>
        </w:tc>
        <w:tc>
          <w:tcPr>
            <w:tcW w:w="587" w:type="dxa"/>
            <w:shd w:val="clear" w:color="auto" w:fill="auto"/>
            <w:noWrap/>
            <w:vAlign w:val="center"/>
            <w:hideMark/>
          </w:tcPr>
          <w:p w14:paraId="773DB4AE"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10%</w:t>
            </w:r>
          </w:p>
        </w:tc>
        <w:tc>
          <w:tcPr>
            <w:tcW w:w="587" w:type="dxa"/>
            <w:shd w:val="clear" w:color="auto" w:fill="auto"/>
            <w:noWrap/>
            <w:vAlign w:val="center"/>
            <w:hideMark/>
          </w:tcPr>
          <w:p w14:paraId="154966A2"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20%</w:t>
            </w:r>
          </w:p>
        </w:tc>
        <w:tc>
          <w:tcPr>
            <w:tcW w:w="587" w:type="dxa"/>
            <w:shd w:val="clear" w:color="auto" w:fill="auto"/>
            <w:noWrap/>
            <w:vAlign w:val="center"/>
            <w:hideMark/>
          </w:tcPr>
          <w:p w14:paraId="3BF30C39"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30%</w:t>
            </w:r>
          </w:p>
        </w:tc>
        <w:tc>
          <w:tcPr>
            <w:tcW w:w="587" w:type="dxa"/>
            <w:shd w:val="clear" w:color="auto" w:fill="auto"/>
            <w:noWrap/>
            <w:vAlign w:val="center"/>
            <w:hideMark/>
          </w:tcPr>
          <w:p w14:paraId="7628C976"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40%</w:t>
            </w:r>
          </w:p>
        </w:tc>
        <w:tc>
          <w:tcPr>
            <w:tcW w:w="587" w:type="dxa"/>
            <w:vAlign w:val="center"/>
          </w:tcPr>
          <w:p w14:paraId="15C59D25"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50%</w:t>
            </w:r>
          </w:p>
        </w:tc>
        <w:tc>
          <w:tcPr>
            <w:tcW w:w="587" w:type="dxa"/>
            <w:shd w:val="clear" w:color="auto" w:fill="auto"/>
            <w:noWrap/>
            <w:vAlign w:val="center"/>
            <w:hideMark/>
          </w:tcPr>
          <w:p w14:paraId="592A4FDC"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50%</w:t>
            </w:r>
          </w:p>
        </w:tc>
      </w:tr>
      <w:tr w:rsidR="007B3093" w14:paraId="04E59486" w14:textId="77777777">
        <w:trPr>
          <w:trHeight w:val="315"/>
          <w:jc w:val="center"/>
        </w:trPr>
        <w:tc>
          <w:tcPr>
            <w:tcW w:w="5423" w:type="dxa"/>
            <w:shd w:val="clear" w:color="auto" w:fill="auto"/>
            <w:noWrap/>
            <w:vAlign w:val="bottom"/>
            <w:hideMark/>
          </w:tcPr>
          <w:p w14:paraId="779C5BCB" w14:textId="77777777" w:rsidR="007B3093" w:rsidRDefault="00000000">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 de incremento de procesos de mediación finalizados</w:t>
            </w:r>
          </w:p>
        </w:tc>
        <w:tc>
          <w:tcPr>
            <w:tcW w:w="587" w:type="dxa"/>
            <w:shd w:val="clear" w:color="auto" w:fill="auto"/>
            <w:noWrap/>
            <w:vAlign w:val="center"/>
            <w:hideMark/>
          </w:tcPr>
          <w:p w14:paraId="447A70AF"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5%</w:t>
            </w:r>
          </w:p>
        </w:tc>
        <w:tc>
          <w:tcPr>
            <w:tcW w:w="587" w:type="dxa"/>
            <w:shd w:val="clear" w:color="auto" w:fill="auto"/>
            <w:noWrap/>
            <w:vAlign w:val="center"/>
            <w:hideMark/>
          </w:tcPr>
          <w:p w14:paraId="2841BFD2"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10%</w:t>
            </w:r>
          </w:p>
        </w:tc>
        <w:tc>
          <w:tcPr>
            <w:tcW w:w="587" w:type="dxa"/>
            <w:shd w:val="clear" w:color="auto" w:fill="auto"/>
            <w:noWrap/>
            <w:vAlign w:val="center"/>
            <w:hideMark/>
          </w:tcPr>
          <w:p w14:paraId="7D689162"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15%</w:t>
            </w:r>
          </w:p>
        </w:tc>
        <w:tc>
          <w:tcPr>
            <w:tcW w:w="587" w:type="dxa"/>
            <w:shd w:val="clear" w:color="auto" w:fill="auto"/>
            <w:noWrap/>
            <w:vAlign w:val="center"/>
            <w:hideMark/>
          </w:tcPr>
          <w:p w14:paraId="2F9E625A"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20%</w:t>
            </w:r>
          </w:p>
        </w:tc>
        <w:tc>
          <w:tcPr>
            <w:tcW w:w="587" w:type="dxa"/>
            <w:vAlign w:val="center"/>
          </w:tcPr>
          <w:p w14:paraId="6A2FD303"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30%</w:t>
            </w:r>
          </w:p>
        </w:tc>
        <w:tc>
          <w:tcPr>
            <w:tcW w:w="587" w:type="dxa"/>
            <w:shd w:val="clear" w:color="auto" w:fill="auto"/>
            <w:noWrap/>
            <w:vAlign w:val="center"/>
            <w:hideMark/>
          </w:tcPr>
          <w:p w14:paraId="47BEFC65"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30%</w:t>
            </w:r>
          </w:p>
        </w:tc>
      </w:tr>
      <w:tr w:rsidR="007B3093" w14:paraId="1F5C0442" w14:textId="77777777">
        <w:trPr>
          <w:trHeight w:val="315"/>
          <w:jc w:val="center"/>
        </w:trPr>
        <w:tc>
          <w:tcPr>
            <w:tcW w:w="5423" w:type="dxa"/>
            <w:shd w:val="clear" w:color="auto" w:fill="auto"/>
            <w:noWrap/>
            <w:vAlign w:val="bottom"/>
            <w:hideMark/>
          </w:tcPr>
          <w:p w14:paraId="767F8662" w14:textId="77777777" w:rsidR="007B3093" w:rsidRDefault="00000000">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 de incremento de consultas atendidas con pronunciamiento y pronunciamiento previo</w:t>
            </w:r>
          </w:p>
        </w:tc>
        <w:tc>
          <w:tcPr>
            <w:tcW w:w="587" w:type="dxa"/>
            <w:shd w:val="clear" w:color="auto" w:fill="auto"/>
            <w:noWrap/>
            <w:vAlign w:val="center"/>
            <w:hideMark/>
          </w:tcPr>
          <w:p w14:paraId="1553562A"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5%</w:t>
            </w:r>
          </w:p>
        </w:tc>
        <w:tc>
          <w:tcPr>
            <w:tcW w:w="587" w:type="dxa"/>
            <w:shd w:val="clear" w:color="auto" w:fill="auto"/>
            <w:noWrap/>
            <w:vAlign w:val="center"/>
            <w:hideMark/>
          </w:tcPr>
          <w:p w14:paraId="391D46C6"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10%</w:t>
            </w:r>
          </w:p>
        </w:tc>
        <w:tc>
          <w:tcPr>
            <w:tcW w:w="587" w:type="dxa"/>
            <w:shd w:val="clear" w:color="auto" w:fill="auto"/>
            <w:noWrap/>
            <w:vAlign w:val="center"/>
            <w:hideMark/>
          </w:tcPr>
          <w:p w14:paraId="3330F8A4"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15%</w:t>
            </w:r>
          </w:p>
        </w:tc>
        <w:tc>
          <w:tcPr>
            <w:tcW w:w="587" w:type="dxa"/>
            <w:shd w:val="clear" w:color="auto" w:fill="auto"/>
            <w:noWrap/>
            <w:vAlign w:val="center"/>
            <w:hideMark/>
          </w:tcPr>
          <w:p w14:paraId="78BF75D4"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20%</w:t>
            </w:r>
          </w:p>
        </w:tc>
        <w:tc>
          <w:tcPr>
            <w:tcW w:w="587" w:type="dxa"/>
            <w:vAlign w:val="center"/>
          </w:tcPr>
          <w:p w14:paraId="64184671"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30%</w:t>
            </w:r>
          </w:p>
        </w:tc>
        <w:tc>
          <w:tcPr>
            <w:tcW w:w="587" w:type="dxa"/>
            <w:shd w:val="clear" w:color="auto" w:fill="auto"/>
            <w:noWrap/>
            <w:vAlign w:val="center"/>
            <w:hideMark/>
          </w:tcPr>
          <w:p w14:paraId="125343C8"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30%</w:t>
            </w:r>
          </w:p>
        </w:tc>
      </w:tr>
      <w:tr w:rsidR="007B3093" w14:paraId="6BD0E3D9" w14:textId="77777777">
        <w:trPr>
          <w:trHeight w:val="315"/>
          <w:jc w:val="center"/>
        </w:trPr>
        <w:tc>
          <w:tcPr>
            <w:tcW w:w="5423" w:type="dxa"/>
            <w:shd w:val="clear" w:color="auto" w:fill="auto"/>
            <w:noWrap/>
            <w:vAlign w:val="bottom"/>
            <w:hideMark/>
          </w:tcPr>
          <w:p w14:paraId="281C1F16" w14:textId="77777777" w:rsidR="007B3093" w:rsidRDefault="00000000">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 de incremento de informes de control entregados</w:t>
            </w:r>
          </w:p>
        </w:tc>
        <w:tc>
          <w:tcPr>
            <w:tcW w:w="587" w:type="dxa"/>
            <w:shd w:val="clear" w:color="auto" w:fill="auto"/>
            <w:noWrap/>
            <w:vAlign w:val="center"/>
            <w:hideMark/>
          </w:tcPr>
          <w:p w14:paraId="59E150EE"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5%</w:t>
            </w:r>
          </w:p>
        </w:tc>
        <w:tc>
          <w:tcPr>
            <w:tcW w:w="587" w:type="dxa"/>
            <w:shd w:val="clear" w:color="auto" w:fill="auto"/>
            <w:noWrap/>
            <w:vAlign w:val="center"/>
            <w:hideMark/>
          </w:tcPr>
          <w:p w14:paraId="33EA8E4F"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10%</w:t>
            </w:r>
          </w:p>
        </w:tc>
        <w:tc>
          <w:tcPr>
            <w:tcW w:w="587" w:type="dxa"/>
            <w:shd w:val="clear" w:color="auto" w:fill="auto"/>
            <w:noWrap/>
            <w:vAlign w:val="center"/>
            <w:hideMark/>
          </w:tcPr>
          <w:p w14:paraId="486229FE"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15%</w:t>
            </w:r>
          </w:p>
        </w:tc>
        <w:tc>
          <w:tcPr>
            <w:tcW w:w="587" w:type="dxa"/>
            <w:shd w:val="clear" w:color="auto" w:fill="auto"/>
            <w:noWrap/>
            <w:vAlign w:val="center"/>
            <w:hideMark/>
          </w:tcPr>
          <w:p w14:paraId="78F1BF13"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20%</w:t>
            </w:r>
          </w:p>
        </w:tc>
        <w:tc>
          <w:tcPr>
            <w:tcW w:w="587" w:type="dxa"/>
            <w:vAlign w:val="center"/>
          </w:tcPr>
          <w:p w14:paraId="6D3C38E1"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30%</w:t>
            </w:r>
          </w:p>
        </w:tc>
        <w:tc>
          <w:tcPr>
            <w:tcW w:w="587" w:type="dxa"/>
            <w:shd w:val="clear" w:color="auto" w:fill="auto"/>
            <w:noWrap/>
            <w:vAlign w:val="center"/>
            <w:hideMark/>
          </w:tcPr>
          <w:p w14:paraId="3A5F0F0B" w14:textId="77777777" w:rsidR="007B3093" w:rsidRDefault="00000000">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30%</w:t>
            </w:r>
          </w:p>
        </w:tc>
      </w:tr>
    </w:tbl>
    <w:p w14:paraId="47C1E747" w14:textId="77777777" w:rsidR="007B3093" w:rsidRDefault="007B3093">
      <w:pPr>
        <w:pStyle w:val="Sinespaciado"/>
      </w:pPr>
    </w:p>
    <w:p w14:paraId="74D27AE9" w14:textId="77777777" w:rsidR="007B3093" w:rsidRDefault="00000000">
      <w:pPr>
        <w:pStyle w:val="Sinespaciado"/>
      </w:pPr>
      <w:r>
        <w:t>Con los porcentajes de incremento antes indicados, la oferta proyectada es la siguiente:</w:t>
      </w:r>
    </w:p>
    <w:p w14:paraId="49C240F8" w14:textId="77777777" w:rsidR="007B3093" w:rsidRDefault="007B3093">
      <w:pPr>
        <w:pStyle w:val="Sinespaciado"/>
      </w:pPr>
    </w:p>
    <w:p w14:paraId="3C433B8B" w14:textId="77777777" w:rsidR="007B3093" w:rsidRDefault="00000000">
      <w:pPr>
        <w:autoSpaceDE w:val="0"/>
        <w:autoSpaceDN w:val="0"/>
        <w:adjustRightInd w:val="0"/>
        <w:spacing w:after="0" w:line="360" w:lineRule="auto"/>
        <w:ind w:left="-502" w:right="-1"/>
        <w:jc w:val="center"/>
        <w:rPr>
          <w:rFonts w:cstheme="minorHAnsi"/>
        </w:rPr>
      </w:pPr>
      <w:r>
        <w:rPr>
          <w:rFonts w:cstheme="minorHAnsi"/>
          <w:b/>
        </w:rPr>
        <w:t>Tabla 7: Oferta Proyectada con Proyecto de Fortalecimiento</w:t>
      </w:r>
    </w:p>
    <w:tbl>
      <w:tblPr>
        <w:tblW w:w="4999" w:type="pct"/>
        <w:jc w:val="center"/>
        <w:tblCellMar>
          <w:left w:w="70" w:type="dxa"/>
          <w:right w:w="70" w:type="dxa"/>
        </w:tblCellMar>
        <w:tblLook w:val="04A0" w:firstRow="1" w:lastRow="0" w:firstColumn="1" w:lastColumn="0" w:noHBand="0" w:noVBand="1"/>
      </w:tblPr>
      <w:tblGrid>
        <w:gridCol w:w="2386"/>
        <w:gridCol w:w="929"/>
        <w:gridCol w:w="881"/>
        <w:gridCol w:w="832"/>
        <w:gridCol w:w="927"/>
        <w:gridCol w:w="881"/>
        <w:gridCol w:w="831"/>
        <w:gridCol w:w="825"/>
      </w:tblGrid>
      <w:tr w:rsidR="007B3093" w14:paraId="3422F644" w14:textId="77777777">
        <w:trPr>
          <w:trHeight w:val="300"/>
          <w:jc w:val="center"/>
        </w:trPr>
        <w:tc>
          <w:tcPr>
            <w:tcW w:w="1404"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A5007FA" w14:textId="77777777" w:rsidR="007B3093" w:rsidRDefault="00000000">
            <w:pPr>
              <w:spacing w:after="0" w:line="240" w:lineRule="auto"/>
              <w:jc w:val="center"/>
              <w:rPr>
                <w:rFonts w:ascii="Calibri" w:eastAsia="Times New Roman" w:hAnsi="Calibri" w:cs="Times New Roman"/>
                <w:b/>
                <w:color w:val="FFFFFF" w:themeColor="background1"/>
                <w:sz w:val="20"/>
                <w:szCs w:val="20"/>
                <w:lang w:eastAsia="es-EC"/>
              </w:rPr>
            </w:pPr>
            <w:r>
              <w:rPr>
                <w:rFonts w:ascii="Calibri" w:eastAsia="Times New Roman" w:hAnsi="Calibri" w:cs="Times New Roman"/>
                <w:b/>
                <w:color w:val="FFFFFF" w:themeColor="background1"/>
                <w:sz w:val="20"/>
                <w:szCs w:val="20"/>
                <w:lang w:eastAsia="es-EC"/>
              </w:rPr>
              <w:t>AREAS</w:t>
            </w:r>
          </w:p>
        </w:tc>
        <w:tc>
          <w:tcPr>
            <w:tcW w:w="547" w:type="pct"/>
            <w:tcBorders>
              <w:top w:val="single" w:sz="4" w:space="0" w:color="auto"/>
              <w:left w:val="nil"/>
              <w:bottom w:val="single" w:sz="4" w:space="0" w:color="auto"/>
              <w:right w:val="single" w:sz="4" w:space="0" w:color="auto"/>
            </w:tcBorders>
            <w:shd w:val="clear" w:color="auto" w:fill="002060"/>
            <w:noWrap/>
            <w:vAlign w:val="center"/>
            <w:hideMark/>
          </w:tcPr>
          <w:p w14:paraId="6B4F02C5" w14:textId="77777777" w:rsidR="007B3093" w:rsidRDefault="00000000">
            <w:pPr>
              <w:spacing w:after="0" w:line="240" w:lineRule="auto"/>
              <w:jc w:val="center"/>
              <w:rPr>
                <w:rFonts w:ascii="Calibri" w:eastAsia="Times New Roman" w:hAnsi="Calibri" w:cs="Times New Roman"/>
                <w:b/>
                <w:color w:val="FFFFFF" w:themeColor="background1"/>
                <w:sz w:val="20"/>
                <w:szCs w:val="20"/>
                <w:lang w:eastAsia="es-EC"/>
              </w:rPr>
            </w:pPr>
            <w:r>
              <w:rPr>
                <w:rFonts w:ascii="Calibri" w:eastAsia="Times New Roman" w:hAnsi="Calibri" w:cs="Times New Roman"/>
                <w:b/>
                <w:color w:val="FFFFFF" w:themeColor="background1"/>
                <w:sz w:val="20"/>
                <w:szCs w:val="20"/>
                <w:lang w:eastAsia="es-EC"/>
              </w:rPr>
              <w:t>2018</w:t>
            </w:r>
          </w:p>
        </w:tc>
        <w:tc>
          <w:tcPr>
            <w:tcW w:w="519" w:type="pct"/>
            <w:tcBorders>
              <w:top w:val="single" w:sz="4" w:space="0" w:color="auto"/>
              <w:left w:val="nil"/>
              <w:bottom w:val="single" w:sz="4" w:space="0" w:color="auto"/>
              <w:right w:val="single" w:sz="4" w:space="0" w:color="auto"/>
            </w:tcBorders>
            <w:shd w:val="clear" w:color="auto" w:fill="002060"/>
            <w:noWrap/>
            <w:vAlign w:val="center"/>
            <w:hideMark/>
          </w:tcPr>
          <w:p w14:paraId="512A30A2" w14:textId="77777777" w:rsidR="007B3093" w:rsidRDefault="00000000">
            <w:pPr>
              <w:spacing w:after="0" w:line="240" w:lineRule="auto"/>
              <w:jc w:val="center"/>
              <w:rPr>
                <w:rFonts w:ascii="Calibri" w:eastAsia="Times New Roman" w:hAnsi="Calibri" w:cs="Times New Roman"/>
                <w:b/>
                <w:color w:val="FFFFFF" w:themeColor="background1"/>
                <w:sz w:val="20"/>
                <w:szCs w:val="20"/>
                <w:lang w:eastAsia="es-EC"/>
              </w:rPr>
            </w:pPr>
            <w:r>
              <w:rPr>
                <w:rFonts w:ascii="Calibri" w:eastAsia="Times New Roman" w:hAnsi="Calibri" w:cs="Times New Roman"/>
                <w:b/>
                <w:color w:val="FFFFFF" w:themeColor="background1"/>
                <w:sz w:val="20"/>
                <w:szCs w:val="20"/>
                <w:lang w:eastAsia="es-EC"/>
              </w:rPr>
              <w:t>2019</w:t>
            </w:r>
          </w:p>
        </w:tc>
        <w:tc>
          <w:tcPr>
            <w:tcW w:w="490" w:type="pct"/>
            <w:tcBorders>
              <w:top w:val="single" w:sz="4" w:space="0" w:color="auto"/>
              <w:left w:val="nil"/>
              <w:bottom w:val="single" w:sz="4" w:space="0" w:color="auto"/>
              <w:right w:val="single" w:sz="4" w:space="0" w:color="auto"/>
            </w:tcBorders>
            <w:shd w:val="clear" w:color="auto" w:fill="002060"/>
            <w:noWrap/>
            <w:vAlign w:val="center"/>
            <w:hideMark/>
          </w:tcPr>
          <w:p w14:paraId="5A989470" w14:textId="77777777" w:rsidR="007B3093" w:rsidRDefault="00000000">
            <w:pPr>
              <w:spacing w:after="0" w:line="240" w:lineRule="auto"/>
              <w:jc w:val="center"/>
              <w:rPr>
                <w:rFonts w:ascii="Calibri" w:eastAsia="Times New Roman" w:hAnsi="Calibri" w:cs="Times New Roman"/>
                <w:b/>
                <w:color w:val="FFFFFF" w:themeColor="background1"/>
                <w:sz w:val="20"/>
                <w:szCs w:val="20"/>
                <w:lang w:eastAsia="es-EC"/>
              </w:rPr>
            </w:pPr>
            <w:r>
              <w:rPr>
                <w:rFonts w:ascii="Calibri" w:eastAsia="Times New Roman" w:hAnsi="Calibri" w:cs="Times New Roman"/>
                <w:b/>
                <w:color w:val="FFFFFF" w:themeColor="background1"/>
                <w:sz w:val="20"/>
                <w:szCs w:val="20"/>
                <w:lang w:eastAsia="es-EC"/>
              </w:rPr>
              <w:t>2020</w:t>
            </w:r>
          </w:p>
        </w:tc>
        <w:tc>
          <w:tcPr>
            <w:tcW w:w="546" w:type="pct"/>
            <w:tcBorders>
              <w:top w:val="single" w:sz="4" w:space="0" w:color="auto"/>
              <w:left w:val="nil"/>
              <w:bottom w:val="single" w:sz="4" w:space="0" w:color="auto"/>
              <w:right w:val="single" w:sz="4" w:space="0" w:color="auto"/>
            </w:tcBorders>
            <w:shd w:val="clear" w:color="auto" w:fill="002060"/>
            <w:noWrap/>
            <w:vAlign w:val="center"/>
            <w:hideMark/>
          </w:tcPr>
          <w:p w14:paraId="2A836182" w14:textId="77777777" w:rsidR="007B3093" w:rsidRDefault="00000000">
            <w:pPr>
              <w:spacing w:after="0" w:line="240" w:lineRule="auto"/>
              <w:jc w:val="center"/>
              <w:rPr>
                <w:rFonts w:ascii="Calibri" w:eastAsia="Times New Roman" w:hAnsi="Calibri" w:cs="Times New Roman"/>
                <w:b/>
                <w:color w:val="FFFFFF" w:themeColor="background1"/>
                <w:sz w:val="20"/>
                <w:szCs w:val="20"/>
                <w:lang w:eastAsia="es-EC"/>
              </w:rPr>
            </w:pPr>
            <w:r>
              <w:rPr>
                <w:rFonts w:ascii="Calibri" w:eastAsia="Times New Roman" w:hAnsi="Calibri" w:cs="Times New Roman"/>
                <w:b/>
                <w:color w:val="FFFFFF" w:themeColor="background1"/>
                <w:sz w:val="20"/>
                <w:szCs w:val="20"/>
                <w:lang w:eastAsia="es-EC"/>
              </w:rPr>
              <w:t>2021</w:t>
            </w:r>
          </w:p>
        </w:tc>
        <w:tc>
          <w:tcPr>
            <w:tcW w:w="519" w:type="pct"/>
            <w:tcBorders>
              <w:top w:val="single" w:sz="4" w:space="0" w:color="auto"/>
              <w:left w:val="nil"/>
              <w:bottom w:val="single" w:sz="4" w:space="0" w:color="auto"/>
              <w:right w:val="single" w:sz="4" w:space="0" w:color="auto"/>
            </w:tcBorders>
            <w:shd w:val="clear" w:color="auto" w:fill="002060"/>
            <w:noWrap/>
            <w:vAlign w:val="center"/>
            <w:hideMark/>
          </w:tcPr>
          <w:p w14:paraId="0D408362" w14:textId="77777777" w:rsidR="007B3093" w:rsidRDefault="00000000">
            <w:pPr>
              <w:spacing w:after="0" w:line="240" w:lineRule="auto"/>
              <w:jc w:val="center"/>
              <w:rPr>
                <w:rFonts w:ascii="Calibri" w:eastAsia="Times New Roman" w:hAnsi="Calibri" w:cs="Times New Roman"/>
                <w:b/>
                <w:color w:val="FFFFFF" w:themeColor="background1"/>
                <w:sz w:val="20"/>
                <w:szCs w:val="20"/>
                <w:lang w:eastAsia="es-EC"/>
              </w:rPr>
            </w:pPr>
            <w:r>
              <w:rPr>
                <w:rFonts w:ascii="Calibri" w:eastAsia="Times New Roman" w:hAnsi="Calibri" w:cs="Times New Roman"/>
                <w:b/>
                <w:color w:val="FFFFFF" w:themeColor="background1"/>
                <w:sz w:val="20"/>
                <w:szCs w:val="20"/>
                <w:lang w:eastAsia="es-EC"/>
              </w:rPr>
              <w:t>2022</w:t>
            </w:r>
          </w:p>
        </w:tc>
        <w:tc>
          <w:tcPr>
            <w:tcW w:w="489" w:type="pct"/>
            <w:tcBorders>
              <w:top w:val="single" w:sz="4" w:space="0" w:color="auto"/>
              <w:left w:val="nil"/>
              <w:bottom w:val="single" w:sz="4" w:space="0" w:color="auto"/>
              <w:right w:val="single" w:sz="4" w:space="0" w:color="auto"/>
            </w:tcBorders>
            <w:shd w:val="clear" w:color="auto" w:fill="002060"/>
            <w:vAlign w:val="center"/>
          </w:tcPr>
          <w:p w14:paraId="7EFD0131" w14:textId="77777777" w:rsidR="007B3093" w:rsidRDefault="00000000">
            <w:pPr>
              <w:spacing w:after="0" w:line="240" w:lineRule="auto"/>
              <w:jc w:val="center"/>
              <w:rPr>
                <w:rFonts w:ascii="Calibri" w:eastAsia="Times New Roman" w:hAnsi="Calibri" w:cs="Times New Roman"/>
                <w:b/>
                <w:color w:val="FFFFFF" w:themeColor="background1"/>
                <w:sz w:val="20"/>
                <w:szCs w:val="20"/>
                <w:lang w:eastAsia="es-EC"/>
              </w:rPr>
            </w:pPr>
            <w:r>
              <w:rPr>
                <w:rFonts w:ascii="Calibri" w:eastAsia="Times New Roman" w:hAnsi="Calibri" w:cs="Times New Roman"/>
                <w:b/>
                <w:color w:val="FFFFFF" w:themeColor="background1"/>
                <w:sz w:val="20"/>
                <w:szCs w:val="20"/>
                <w:lang w:eastAsia="es-EC"/>
              </w:rPr>
              <w:t>2023</w:t>
            </w:r>
          </w:p>
        </w:tc>
        <w:tc>
          <w:tcPr>
            <w:tcW w:w="486"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B23B6A7" w14:textId="77777777" w:rsidR="007B3093" w:rsidRDefault="00000000">
            <w:pPr>
              <w:spacing w:after="0" w:line="240" w:lineRule="auto"/>
              <w:jc w:val="center"/>
              <w:rPr>
                <w:rFonts w:ascii="Calibri" w:eastAsia="Times New Roman" w:hAnsi="Calibri" w:cs="Times New Roman"/>
                <w:b/>
                <w:color w:val="FFFFFF" w:themeColor="background1"/>
                <w:sz w:val="20"/>
                <w:szCs w:val="20"/>
                <w:lang w:eastAsia="es-EC"/>
              </w:rPr>
            </w:pPr>
            <w:r>
              <w:rPr>
                <w:rFonts w:ascii="Calibri" w:eastAsia="Times New Roman" w:hAnsi="Calibri" w:cs="Times New Roman"/>
                <w:b/>
                <w:color w:val="FFFFFF" w:themeColor="background1"/>
                <w:sz w:val="20"/>
                <w:szCs w:val="20"/>
                <w:lang w:eastAsia="es-EC"/>
              </w:rPr>
              <w:t>2024</w:t>
            </w:r>
          </w:p>
        </w:tc>
      </w:tr>
      <w:tr w:rsidR="007B3093" w14:paraId="44F5EDDB" w14:textId="77777777">
        <w:trPr>
          <w:trHeight w:val="300"/>
          <w:jc w:val="center"/>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C4E6120" w14:textId="77777777" w:rsidR="007B3093" w:rsidRDefault="00000000">
            <w:pPr>
              <w:spacing w:after="0" w:line="240" w:lineRule="auto"/>
              <w:rPr>
                <w:rFonts w:ascii="Calibri" w:eastAsia="Times New Roman" w:hAnsi="Calibri" w:cs="Times New Roman"/>
                <w:b/>
                <w:color w:val="000000"/>
                <w:sz w:val="20"/>
                <w:szCs w:val="20"/>
                <w:lang w:eastAsia="es-EC"/>
              </w:rPr>
            </w:pPr>
            <w:r>
              <w:rPr>
                <w:rFonts w:ascii="Calibri" w:eastAsia="Times New Roman" w:hAnsi="Calibri" w:cs="Times New Roman"/>
                <w:b/>
                <w:color w:val="000000"/>
                <w:sz w:val="20"/>
                <w:szCs w:val="20"/>
                <w:lang w:eastAsia="es-EC"/>
              </w:rPr>
              <w:t>Patrocinio</w:t>
            </w:r>
          </w:p>
        </w:tc>
        <w:tc>
          <w:tcPr>
            <w:tcW w:w="547" w:type="pct"/>
            <w:tcBorders>
              <w:top w:val="nil"/>
              <w:left w:val="nil"/>
              <w:bottom w:val="single" w:sz="4" w:space="0" w:color="auto"/>
              <w:right w:val="single" w:sz="4" w:space="0" w:color="auto"/>
            </w:tcBorders>
            <w:shd w:val="clear" w:color="auto" w:fill="auto"/>
            <w:noWrap/>
            <w:vAlign w:val="center"/>
            <w:hideMark/>
          </w:tcPr>
          <w:p w14:paraId="25F0DAF9" w14:textId="77777777" w:rsidR="007B3093" w:rsidRDefault="00000000">
            <w:pPr>
              <w:pStyle w:val="Sinespaciado"/>
              <w:jc w:val="right"/>
            </w:pPr>
            <w:r>
              <w:t>9.506</w:t>
            </w:r>
          </w:p>
        </w:tc>
        <w:tc>
          <w:tcPr>
            <w:tcW w:w="519" w:type="pct"/>
            <w:tcBorders>
              <w:top w:val="nil"/>
              <w:left w:val="nil"/>
              <w:bottom w:val="single" w:sz="4" w:space="0" w:color="auto"/>
              <w:right w:val="single" w:sz="4" w:space="0" w:color="auto"/>
            </w:tcBorders>
            <w:shd w:val="clear" w:color="auto" w:fill="auto"/>
            <w:noWrap/>
            <w:vAlign w:val="center"/>
            <w:hideMark/>
          </w:tcPr>
          <w:p w14:paraId="240D4DD6" w14:textId="77777777" w:rsidR="007B3093" w:rsidRDefault="00000000">
            <w:pPr>
              <w:pStyle w:val="Sinespaciado"/>
              <w:jc w:val="right"/>
            </w:pPr>
            <w:r>
              <w:t>10.457</w:t>
            </w:r>
          </w:p>
        </w:tc>
        <w:tc>
          <w:tcPr>
            <w:tcW w:w="490" w:type="pct"/>
            <w:tcBorders>
              <w:top w:val="nil"/>
              <w:left w:val="nil"/>
              <w:bottom w:val="single" w:sz="4" w:space="0" w:color="auto"/>
              <w:right w:val="single" w:sz="4" w:space="0" w:color="auto"/>
            </w:tcBorders>
            <w:shd w:val="clear" w:color="auto" w:fill="auto"/>
            <w:noWrap/>
            <w:vAlign w:val="center"/>
            <w:hideMark/>
          </w:tcPr>
          <w:p w14:paraId="2D6FDA3E" w14:textId="77777777" w:rsidR="007B3093" w:rsidRDefault="00000000">
            <w:pPr>
              <w:pStyle w:val="Sinespaciado"/>
              <w:jc w:val="right"/>
            </w:pPr>
            <w:r>
              <w:t>11.407</w:t>
            </w:r>
          </w:p>
        </w:tc>
        <w:tc>
          <w:tcPr>
            <w:tcW w:w="546" w:type="pct"/>
            <w:tcBorders>
              <w:top w:val="nil"/>
              <w:left w:val="nil"/>
              <w:bottom w:val="single" w:sz="4" w:space="0" w:color="auto"/>
              <w:right w:val="single" w:sz="4" w:space="0" w:color="auto"/>
            </w:tcBorders>
            <w:shd w:val="clear" w:color="auto" w:fill="auto"/>
            <w:noWrap/>
            <w:vAlign w:val="center"/>
            <w:hideMark/>
          </w:tcPr>
          <w:p w14:paraId="37144BA6" w14:textId="77777777" w:rsidR="007B3093" w:rsidRDefault="00000000">
            <w:pPr>
              <w:pStyle w:val="Sinespaciado"/>
              <w:jc w:val="right"/>
            </w:pPr>
            <w:r>
              <w:t>12.358</w:t>
            </w:r>
          </w:p>
        </w:tc>
        <w:tc>
          <w:tcPr>
            <w:tcW w:w="519" w:type="pct"/>
            <w:tcBorders>
              <w:top w:val="nil"/>
              <w:left w:val="nil"/>
              <w:bottom w:val="single" w:sz="4" w:space="0" w:color="auto"/>
              <w:right w:val="single" w:sz="4" w:space="0" w:color="auto"/>
            </w:tcBorders>
            <w:shd w:val="clear" w:color="auto" w:fill="auto"/>
            <w:noWrap/>
            <w:vAlign w:val="center"/>
            <w:hideMark/>
          </w:tcPr>
          <w:p w14:paraId="20A6F1F4" w14:textId="77777777" w:rsidR="007B3093" w:rsidRDefault="00000000">
            <w:pPr>
              <w:pStyle w:val="Sinespaciado"/>
              <w:jc w:val="right"/>
            </w:pPr>
            <w:r>
              <w:t>13.308</w:t>
            </w:r>
          </w:p>
        </w:tc>
        <w:tc>
          <w:tcPr>
            <w:tcW w:w="489" w:type="pct"/>
            <w:tcBorders>
              <w:top w:val="single" w:sz="4" w:space="0" w:color="auto"/>
              <w:left w:val="nil"/>
              <w:bottom w:val="single" w:sz="4" w:space="0" w:color="auto"/>
              <w:right w:val="single" w:sz="4" w:space="0" w:color="auto"/>
            </w:tcBorders>
            <w:vAlign w:val="center"/>
          </w:tcPr>
          <w:p w14:paraId="3F9CDE87" w14:textId="77777777" w:rsidR="007B3093" w:rsidRDefault="00000000">
            <w:pPr>
              <w:pStyle w:val="Sinespaciado"/>
              <w:jc w:val="right"/>
            </w:pPr>
            <w:r>
              <w:t>14.259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1C66D" w14:textId="77777777" w:rsidR="007B3093" w:rsidRDefault="00000000">
            <w:pPr>
              <w:pStyle w:val="Sinespaciado"/>
              <w:jc w:val="right"/>
            </w:pPr>
            <w:r>
              <w:t>14.259</w:t>
            </w:r>
          </w:p>
        </w:tc>
      </w:tr>
      <w:tr w:rsidR="007B3093" w14:paraId="2E85F27C" w14:textId="77777777">
        <w:trPr>
          <w:trHeight w:val="300"/>
          <w:jc w:val="center"/>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29B2D57C" w14:textId="77777777" w:rsidR="007B3093" w:rsidRDefault="00000000">
            <w:pPr>
              <w:spacing w:after="0" w:line="240" w:lineRule="auto"/>
              <w:rPr>
                <w:rFonts w:ascii="Calibri" w:eastAsia="Times New Roman" w:hAnsi="Calibri" w:cs="Times New Roman"/>
                <w:b/>
                <w:color w:val="000000"/>
                <w:sz w:val="20"/>
                <w:szCs w:val="20"/>
                <w:lang w:eastAsia="es-EC"/>
              </w:rPr>
            </w:pPr>
            <w:r>
              <w:rPr>
                <w:rFonts w:ascii="Calibri" w:eastAsia="Times New Roman" w:hAnsi="Calibri" w:cs="Times New Roman"/>
                <w:b/>
                <w:color w:val="000000"/>
                <w:sz w:val="20"/>
                <w:szCs w:val="20"/>
                <w:lang w:eastAsia="es-EC"/>
              </w:rPr>
              <w:t>Asuntos Internacionales</w:t>
            </w:r>
          </w:p>
        </w:tc>
        <w:tc>
          <w:tcPr>
            <w:tcW w:w="547" w:type="pct"/>
            <w:tcBorders>
              <w:top w:val="nil"/>
              <w:left w:val="nil"/>
              <w:bottom w:val="single" w:sz="4" w:space="0" w:color="auto"/>
              <w:right w:val="single" w:sz="4" w:space="0" w:color="auto"/>
            </w:tcBorders>
            <w:shd w:val="clear" w:color="auto" w:fill="auto"/>
            <w:noWrap/>
            <w:vAlign w:val="center"/>
            <w:hideMark/>
          </w:tcPr>
          <w:p w14:paraId="4CB4BEE0" w14:textId="77777777" w:rsidR="007B3093" w:rsidRDefault="00000000">
            <w:pPr>
              <w:pStyle w:val="Sinespaciado"/>
              <w:jc w:val="right"/>
            </w:pPr>
            <w:r>
              <w:t>9</w:t>
            </w:r>
          </w:p>
        </w:tc>
        <w:tc>
          <w:tcPr>
            <w:tcW w:w="519" w:type="pct"/>
            <w:tcBorders>
              <w:top w:val="nil"/>
              <w:left w:val="nil"/>
              <w:bottom w:val="single" w:sz="4" w:space="0" w:color="auto"/>
              <w:right w:val="single" w:sz="4" w:space="0" w:color="auto"/>
            </w:tcBorders>
            <w:shd w:val="clear" w:color="auto" w:fill="auto"/>
            <w:noWrap/>
            <w:vAlign w:val="center"/>
            <w:hideMark/>
          </w:tcPr>
          <w:p w14:paraId="4D0B867E" w14:textId="77777777" w:rsidR="007B3093" w:rsidRDefault="00000000">
            <w:pPr>
              <w:pStyle w:val="Sinespaciado"/>
              <w:jc w:val="right"/>
            </w:pPr>
            <w:r>
              <w:t>10</w:t>
            </w:r>
          </w:p>
        </w:tc>
        <w:tc>
          <w:tcPr>
            <w:tcW w:w="490" w:type="pct"/>
            <w:tcBorders>
              <w:top w:val="nil"/>
              <w:left w:val="nil"/>
              <w:bottom w:val="single" w:sz="4" w:space="0" w:color="auto"/>
              <w:right w:val="single" w:sz="4" w:space="0" w:color="auto"/>
            </w:tcBorders>
            <w:shd w:val="clear" w:color="auto" w:fill="auto"/>
            <w:noWrap/>
            <w:vAlign w:val="center"/>
            <w:hideMark/>
          </w:tcPr>
          <w:p w14:paraId="4E3377EC" w14:textId="77777777" w:rsidR="007B3093" w:rsidRDefault="00000000">
            <w:pPr>
              <w:pStyle w:val="Sinespaciado"/>
              <w:jc w:val="right"/>
            </w:pPr>
            <w:r>
              <w:t>11</w:t>
            </w:r>
          </w:p>
        </w:tc>
        <w:tc>
          <w:tcPr>
            <w:tcW w:w="546" w:type="pct"/>
            <w:tcBorders>
              <w:top w:val="nil"/>
              <w:left w:val="nil"/>
              <w:bottom w:val="single" w:sz="4" w:space="0" w:color="auto"/>
              <w:right w:val="single" w:sz="4" w:space="0" w:color="auto"/>
            </w:tcBorders>
            <w:shd w:val="clear" w:color="auto" w:fill="auto"/>
            <w:noWrap/>
            <w:vAlign w:val="center"/>
            <w:hideMark/>
          </w:tcPr>
          <w:p w14:paraId="278C8502" w14:textId="77777777" w:rsidR="007B3093" w:rsidRDefault="00000000">
            <w:pPr>
              <w:pStyle w:val="Sinespaciado"/>
              <w:jc w:val="right"/>
            </w:pPr>
            <w:r>
              <w:t>12</w:t>
            </w:r>
          </w:p>
        </w:tc>
        <w:tc>
          <w:tcPr>
            <w:tcW w:w="519" w:type="pct"/>
            <w:tcBorders>
              <w:top w:val="nil"/>
              <w:left w:val="nil"/>
              <w:bottom w:val="single" w:sz="4" w:space="0" w:color="auto"/>
              <w:right w:val="single" w:sz="4" w:space="0" w:color="auto"/>
            </w:tcBorders>
            <w:shd w:val="clear" w:color="auto" w:fill="auto"/>
            <w:noWrap/>
            <w:vAlign w:val="center"/>
            <w:hideMark/>
          </w:tcPr>
          <w:p w14:paraId="54D76342" w14:textId="77777777" w:rsidR="007B3093" w:rsidRDefault="00000000">
            <w:pPr>
              <w:pStyle w:val="Sinespaciado"/>
              <w:jc w:val="right"/>
            </w:pPr>
            <w:r>
              <w:t>13</w:t>
            </w:r>
          </w:p>
        </w:tc>
        <w:tc>
          <w:tcPr>
            <w:tcW w:w="489" w:type="pct"/>
            <w:tcBorders>
              <w:top w:val="single" w:sz="4" w:space="0" w:color="auto"/>
              <w:left w:val="nil"/>
              <w:bottom w:val="single" w:sz="4" w:space="0" w:color="auto"/>
              <w:right w:val="single" w:sz="4" w:space="0" w:color="auto"/>
            </w:tcBorders>
            <w:vAlign w:val="center"/>
          </w:tcPr>
          <w:p w14:paraId="6607CA65" w14:textId="77777777" w:rsidR="007B3093" w:rsidRDefault="00000000">
            <w:pPr>
              <w:pStyle w:val="Sinespaciado"/>
              <w:jc w:val="right"/>
            </w:pPr>
            <w:r>
              <w:t>14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C625A" w14:textId="77777777" w:rsidR="007B3093" w:rsidRDefault="00000000">
            <w:pPr>
              <w:pStyle w:val="Sinespaciado"/>
              <w:jc w:val="right"/>
            </w:pPr>
            <w:r>
              <w:t>14</w:t>
            </w:r>
          </w:p>
        </w:tc>
      </w:tr>
      <w:tr w:rsidR="007B3093" w14:paraId="3C924DD2" w14:textId="77777777">
        <w:trPr>
          <w:trHeight w:val="259"/>
          <w:jc w:val="center"/>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63B44614" w14:textId="77777777" w:rsidR="007B3093" w:rsidRDefault="00000000">
            <w:pPr>
              <w:spacing w:after="0" w:line="240" w:lineRule="auto"/>
              <w:rPr>
                <w:rFonts w:ascii="Calibri" w:eastAsia="Times New Roman" w:hAnsi="Calibri" w:cs="Times New Roman"/>
                <w:b/>
                <w:color w:val="000000"/>
                <w:sz w:val="20"/>
                <w:szCs w:val="20"/>
                <w:lang w:eastAsia="es-EC"/>
              </w:rPr>
            </w:pPr>
            <w:r>
              <w:rPr>
                <w:rFonts w:ascii="Calibri" w:eastAsia="Times New Roman" w:hAnsi="Calibri" w:cs="Times New Roman"/>
                <w:b/>
                <w:color w:val="000000"/>
                <w:sz w:val="20"/>
                <w:szCs w:val="20"/>
                <w:lang w:eastAsia="es-EC"/>
              </w:rPr>
              <w:t>DDHH</w:t>
            </w:r>
          </w:p>
        </w:tc>
        <w:tc>
          <w:tcPr>
            <w:tcW w:w="547" w:type="pct"/>
            <w:tcBorders>
              <w:top w:val="nil"/>
              <w:left w:val="nil"/>
              <w:bottom w:val="single" w:sz="4" w:space="0" w:color="auto"/>
              <w:right w:val="single" w:sz="4" w:space="0" w:color="auto"/>
            </w:tcBorders>
            <w:shd w:val="clear" w:color="auto" w:fill="auto"/>
            <w:noWrap/>
            <w:vAlign w:val="center"/>
            <w:hideMark/>
          </w:tcPr>
          <w:p w14:paraId="15F14E9A" w14:textId="77777777" w:rsidR="007B3093" w:rsidRDefault="00000000">
            <w:pPr>
              <w:pStyle w:val="Sinespaciado"/>
              <w:jc w:val="right"/>
            </w:pPr>
            <w:r>
              <w:t>5</w:t>
            </w:r>
          </w:p>
        </w:tc>
        <w:tc>
          <w:tcPr>
            <w:tcW w:w="519" w:type="pct"/>
            <w:tcBorders>
              <w:top w:val="nil"/>
              <w:left w:val="nil"/>
              <w:bottom w:val="single" w:sz="4" w:space="0" w:color="auto"/>
              <w:right w:val="single" w:sz="4" w:space="0" w:color="auto"/>
            </w:tcBorders>
            <w:shd w:val="clear" w:color="auto" w:fill="auto"/>
            <w:noWrap/>
            <w:vAlign w:val="center"/>
            <w:hideMark/>
          </w:tcPr>
          <w:p w14:paraId="65611B8C" w14:textId="77777777" w:rsidR="007B3093" w:rsidRDefault="00000000">
            <w:pPr>
              <w:pStyle w:val="Sinespaciado"/>
              <w:jc w:val="right"/>
            </w:pPr>
            <w:r>
              <w:t>6</w:t>
            </w:r>
          </w:p>
        </w:tc>
        <w:tc>
          <w:tcPr>
            <w:tcW w:w="490" w:type="pct"/>
            <w:tcBorders>
              <w:top w:val="nil"/>
              <w:left w:val="nil"/>
              <w:bottom w:val="single" w:sz="4" w:space="0" w:color="auto"/>
              <w:right w:val="single" w:sz="4" w:space="0" w:color="auto"/>
            </w:tcBorders>
            <w:shd w:val="clear" w:color="auto" w:fill="auto"/>
            <w:noWrap/>
            <w:vAlign w:val="center"/>
            <w:hideMark/>
          </w:tcPr>
          <w:p w14:paraId="596AAD23" w14:textId="77777777" w:rsidR="007B3093" w:rsidRDefault="00000000">
            <w:pPr>
              <w:pStyle w:val="Sinespaciado"/>
              <w:jc w:val="right"/>
            </w:pPr>
            <w:r>
              <w:t>6</w:t>
            </w:r>
          </w:p>
        </w:tc>
        <w:tc>
          <w:tcPr>
            <w:tcW w:w="546" w:type="pct"/>
            <w:tcBorders>
              <w:top w:val="nil"/>
              <w:left w:val="nil"/>
              <w:bottom w:val="single" w:sz="4" w:space="0" w:color="auto"/>
              <w:right w:val="single" w:sz="4" w:space="0" w:color="auto"/>
            </w:tcBorders>
            <w:shd w:val="clear" w:color="auto" w:fill="auto"/>
            <w:noWrap/>
            <w:vAlign w:val="center"/>
            <w:hideMark/>
          </w:tcPr>
          <w:p w14:paraId="6C810B67" w14:textId="77777777" w:rsidR="007B3093" w:rsidRDefault="00000000">
            <w:pPr>
              <w:pStyle w:val="Sinespaciado"/>
              <w:jc w:val="right"/>
            </w:pPr>
            <w:r>
              <w:t>7</w:t>
            </w:r>
          </w:p>
        </w:tc>
        <w:tc>
          <w:tcPr>
            <w:tcW w:w="519" w:type="pct"/>
            <w:tcBorders>
              <w:top w:val="nil"/>
              <w:left w:val="nil"/>
              <w:bottom w:val="single" w:sz="4" w:space="0" w:color="auto"/>
              <w:right w:val="single" w:sz="4" w:space="0" w:color="auto"/>
            </w:tcBorders>
            <w:shd w:val="clear" w:color="auto" w:fill="auto"/>
            <w:noWrap/>
            <w:vAlign w:val="center"/>
            <w:hideMark/>
          </w:tcPr>
          <w:p w14:paraId="2D9F59A4" w14:textId="77777777" w:rsidR="007B3093" w:rsidRDefault="00000000">
            <w:pPr>
              <w:pStyle w:val="Sinespaciado"/>
              <w:jc w:val="right"/>
            </w:pPr>
            <w:r>
              <w:t>7</w:t>
            </w:r>
          </w:p>
        </w:tc>
        <w:tc>
          <w:tcPr>
            <w:tcW w:w="489" w:type="pct"/>
            <w:tcBorders>
              <w:top w:val="single" w:sz="4" w:space="0" w:color="auto"/>
              <w:left w:val="nil"/>
              <w:bottom w:val="single" w:sz="4" w:space="0" w:color="auto"/>
              <w:right w:val="single" w:sz="4" w:space="0" w:color="auto"/>
            </w:tcBorders>
            <w:vAlign w:val="center"/>
          </w:tcPr>
          <w:p w14:paraId="553EBFB8" w14:textId="77777777" w:rsidR="007B3093" w:rsidRDefault="00000000">
            <w:pPr>
              <w:pStyle w:val="Sinespaciado"/>
              <w:jc w:val="right"/>
            </w:pPr>
            <w:r>
              <w:t>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DD932" w14:textId="77777777" w:rsidR="007B3093" w:rsidRDefault="00000000">
            <w:pPr>
              <w:pStyle w:val="Sinespaciado"/>
              <w:jc w:val="right"/>
            </w:pPr>
            <w:r>
              <w:t>8</w:t>
            </w:r>
          </w:p>
        </w:tc>
      </w:tr>
      <w:tr w:rsidR="007B3093" w14:paraId="4D21E4CA" w14:textId="77777777">
        <w:trPr>
          <w:trHeight w:val="300"/>
          <w:jc w:val="center"/>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53C05864" w14:textId="77777777" w:rsidR="007B3093" w:rsidRDefault="00000000">
            <w:pPr>
              <w:spacing w:after="0" w:line="240" w:lineRule="auto"/>
              <w:rPr>
                <w:rFonts w:ascii="Calibri" w:eastAsia="Times New Roman" w:hAnsi="Calibri" w:cs="Times New Roman"/>
                <w:b/>
                <w:color w:val="000000"/>
                <w:sz w:val="20"/>
                <w:szCs w:val="20"/>
                <w:lang w:eastAsia="es-EC"/>
              </w:rPr>
            </w:pPr>
            <w:r>
              <w:rPr>
                <w:rFonts w:ascii="Calibri" w:eastAsia="Times New Roman" w:hAnsi="Calibri" w:cs="Times New Roman"/>
                <w:b/>
                <w:color w:val="000000"/>
                <w:sz w:val="20"/>
                <w:szCs w:val="20"/>
                <w:lang w:eastAsia="es-EC"/>
              </w:rPr>
              <w:t>Mediación</w:t>
            </w:r>
          </w:p>
        </w:tc>
        <w:tc>
          <w:tcPr>
            <w:tcW w:w="547" w:type="pct"/>
            <w:tcBorders>
              <w:top w:val="nil"/>
              <w:left w:val="nil"/>
              <w:bottom w:val="single" w:sz="4" w:space="0" w:color="auto"/>
              <w:right w:val="single" w:sz="4" w:space="0" w:color="auto"/>
            </w:tcBorders>
            <w:shd w:val="clear" w:color="auto" w:fill="auto"/>
            <w:noWrap/>
            <w:vAlign w:val="center"/>
            <w:hideMark/>
          </w:tcPr>
          <w:p w14:paraId="150BCBC6" w14:textId="77777777" w:rsidR="007B3093" w:rsidRDefault="00000000">
            <w:pPr>
              <w:pStyle w:val="Sinespaciado"/>
              <w:jc w:val="right"/>
            </w:pPr>
            <w:r>
              <w:t>1.091</w:t>
            </w:r>
          </w:p>
        </w:tc>
        <w:tc>
          <w:tcPr>
            <w:tcW w:w="519" w:type="pct"/>
            <w:tcBorders>
              <w:top w:val="nil"/>
              <w:left w:val="nil"/>
              <w:bottom w:val="single" w:sz="4" w:space="0" w:color="auto"/>
              <w:right w:val="single" w:sz="4" w:space="0" w:color="auto"/>
            </w:tcBorders>
            <w:shd w:val="clear" w:color="auto" w:fill="auto"/>
            <w:noWrap/>
            <w:vAlign w:val="center"/>
            <w:hideMark/>
          </w:tcPr>
          <w:p w14:paraId="00951D70" w14:textId="77777777" w:rsidR="007B3093" w:rsidRDefault="00000000">
            <w:pPr>
              <w:pStyle w:val="Sinespaciado"/>
              <w:jc w:val="right"/>
            </w:pPr>
            <w:r>
              <w:t>1.146</w:t>
            </w:r>
          </w:p>
        </w:tc>
        <w:tc>
          <w:tcPr>
            <w:tcW w:w="490" w:type="pct"/>
            <w:tcBorders>
              <w:top w:val="nil"/>
              <w:left w:val="nil"/>
              <w:bottom w:val="single" w:sz="4" w:space="0" w:color="auto"/>
              <w:right w:val="single" w:sz="4" w:space="0" w:color="auto"/>
            </w:tcBorders>
            <w:shd w:val="clear" w:color="auto" w:fill="auto"/>
            <w:noWrap/>
            <w:vAlign w:val="center"/>
            <w:hideMark/>
          </w:tcPr>
          <w:p w14:paraId="7396EF22" w14:textId="77777777" w:rsidR="007B3093" w:rsidRDefault="00000000">
            <w:pPr>
              <w:pStyle w:val="Sinespaciado"/>
              <w:jc w:val="right"/>
            </w:pPr>
            <w:r>
              <w:t>1.200</w:t>
            </w:r>
          </w:p>
        </w:tc>
        <w:tc>
          <w:tcPr>
            <w:tcW w:w="546" w:type="pct"/>
            <w:tcBorders>
              <w:top w:val="nil"/>
              <w:left w:val="nil"/>
              <w:bottom w:val="single" w:sz="4" w:space="0" w:color="auto"/>
              <w:right w:val="single" w:sz="4" w:space="0" w:color="auto"/>
            </w:tcBorders>
            <w:shd w:val="clear" w:color="auto" w:fill="auto"/>
            <w:noWrap/>
            <w:vAlign w:val="center"/>
            <w:hideMark/>
          </w:tcPr>
          <w:p w14:paraId="0060D3F5" w14:textId="77777777" w:rsidR="007B3093" w:rsidRDefault="00000000">
            <w:pPr>
              <w:pStyle w:val="Sinespaciado"/>
              <w:jc w:val="right"/>
            </w:pPr>
            <w:r>
              <w:t>1.255</w:t>
            </w:r>
          </w:p>
        </w:tc>
        <w:tc>
          <w:tcPr>
            <w:tcW w:w="519" w:type="pct"/>
            <w:tcBorders>
              <w:top w:val="nil"/>
              <w:left w:val="nil"/>
              <w:bottom w:val="single" w:sz="4" w:space="0" w:color="auto"/>
              <w:right w:val="single" w:sz="4" w:space="0" w:color="auto"/>
            </w:tcBorders>
            <w:shd w:val="clear" w:color="auto" w:fill="auto"/>
            <w:noWrap/>
            <w:vAlign w:val="center"/>
            <w:hideMark/>
          </w:tcPr>
          <w:p w14:paraId="1DB00C89" w14:textId="77777777" w:rsidR="007B3093" w:rsidRDefault="00000000">
            <w:pPr>
              <w:pStyle w:val="Sinespaciado"/>
              <w:jc w:val="right"/>
            </w:pPr>
            <w:r>
              <w:t>1.309</w:t>
            </w:r>
          </w:p>
        </w:tc>
        <w:tc>
          <w:tcPr>
            <w:tcW w:w="489" w:type="pct"/>
            <w:tcBorders>
              <w:top w:val="single" w:sz="4" w:space="0" w:color="auto"/>
              <w:left w:val="nil"/>
              <w:bottom w:val="single" w:sz="4" w:space="0" w:color="auto"/>
              <w:right w:val="single" w:sz="4" w:space="0" w:color="auto"/>
            </w:tcBorders>
            <w:vAlign w:val="center"/>
          </w:tcPr>
          <w:p w14:paraId="05DDB5E5" w14:textId="77777777" w:rsidR="007B3093" w:rsidRDefault="00000000">
            <w:pPr>
              <w:pStyle w:val="Sinespaciado"/>
              <w:jc w:val="right"/>
            </w:pPr>
            <w:r>
              <w:t>1.418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7D70D" w14:textId="77777777" w:rsidR="007B3093" w:rsidRDefault="00000000">
            <w:pPr>
              <w:pStyle w:val="Sinespaciado"/>
              <w:jc w:val="right"/>
            </w:pPr>
            <w:r>
              <w:t>1.418</w:t>
            </w:r>
          </w:p>
        </w:tc>
      </w:tr>
      <w:tr w:rsidR="007B3093" w14:paraId="454803A5" w14:textId="77777777">
        <w:trPr>
          <w:trHeight w:val="300"/>
          <w:jc w:val="center"/>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2852F5C5" w14:textId="77777777" w:rsidR="007B3093" w:rsidRDefault="00000000">
            <w:pPr>
              <w:spacing w:after="0" w:line="240" w:lineRule="auto"/>
              <w:rPr>
                <w:rFonts w:ascii="Calibri" w:eastAsia="Times New Roman" w:hAnsi="Calibri" w:cs="Times New Roman"/>
                <w:b/>
                <w:color w:val="000000"/>
                <w:sz w:val="20"/>
                <w:szCs w:val="20"/>
                <w:lang w:eastAsia="es-EC"/>
              </w:rPr>
            </w:pPr>
            <w:r>
              <w:rPr>
                <w:rFonts w:ascii="Calibri" w:eastAsia="Times New Roman" w:hAnsi="Calibri" w:cs="Times New Roman"/>
                <w:b/>
                <w:color w:val="000000"/>
                <w:sz w:val="20"/>
                <w:szCs w:val="20"/>
                <w:lang w:eastAsia="es-EC"/>
              </w:rPr>
              <w:t>Consultoría</w:t>
            </w:r>
          </w:p>
        </w:tc>
        <w:tc>
          <w:tcPr>
            <w:tcW w:w="547" w:type="pct"/>
            <w:tcBorders>
              <w:top w:val="nil"/>
              <w:left w:val="nil"/>
              <w:bottom w:val="single" w:sz="4" w:space="0" w:color="auto"/>
              <w:right w:val="single" w:sz="4" w:space="0" w:color="auto"/>
            </w:tcBorders>
            <w:shd w:val="clear" w:color="auto" w:fill="auto"/>
            <w:noWrap/>
            <w:vAlign w:val="center"/>
            <w:hideMark/>
          </w:tcPr>
          <w:p w14:paraId="11AB5EFC" w14:textId="77777777" w:rsidR="007B3093" w:rsidRDefault="00000000">
            <w:pPr>
              <w:pStyle w:val="Sinespaciado"/>
              <w:jc w:val="right"/>
            </w:pPr>
            <w:r>
              <w:t>111</w:t>
            </w:r>
          </w:p>
        </w:tc>
        <w:tc>
          <w:tcPr>
            <w:tcW w:w="519" w:type="pct"/>
            <w:tcBorders>
              <w:top w:val="nil"/>
              <w:left w:val="nil"/>
              <w:bottom w:val="single" w:sz="4" w:space="0" w:color="auto"/>
              <w:right w:val="single" w:sz="4" w:space="0" w:color="auto"/>
            </w:tcBorders>
            <w:shd w:val="clear" w:color="auto" w:fill="auto"/>
            <w:noWrap/>
            <w:vAlign w:val="center"/>
            <w:hideMark/>
          </w:tcPr>
          <w:p w14:paraId="7667A9E8" w14:textId="77777777" w:rsidR="007B3093" w:rsidRDefault="00000000">
            <w:pPr>
              <w:pStyle w:val="Sinespaciado"/>
              <w:jc w:val="right"/>
            </w:pPr>
            <w:r>
              <w:t>117</w:t>
            </w:r>
          </w:p>
        </w:tc>
        <w:tc>
          <w:tcPr>
            <w:tcW w:w="490" w:type="pct"/>
            <w:tcBorders>
              <w:top w:val="nil"/>
              <w:left w:val="nil"/>
              <w:bottom w:val="single" w:sz="4" w:space="0" w:color="auto"/>
              <w:right w:val="single" w:sz="4" w:space="0" w:color="auto"/>
            </w:tcBorders>
            <w:shd w:val="clear" w:color="auto" w:fill="auto"/>
            <w:noWrap/>
            <w:vAlign w:val="center"/>
            <w:hideMark/>
          </w:tcPr>
          <w:p w14:paraId="01EE2A9D" w14:textId="77777777" w:rsidR="007B3093" w:rsidRDefault="00000000">
            <w:pPr>
              <w:pStyle w:val="Sinespaciado"/>
              <w:jc w:val="right"/>
            </w:pPr>
            <w:r>
              <w:t>122</w:t>
            </w:r>
          </w:p>
        </w:tc>
        <w:tc>
          <w:tcPr>
            <w:tcW w:w="546" w:type="pct"/>
            <w:tcBorders>
              <w:top w:val="nil"/>
              <w:left w:val="nil"/>
              <w:bottom w:val="single" w:sz="4" w:space="0" w:color="auto"/>
              <w:right w:val="single" w:sz="4" w:space="0" w:color="auto"/>
            </w:tcBorders>
            <w:shd w:val="clear" w:color="auto" w:fill="auto"/>
            <w:noWrap/>
            <w:vAlign w:val="center"/>
            <w:hideMark/>
          </w:tcPr>
          <w:p w14:paraId="28E569EE" w14:textId="77777777" w:rsidR="007B3093" w:rsidRDefault="00000000">
            <w:pPr>
              <w:pStyle w:val="Sinespaciado"/>
              <w:jc w:val="right"/>
            </w:pPr>
            <w:r>
              <w:t>128</w:t>
            </w:r>
          </w:p>
        </w:tc>
        <w:tc>
          <w:tcPr>
            <w:tcW w:w="519" w:type="pct"/>
            <w:tcBorders>
              <w:top w:val="nil"/>
              <w:left w:val="nil"/>
              <w:bottom w:val="single" w:sz="4" w:space="0" w:color="auto"/>
              <w:right w:val="single" w:sz="4" w:space="0" w:color="auto"/>
            </w:tcBorders>
            <w:shd w:val="clear" w:color="auto" w:fill="auto"/>
            <w:noWrap/>
            <w:vAlign w:val="center"/>
            <w:hideMark/>
          </w:tcPr>
          <w:p w14:paraId="041D9F57" w14:textId="77777777" w:rsidR="007B3093" w:rsidRDefault="00000000">
            <w:pPr>
              <w:pStyle w:val="Sinespaciado"/>
              <w:jc w:val="right"/>
            </w:pPr>
            <w:r>
              <w:t>133</w:t>
            </w:r>
          </w:p>
        </w:tc>
        <w:tc>
          <w:tcPr>
            <w:tcW w:w="489" w:type="pct"/>
            <w:tcBorders>
              <w:top w:val="single" w:sz="4" w:space="0" w:color="auto"/>
              <w:left w:val="nil"/>
              <w:bottom w:val="single" w:sz="4" w:space="0" w:color="auto"/>
              <w:right w:val="single" w:sz="4" w:space="0" w:color="auto"/>
            </w:tcBorders>
            <w:vAlign w:val="center"/>
          </w:tcPr>
          <w:p w14:paraId="7F7688D8" w14:textId="77777777" w:rsidR="007B3093" w:rsidRDefault="00000000">
            <w:pPr>
              <w:pStyle w:val="Sinespaciado"/>
              <w:jc w:val="right"/>
            </w:pPr>
            <w:r>
              <w:t>144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CC82C" w14:textId="77777777" w:rsidR="007B3093" w:rsidRDefault="00000000">
            <w:pPr>
              <w:pStyle w:val="Sinespaciado"/>
              <w:jc w:val="right"/>
            </w:pPr>
            <w:r>
              <w:t>144</w:t>
            </w:r>
          </w:p>
        </w:tc>
      </w:tr>
      <w:tr w:rsidR="007B3093" w14:paraId="235CA587" w14:textId="77777777">
        <w:trPr>
          <w:trHeight w:val="300"/>
          <w:jc w:val="center"/>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76C0AB9A" w14:textId="77777777" w:rsidR="007B3093" w:rsidRDefault="00000000">
            <w:pPr>
              <w:spacing w:after="0" w:line="240" w:lineRule="auto"/>
              <w:rPr>
                <w:rFonts w:ascii="Calibri" w:eastAsia="Times New Roman" w:hAnsi="Calibri" w:cs="Times New Roman"/>
                <w:b/>
                <w:color w:val="000000"/>
                <w:sz w:val="20"/>
                <w:szCs w:val="20"/>
                <w:lang w:eastAsia="es-EC"/>
              </w:rPr>
            </w:pPr>
            <w:r>
              <w:rPr>
                <w:rFonts w:ascii="Calibri" w:eastAsia="Times New Roman" w:hAnsi="Calibri" w:cs="Times New Roman"/>
                <w:b/>
                <w:color w:val="000000"/>
                <w:sz w:val="20"/>
                <w:szCs w:val="20"/>
                <w:lang w:eastAsia="es-EC"/>
              </w:rPr>
              <w:t>Control Legalidad</w:t>
            </w:r>
          </w:p>
        </w:tc>
        <w:tc>
          <w:tcPr>
            <w:tcW w:w="547" w:type="pct"/>
            <w:tcBorders>
              <w:top w:val="nil"/>
              <w:left w:val="nil"/>
              <w:bottom w:val="single" w:sz="4" w:space="0" w:color="auto"/>
              <w:right w:val="single" w:sz="4" w:space="0" w:color="auto"/>
            </w:tcBorders>
            <w:shd w:val="clear" w:color="auto" w:fill="auto"/>
            <w:noWrap/>
            <w:vAlign w:val="center"/>
            <w:hideMark/>
          </w:tcPr>
          <w:p w14:paraId="5884365E" w14:textId="77777777" w:rsidR="007B3093" w:rsidRDefault="00000000">
            <w:pPr>
              <w:pStyle w:val="Sinespaciado"/>
              <w:jc w:val="right"/>
            </w:pPr>
            <w:r>
              <w:t>167</w:t>
            </w:r>
          </w:p>
        </w:tc>
        <w:tc>
          <w:tcPr>
            <w:tcW w:w="519" w:type="pct"/>
            <w:tcBorders>
              <w:top w:val="nil"/>
              <w:left w:val="nil"/>
              <w:bottom w:val="single" w:sz="4" w:space="0" w:color="auto"/>
              <w:right w:val="single" w:sz="4" w:space="0" w:color="auto"/>
            </w:tcBorders>
            <w:shd w:val="clear" w:color="auto" w:fill="auto"/>
            <w:noWrap/>
            <w:vAlign w:val="center"/>
            <w:hideMark/>
          </w:tcPr>
          <w:p w14:paraId="6326A510" w14:textId="77777777" w:rsidR="007B3093" w:rsidRDefault="00000000">
            <w:pPr>
              <w:pStyle w:val="Sinespaciado"/>
              <w:jc w:val="right"/>
            </w:pPr>
            <w:r>
              <w:t>175</w:t>
            </w:r>
          </w:p>
        </w:tc>
        <w:tc>
          <w:tcPr>
            <w:tcW w:w="490" w:type="pct"/>
            <w:tcBorders>
              <w:top w:val="nil"/>
              <w:left w:val="nil"/>
              <w:bottom w:val="single" w:sz="4" w:space="0" w:color="auto"/>
              <w:right w:val="single" w:sz="4" w:space="0" w:color="auto"/>
            </w:tcBorders>
            <w:shd w:val="clear" w:color="auto" w:fill="auto"/>
            <w:noWrap/>
            <w:vAlign w:val="center"/>
            <w:hideMark/>
          </w:tcPr>
          <w:p w14:paraId="5C974CC0" w14:textId="77777777" w:rsidR="007B3093" w:rsidRDefault="00000000">
            <w:pPr>
              <w:pStyle w:val="Sinespaciado"/>
              <w:jc w:val="right"/>
            </w:pPr>
            <w:r>
              <w:t>184</w:t>
            </w:r>
          </w:p>
        </w:tc>
        <w:tc>
          <w:tcPr>
            <w:tcW w:w="546" w:type="pct"/>
            <w:tcBorders>
              <w:top w:val="nil"/>
              <w:left w:val="nil"/>
              <w:bottom w:val="single" w:sz="4" w:space="0" w:color="auto"/>
              <w:right w:val="single" w:sz="4" w:space="0" w:color="auto"/>
            </w:tcBorders>
            <w:shd w:val="clear" w:color="auto" w:fill="auto"/>
            <w:noWrap/>
            <w:vAlign w:val="center"/>
            <w:hideMark/>
          </w:tcPr>
          <w:p w14:paraId="336837D8" w14:textId="77777777" w:rsidR="007B3093" w:rsidRDefault="00000000">
            <w:pPr>
              <w:pStyle w:val="Sinespaciado"/>
              <w:jc w:val="right"/>
            </w:pPr>
            <w:r>
              <w:t>192</w:t>
            </w:r>
          </w:p>
        </w:tc>
        <w:tc>
          <w:tcPr>
            <w:tcW w:w="519" w:type="pct"/>
            <w:tcBorders>
              <w:top w:val="nil"/>
              <w:left w:val="nil"/>
              <w:bottom w:val="single" w:sz="4" w:space="0" w:color="auto"/>
              <w:right w:val="single" w:sz="4" w:space="0" w:color="auto"/>
            </w:tcBorders>
            <w:shd w:val="clear" w:color="auto" w:fill="auto"/>
            <w:noWrap/>
            <w:vAlign w:val="center"/>
            <w:hideMark/>
          </w:tcPr>
          <w:p w14:paraId="403327FE" w14:textId="77777777" w:rsidR="007B3093" w:rsidRDefault="00000000">
            <w:pPr>
              <w:pStyle w:val="Sinespaciado"/>
              <w:jc w:val="right"/>
            </w:pPr>
            <w:r>
              <w:t>200</w:t>
            </w:r>
          </w:p>
        </w:tc>
        <w:tc>
          <w:tcPr>
            <w:tcW w:w="489" w:type="pct"/>
            <w:tcBorders>
              <w:top w:val="single" w:sz="4" w:space="0" w:color="auto"/>
              <w:left w:val="nil"/>
              <w:bottom w:val="single" w:sz="4" w:space="0" w:color="auto"/>
              <w:right w:val="single" w:sz="4" w:space="0" w:color="auto"/>
            </w:tcBorders>
            <w:vAlign w:val="center"/>
          </w:tcPr>
          <w:p w14:paraId="059222E7" w14:textId="77777777" w:rsidR="007B3093" w:rsidRDefault="00000000">
            <w:pPr>
              <w:pStyle w:val="Sinespaciado"/>
              <w:jc w:val="right"/>
            </w:pPr>
            <w:r>
              <w:t>217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1B369" w14:textId="77777777" w:rsidR="007B3093" w:rsidRDefault="00000000">
            <w:pPr>
              <w:pStyle w:val="Sinespaciado"/>
              <w:jc w:val="right"/>
            </w:pPr>
            <w:r>
              <w:t>217</w:t>
            </w:r>
          </w:p>
        </w:tc>
      </w:tr>
      <w:tr w:rsidR="007B3093" w14:paraId="7F41A9EA" w14:textId="77777777">
        <w:trPr>
          <w:trHeight w:val="300"/>
          <w:jc w:val="center"/>
        </w:trPr>
        <w:tc>
          <w:tcPr>
            <w:tcW w:w="1404" w:type="pct"/>
            <w:tcBorders>
              <w:top w:val="nil"/>
              <w:left w:val="single" w:sz="4" w:space="0" w:color="auto"/>
              <w:bottom w:val="single" w:sz="4" w:space="0" w:color="auto"/>
              <w:right w:val="single" w:sz="4" w:space="0" w:color="auto"/>
            </w:tcBorders>
            <w:shd w:val="clear" w:color="auto" w:fill="auto"/>
            <w:noWrap/>
            <w:vAlign w:val="center"/>
            <w:hideMark/>
          </w:tcPr>
          <w:p w14:paraId="3446F27A" w14:textId="77777777" w:rsidR="007B3093" w:rsidRDefault="00000000">
            <w:pPr>
              <w:spacing w:after="0" w:line="240" w:lineRule="auto"/>
              <w:jc w:val="center"/>
              <w:rPr>
                <w:rFonts w:ascii="Calibri" w:eastAsia="Times New Roman" w:hAnsi="Calibri" w:cs="Times New Roman"/>
                <w:b/>
                <w:color w:val="000000"/>
                <w:sz w:val="20"/>
                <w:szCs w:val="20"/>
                <w:lang w:eastAsia="es-EC"/>
              </w:rPr>
            </w:pPr>
            <w:r>
              <w:rPr>
                <w:rFonts w:ascii="Calibri" w:eastAsia="Times New Roman" w:hAnsi="Calibri" w:cs="Times New Roman"/>
                <w:b/>
                <w:color w:val="000000"/>
                <w:sz w:val="20"/>
                <w:szCs w:val="20"/>
                <w:lang w:eastAsia="es-EC"/>
              </w:rPr>
              <w:t>TOTAL</w:t>
            </w:r>
          </w:p>
        </w:tc>
        <w:tc>
          <w:tcPr>
            <w:tcW w:w="547" w:type="pct"/>
            <w:tcBorders>
              <w:top w:val="nil"/>
              <w:left w:val="nil"/>
              <w:bottom w:val="single" w:sz="4" w:space="0" w:color="auto"/>
              <w:right w:val="single" w:sz="4" w:space="0" w:color="auto"/>
            </w:tcBorders>
            <w:shd w:val="clear" w:color="auto" w:fill="auto"/>
            <w:noWrap/>
            <w:vAlign w:val="center"/>
            <w:hideMark/>
          </w:tcPr>
          <w:p w14:paraId="20D10245" w14:textId="77777777" w:rsidR="007B3093" w:rsidRDefault="00000000">
            <w:pPr>
              <w:pStyle w:val="Sinespaciado"/>
              <w:jc w:val="right"/>
              <w:rPr>
                <w:b/>
                <w:bCs/>
              </w:rPr>
            </w:pPr>
            <w:r>
              <w:rPr>
                <w:b/>
                <w:bCs/>
              </w:rPr>
              <w:t>10.889</w:t>
            </w:r>
          </w:p>
        </w:tc>
        <w:tc>
          <w:tcPr>
            <w:tcW w:w="519" w:type="pct"/>
            <w:tcBorders>
              <w:top w:val="nil"/>
              <w:left w:val="nil"/>
              <w:bottom w:val="single" w:sz="4" w:space="0" w:color="auto"/>
              <w:right w:val="single" w:sz="4" w:space="0" w:color="auto"/>
            </w:tcBorders>
            <w:shd w:val="clear" w:color="auto" w:fill="auto"/>
            <w:noWrap/>
            <w:vAlign w:val="center"/>
            <w:hideMark/>
          </w:tcPr>
          <w:p w14:paraId="0D50E3A4" w14:textId="77777777" w:rsidR="007B3093" w:rsidRDefault="00000000">
            <w:pPr>
              <w:pStyle w:val="Sinespaciado"/>
              <w:jc w:val="right"/>
              <w:rPr>
                <w:b/>
                <w:bCs/>
              </w:rPr>
            </w:pPr>
            <w:r>
              <w:rPr>
                <w:b/>
                <w:bCs/>
              </w:rPr>
              <w:t>11.909</w:t>
            </w:r>
          </w:p>
        </w:tc>
        <w:tc>
          <w:tcPr>
            <w:tcW w:w="490" w:type="pct"/>
            <w:tcBorders>
              <w:top w:val="nil"/>
              <w:left w:val="nil"/>
              <w:bottom w:val="single" w:sz="4" w:space="0" w:color="auto"/>
              <w:right w:val="single" w:sz="4" w:space="0" w:color="auto"/>
            </w:tcBorders>
            <w:shd w:val="clear" w:color="auto" w:fill="auto"/>
            <w:noWrap/>
            <w:vAlign w:val="center"/>
            <w:hideMark/>
          </w:tcPr>
          <w:p w14:paraId="7339C47F" w14:textId="77777777" w:rsidR="007B3093" w:rsidRDefault="00000000">
            <w:pPr>
              <w:pStyle w:val="Sinespaciado"/>
              <w:jc w:val="right"/>
              <w:rPr>
                <w:b/>
                <w:bCs/>
              </w:rPr>
            </w:pPr>
            <w:r>
              <w:rPr>
                <w:b/>
                <w:bCs/>
              </w:rPr>
              <w:t>12.930</w:t>
            </w:r>
          </w:p>
        </w:tc>
        <w:tc>
          <w:tcPr>
            <w:tcW w:w="546" w:type="pct"/>
            <w:tcBorders>
              <w:top w:val="nil"/>
              <w:left w:val="nil"/>
              <w:bottom w:val="single" w:sz="4" w:space="0" w:color="auto"/>
              <w:right w:val="single" w:sz="4" w:space="0" w:color="auto"/>
            </w:tcBorders>
            <w:shd w:val="clear" w:color="auto" w:fill="auto"/>
            <w:noWrap/>
            <w:vAlign w:val="center"/>
            <w:hideMark/>
          </w:tcPr>
          <w:p w14:paraId="0A3425A4" w14:textId="77777777" w:rsidR="007B3093" w:rsidRDefault="00000000">
            <w:pPr>
              <w:pStyle w:val="Sinespaciado"/>
              <w:jc w:val="right"/>
              <w:rPr>
                <w:b/>
                <w:bCs/>
              </w:rPr>
            </w:pPr>
            <w:r>
              <w:rPr>
                <w:b/>
                <w:bCs/>
              </w:rPr>
              <w:t>13.950</w:t>
            </w:r>
          </w:p>
        </w:tc>
        <w:tc>
          <w:tcPr>
            <w:tcW w:w="519" w:type="pct"/>
            <w:tcBorders>
              <w:top w:val="nil"/>
              <w:left w:val="nil"/>
              <w:bottom w:val="single" w:sz="4" w:space="0" w:color="auto"/>
              <w:right w:val="single" w:sz="4" w:space="0" w:color="auto"/>
            </w:tcBorders>
            <w:shd w:val="clear" w:color="auto" w:fill="auto"/>
            <w:noWrap/>
            <w:vAlign w:val="center"/>
            <w:hideMark/>
          </w:tcPr>
          <w:p w14:paraId="0D94AE77" w14:textId="77777777" w:rsidR="007B3093" w:rsidRDefault="00000000">
            <w:pPr>
              <w:pStyle w:val="Sinespaciado"/>
              <w:jc w:val="right"/>
              <w:rPr>
                <w:b/>
                <w:bCs/>
              </w:rPr>
            </w:pPr>
            <w:r>
              <w:rPr>
                <w:b/>
                <w:bCs/>
              </w:rPr>
              <w:t>14.971</w:t>
            </w:r>
          </w:p>
        </w:tc>
        <w:tc>
          <w:tcPr>
            <w:tcW w:w="489" w:type="pct"/>
            <w:tcBorders>
              <w:top w:val="single" w:sz="4" w:space="0" w:color="auto"/>
              <w:left w:val="nil"/>
              <w:bottom w:val="single" w:sz="4" w:space="0" w:color="auto"/>
              <w:right w:val="single" w:sz="4" w:space="0" w:color="auto"/>
            </w:tcBorders>
            <w:vAlign w:val="center"/>
          </w:tcPr>
          <w:p w14:paraId="1BF5D350" w14:textId="77777777" w:rsidR="007B3093" w:rsidRDefault="00000000">
            <w:pPr>
              <w:pStyle w:val="Sinespaciado"/>
              <w:jc w:val="right"/>
              <w:rPr>
                <w:b/>
                <w:bCs/>
              </w:rPr>
            </w:pPr>
            <w:r>
              <w:rPr>
                <w:b/>
                <w:bCs/>
              </w:rPr>
              <w:t>16.060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873DD" w14:textId="77777777" w:rsidR="007B3093" w:rsidRDefault="00000000">
            <w:pPr>
              <w:pStyle w:val="Sinespaciado"/>
              <w:jc w:val="right"/>
              <w:rPr>
                <w:b/>
                <w:bCs/>
              </w:rPr>
            </w:pPr>
            <w:r>
              <w:rPr>
                <w:b/>
                <w:bCs/>
              </w:rPr>
              <w:t>16.060</w:t>
            </w:r>
          </w:p>
        </w:tc>
      </w:tr>
    </w:tbl>
    <w:p w14:paraId="152084E6" w14:textId="77777777" w:rsidR="007B3093" w:rsidRDefault="00000000">
      <w:pPr>
        <w:pStyle w:val="Sinespaciado"/>
        <w:rPr>
          <w:b/>
          <w:sz w:val="20"/>
          <w:szCs w:val="20"/>
          <w:lang w:eastAsia="es-EC"/>
        </w:rPr>
      </w:pPr>
      <w:r>
        <w:rPr>
          <w:b/>
          <w:sz w:val="20"/>
          <w:szCs w:val="20"/>
          <w:lang w:eastAsia="es-EC"/>
        </w:rPr>
        <w:t>Fuente: Sistema de Gestión de Trámites.</w:t>
      </w:r>
    </w:p>
    <w:p w14:paraId="1B972E05" w14:textId="77777777" w:rsidR="007B3093" w:rsidRDefault="00000000">
      <w:pPr>
        <w:pStyle w:val="Sinespaciado"/>
        <w:rPr>
          <w:b/>
          <w:sz w:val="20"/>
          <w:szCs w:val="20"/>
        </w:rPr>
      </w:pPr>
      <w:r>
        <w:rPr>
          <w:b/>
          <w:sz w:val="20"/>
          <w:szCs w:val="20"/>
          <w:lang w:eastAsia="es-EC"/>
        </w:rPr>
        <w:t xml:space="preserve">Elaboración: </w:t>
      </w:r>
      <w:r>
        <w:rPr>
          <w:b/>
          <w:sz w:val="20"/>
          <w:szCs w:val="20"/>
        </w:rPr>
        <w:t>Consultoría para el Fortalecimiento de la Gestión Institucional de la PGE</w:t>
      </w:r>
    </w:p>
    <w:p w14:paraId="11CD2DB7" w14:textId="77777777" w:rsidR="007B3093" w:rsidRDefault="007B3093">
      <w:pPr>
        <w:spacing w:after="0" w:line="360" w:lineRule="auto"/>
        <w:jc w:val="center"/>
        <w:rPr>
          <w:rFonts w:cstheme="minorHAnsi"/>
          <w:b/>
        </w:rPr>
      </w:pPr>
    </w:p>
    <w:p w14:paraId="075F8C4B" w14:textId="77777777" w:rsidR="007B3093" w:rsidRDefault="00000000">
      <w:pPr>
        <w:pStyle w:val="Ttulo2"/>
        <w:numPr>
          <w:ilvl w:val="2"/>
          <w:numId w:val="93"/>
        </w:numPr>
        <w:spacing w:before="0" w:line="360" w:lineRule="auto"/>
        <w:ind w:left="851"/>
        <w:rPr>
          <w:rFonts w:asciiTheme="minorHAnsi" w:hAnsiTheme="minorHAnsi" w:cstheme="minorHAnsi"/>
          <w:b/>
          <w:color w:val="auto"/>
          <w:sz w:val="22"/>
          <w:szCs w:val="22"/>
          <w:lang w:eastAsia="es-EC"/>
        </w:rPr>
      </w:pPr>
      <w:bookmarkStart w:id="18" w:name="_Toc195010052"/>
      <w:r>
        <w:rPr>
          <w:rFonts w:asciiTheme="minorHAnsi" w:hAnsiTheme="minorHAnsi" w:cstheme="minorHAnsi"/>
          <w:b/>
          <w:color w:val="auto"/>
          <w:sz w:val="22"/>
          <w:szCs w:val="22"/>
          <w:lang w:eastAsia="es-EC"/>
        </w:rPr>
        <w:t>Demanda</w:t>
      </w:r>
      <w:bookmarkEnd w:id="15"/>
      <w:bookmarkEnd w:id="18"/>
    </w:p>
    <w:p w14:paraId="7795BF4E" w14:textId="77777777" w:rsidR="007B3093" w:rsidRDefault="00000000">
      <w:pPr>
        <w:spacing w:before="120" w:after="120" w:line="360" w:lineRule="auto"/>
        <w:jc w:val="both"/>
        <w:rPr>
          <w:rFonts w:cstheme="minorHAnsi"/>
        </w:rPr>
      </w:pPr>
      <w:r>
        <w:rPr>
          <w:rFonts w:cstheme="minorHAnsi"/>
        </w:rPr>
        <w:t xml:space="preserve">En Ecuador, dadas la constante inestabilidad política y económica del país, con sus agravantes: corrupción e inseguridad a todo nivel de la gestión pública, en todas las instituciones se han dado cambios que persiguen mover las estructuras y gestionar un nuevo orden de institucionalidad que genere mayor eficiencia por parte de los servidores públicos de cara a la ciudadanía, sin embargo, este accionar que representa blindar al Estado contra las malas </w:t>
      </w:r>
      <w:r>
        <w:rPr>
          <w:rFonts w:cstheme="minorHAnsi"/>
        </w:rPr>
        <w:lastRenderedPageBreak/>
        <w:t xml:space="preserve">prácticas, en la mayoría de los casos por desconocimiento al no seguir el debido proceso genera incrementos alarmantes de agravios que implican vulneración de derechos.  </w:t>
      </w:r>
    </w:p>
    <w:p w14:paraId="46D91E07" w14:textId="77777777" w:rsidR="007B3093" w:rsidRDefault="007B3093">
      <w:pPr>
        <w:spacing w:before="120" w:after="120" w:line="360" w:lineRule="auto"/>
        <w:jc w:val="both"/>
        <w:rPr>
          <w:rFonts w:cstheme="minorHAnsi"/>
        </w:rPr>
      </w:pPr>
    </w:p>
    <w:p w14:paraId="1261D4C7" w14:textId="77777777" w:rsidR="007B3093" w:rsidRDefault="00000000">
      <w:pPr>
        <w:spacing w:before="120" w:after="120" w:line="360" w:lineRule="auto"/>
        <w:jc w:val="both"/>
        <w:rPr>
          <w:rFonts w:cstheme="minorHAnsi"/>
        </w:rPr>
      </w:pPr>
      <w:r>
        <w:rPr>
          <w:rFonts w:cstheme="minorHAnsi"/>
        </w:rPr>
        <w:t>Estos eventos han dado lugar a un crecimiento sostenido de la causalidad de casos y causas, para atención exclusiva de la PGE, ya que como se indicó en el apartado precedente es la única institución con estas competencias.</w:t>
      </w:r>
    </w:p>
    <w:p w14:paraId="4E2C8ECA" w14:textId="77777777" w:rsidR="007B3093" w:rsidRDefault="007B3093">
      <w:pPr>
        <w:spacing w:before="120" w:after="120" w:line="360" w:lineRule="auto"/>
        <w:jc w:val="both"/>
        <w:rPr>
          <w:rFonts w:cstheme="minorHAnsi"/>
        </w:rPr>
      </w:pPr>
    </w:p>
    <w:p w14:paraId="1E6EB393" w14:textId="77777777" w:rsidR="007B3093" w:rsidRDefault="00000000">
      <w:pPr>
        <w:pStyle w:val="Prrafodelista"/>
        <w:spacing w:before="120" w:after="120" w:line="360" w:lineRule="auto"/>
        <w:ind w:left="142"/>
        <w:jc w:val="both"/>
        <w:rPr>
          <w:rFonts w:cstheme="minorHAnsi"/>
        </w:rPr>
      </w:pPr>
      <w:r>
        <w:rPr>
          <w:rFonts w:cstheme="minorHAnsi"/>
          <w:b/>
          <w:bCs/>
          <w:color w:val="000000"/>
          <w:lang w:eastAsia="es-EC"/>
        </w:rPr>
        <w:t xml:space="preserve">Población de referencia. -  </w:t>
      </w:r>
      <w:r>
        <w:rPr>
          <w:rFonts w:cstheme="minorHAnsi"/>
        </w:rPr>
        <w:t xml:space="preserve">Por lo antes mencionado, para establecer la población de referencia se indica: </w:t>
      </w:r>
    </w:p>
    <w:p w14:paraId="17EBE03A" w14:textId="77777777" w:rsidR="007B3093" w:rsidRDefault="00000000">
      <w:pPr>
        <w:spacing w:before="120" w:after="120" w:line="360" w:lineRule="auto"/>
        <w:ind w:left="142"/>
        <w:jc w:val="both"/>
      </w:pPr>
      <w:r>
        <w:rPr>
          <w:rFonts w:cstheme="minorHAnsi"/>
        </w:rPr>
        <w:t>La Constitución de la República del Ecuador, en su Art. 225 establece que e</w:t>
      </w:r>
      <w:r>
        <w:t xml:space="preserve">l sector público comprende: </w:t>
      </w:r>
    </w:p>
    <w:p w14:paraId="4F05D208" w14:textId="77777777" w:rsidR="007B3093" w:rsidRDefault="00000000">
      <w:pPr>
        <w:pStyle w:val="Prrafodelista"/>
        <w:numPr>
          <w:ilvl w:val="0"/>
          <w:numId w:val="38"/>
        </w:numPr>
        <w:spacing w:before="120" w:after="120" w:line="360" w:lineRule="auto"/>
        <w:jc w:val="both"/>
        <w:rPr>
          <w:rFonts w:cstheme="minorHAnsi"/>
        </w:rPr>
      </w:pPr>
      <w:r>
        <w:rPr>
          <w:rFonts w:cstheme="minorHAnsi"/>
        </w:rPr>
        <w:t>Los organismos y dependencias de las funciones Ejecutiva, Legislativa, Judicial, Electoral y de Transparencia y Control Social.</w:t>
      </w:r>
    </w:p>
    <w:p w14:paraId="2D576941" w14:textId="77777777" w:rsidR="007B3093" w:rsidRDefault="00000000">
      <w:pPr>
        <w:pStyle w:val="Prrafodelista"/>
        <w:numPr>
          <w:ilvl w:val="0"/>
          <w:numId w:val="38"/>
        </w:numPr>
        <w:spacing w:before="120" w:after="120" w:line="360" w:lineRule="auto"/>
        <w:jc w:val="both"/>
        <w:rPr>
          <w:rFonts w:cstheme="minorHAnsi"/>
        </w:rPr>
      </w:pPr>
      <w:r>
        <w:rPr>
          <w:rFonts w:cstheme="minorHAnsi"/>
        </w:rPr>
        <w:t>Las entidades que integran el régimen autónomo descentralizado.</w:t>
      </w:r>
    </w:p>
    <w:p w14:paraId="0D6DAF1E" w14:textId="77777777" w:rsidR="007B3093" w:rsidRDefault="00000000">
      <w:pPr>
        <w:pStyle w:val="Prrafodelista"/>
        <w:numPr>
          <w:ilvl w:val="0"/>
          <w:numId w:val="38"/>
        </w:numPr>
        <w:spacing w:before="120" w:after="120" w:line="360" w:lineRule="auto"/>
        <w:jc w:val="both"/>
        <w:rPr>
          <w:rFonts w:cstheme="minorHAnsi"/>
        </w:rPr>
      </w:pPr>
      <w:r>
        <w:rPr>
          <w:rFonts w:cstheme="minorHAnsi"/>
        </w:rPr>
        <w:t>Los organismos y entidades creados por la Constitución o la ley para el ejercicio de la potestad estatal, para la prestación de servicios públicos o para desarrollar actividades económicas asumidas por el Estado.</w:t>
      </w:r>
    </w:p>
    <w:p w14:paraId="43E3D6D5" w14:textId="77777777" w:rsidR="007B3093" w:rsidRDefault="00000000">
      <w:pPr>
        <w:pStyle w:val="Prrafodelista"/>
        <w:numPr>
          <w:ilvl w:val="0"/>
          <w:numId w:val="38"/>
        </w:numPr>
        <w:spacing w:before="120" w:after="120" w:line="360" w:lineRule="auto"/>
        <w:jc w:val="both"/>
        <w:rPr>
          <w:rFonts w:cstheme="minorHAnsi"/>
        </w:rPr>
      </w:pPr>
      <w:r>
        <w:rPr>
          <w:rFonts w:cstheme="minorHAnsi"/>
        </w:rPr>
        <w:t>Las personas jurídicas creadas por acto normativo de los gobiernos autónomos descentralizados para la prestación de servicios públicos.</w:t>
      </w:r>
    </w:p>
    <w:p w14:paraId="16B5876B" w14:textId="77777777" w:rsidR="007B3093" w:rsidRDefault="00000000">
      <w:pPr>
        <w:spacing w:before="120" w:after="120" w:line="360" w:lineRule="auto"/>
        <w:ind w:left="142"/>
        <w:jc w:val="both"/>
        <w:rPr>
          <w:rFonts w:cstheme="minorHAnsi"/>
        </w:rPr>
      </w:pPr>
      <w:r>
        <w:rPr>
          <w:rFonts w:cstheme="minorHAnsi"/>
        </w:rPr>
        <w:t xml:space="preserve">Con este antecedente, el Servicio de Rentas Internas (SRI) elabora el “Listado Referencial </w:t>
      </w:r>
      <w:r>
        <w:rPr>
          <w:rFonts w:cstheme="minorHAnsi"/>
          <w:i/>
        </w:rPr>
        <w:t>Informativo</w:t>
      </w:r>
      <w:r>
        <w:rPr>
          <w:rFonts w:cstheme="minorHAnsi"/>
        </w:rPr>
        <w:t xml:space="preserve"> y Consolidado de Instituciones del Estado y Empresas Públicas”, que perciben Ingresos Exentos de Impuesto a la Renta y a quienes se les debe efectuar transferencias con tarifa 0% de IVA, el cual determina que existen 4.099 entidades públicas en el Ecuador.</w:t>
      </w:r>
    </w:p>
    <w:p w14:paraId="4D18C5C6" w14:textId="77777777" w:rsidR="007B3093" w:rsidRDefault="00000000">
      <w:pPr>
        <w:pStyle w:val="Prrafodelista"/>
        <w:spacing w:before="120" w:after="120" w:line="360" w:lineRule="auto"/>
        <w:ind w:left="142"/>
        <w:contextualSpacing w:val="0"/>
        <w:jc w:val="both"/>
        <w:rPr>
          <w:rFonts w:cstheme="minorHAnsi"/>
        </w:rPr>
      </w:pPr>
      <w:r>
        <w:rPr>
          <w:rFonts w:cstheme="minorHAnsi"/>
        </w:rPr>
        <w:t>Se establecerá para el presente proyecto, la demanda con una tasa de crecimiento del 3% anual estimado como un escenario, tomando como base los casos ingresados en la Procuraduría General del Estado, como se muestra en la siguiente tabla:</w:t>
      </w:r>
    </w:p>
    <w:p w14:paraId="4A6815B8" w14:textId="77777777" w:rsidR="007B3093" w:rsidRDefault="007B3093">
      <w:pPr>
        <w:pStyle w:val="Prrafodelista"/>
        <w:spacing w:before="120" w:after="120" w:line="360" w:lineRule="auto"/>
        <w:ind w:left="142"/>
        <w:contextualSpacing w:val="0"/>
        <w:jc w:val="both"/>
        <w:rPr>
          <w:rFonts w:cstheme="minorHAnsi"/>
        </w:rPr>
      </w:pPr>
    </w:p>
    <w:p w14:paraId="1616170D" w14:textId="77777777" w:rsidR="007B3093" w:rsidRDefault="00000000">
      <w:pPr>
        <w:autoSpaceDE w:val="0"/>
        <w:autoSpaceDN w:val="0"/>
        <w:adjustRightInd w:val="0"/>
        <w:spacing w:after="0" w:line="360" w:lineRule="auto"/>
        <w:ind w:left="-502" w:right="-1"/>
        <w:jc w:val="center"/>
        <w:rPr>
          <w:rFonts w:cstheme="minorHAnsi"/>
        </w:rPr>
      </w:pPr>
      <w:r>
        <w:rPr>
          <w:rFonts w:cstheme="minorHAnsi"/>
          <w:b/>
        </w:rPr>
        <w:t>Tabla 8: Demanda Proyectada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7"/>
        <w:gridCol w:w="922"/>
        <w:gridCol w:w="907"/>
        <w:gridCol w:w="907"/>
        <w:gridCol w:w="907"/>
        <w:gridCol w:w="907"/>
        <w:gridCol w:w="900"/>
        <w:gridCol w:w="897"/>
      </w:tblGrid>
      <w:tr w:rsidR="007B3093" w14:paraId="2A810576" w14:textId="77777777">
        <w:trPr>
          <w:trHeight w:val="300"/>
          <w:tblHeader/>
        </w:trPr>
        <w:tc>
          <w:tcPr>
            <w:tcW w:w="1263" w:type="pct"/>
            <w:shd w:val="clear" w:color="auto" w:fill="1F3864" w:themeFill="accent5" w:themeFillShade="80"/>
            <w:noWrap/>
            <w:hideMark/>
          </w:tcPr>
          <w:p w14:paraId="687F1414" w14:textId="77777777" w:rsidR="007B3093" w:rsidRDefault="00000000">
            <w:pPr>
              <w:spacing w:after="0" w:line="240" w:lineRule="auto"/>
              <w:jc w:val="center"/>
              <w:rPr>
                <w:b/>
                <w:color w:val="FFFFFF" w:themeColor="background1"/>
                <w:sz w:val="20"/>
                <w:szCs w:val="20"/>
              </w:rPr>
            </w:pPr>
            <w:r>
              <w:rPr>
                <w:b/>
                <w:color w:val="FFFFFF" w:themeColor="background1"/>
                <w:sz w:val="20"/>
                <w:szCs w:val="20"/>
              </w:rPr>
              <w:t>AREAS</w:t>
            </w:r>
          </w:p>
        </w:tc>
        <w:tc>
          <w:tcPr>
            <w:tcW w:w="543" w:type="pct"/>
            <w:shd w:val="clear" w:color="auto" w:fill="1F3864" w:themeFill="accent5" w:themeFillShade="80"/>
            <w:noWrap/>
            <w:hideMark/>
          </w:tcPr>
          <w:p w14:paraId="6E32329B" w14:textId="77777777" w:rsidR="007B3093" w:rsidRDefault="00000000">
            <w:pPr>
              <w:spacing w:after="0" w:line="240" w:lineRule="auto"/>
              <w:jc w:val="center"/>
              <w:rPr>
                <w:b/>
                <w:color w:val="FFFFFF" w:themeColor="background1"/>
                <w:sz w:val="20"/>
                <w:szCs w:val="20"/>
              </w:rPr>
            </w:pPr>
            <w:r>
              <w:rPr>
                <w:b/>
                <w:color w:val="FFFFFF" w:themeColor="background1"/>
                <w:sz w:val="20"/>
                <w:szCs w:val="20"/>
              </w:rPr>
              <w:t>2018</w:t>
            </w:r>
          </w:p>
        </w:tc>
        <w:tc>
          <w:tcPr>
            <w:tcW w:w="534" w:type="pct"/>
            <w:shd w:val="clear" w:color="auto" w:fill="1F3864" w:themeFill="accent5" w:themeFillShade="80"/>
            <w:noWrap/>
            <w:hideMark/>
          </w:tcPr>
          <w:p w14:paraId="16CC615E" w14:textId="77777777" w:rsidR="007B3093" w:rsidRDefault="00000000">
            <w:pPr>
              <w:spacing w:after="0" w:line="240" w:lineRule="auto"/>
              <w:jc w:val="center"/>
              <w:rPr>
                <w:b/>
                <w:color w:val="FFFFFF" w:themeColor="background1"/>
                <w:sz w:val="20"/>
                <w:szCs w:val="20"/>
              </w:rPr>
            </w:pPr>
            <w:r>
              <w:rPr>
                <w:b/>
                <w:color w:val="FFFFFF" w:themeColor="background1"/>
                <w:sz w:val="20"/>
                <w:szCs w:val="20"/>
              </w:rPr>
              <w:t>2019</w:t>
            </w:r>
          </w:p>
        </w:tc>
        <w:tc>
          <w:tcPr>
            <w:tcW w:w="534" w:type="pct"/>
            <w:shd w:val="clear" w:color="auto" w:fill="1F3864" w:themeFill="accent5" w:themeFillShade="80"/>
            <w:noWrap/>
            <w:hideMark/>
          </w:tcPr>
          <w:p w14:paraId="39C00CC5" w14:textId="77777777" w:rsidR="007B3093" w:rsidRDefault="00000000">
            <w:pPr>
              <w:spacing w:after="0" w:line="240" w:lineRule="auto"/>
              <w:jc w:val="center"/>
              <w:rPr>
                <w:b/>
                <w:color w:val="FFFFFF" w:themeColor="background1"/>
                <w:sz w:val="20"/>
                <w:szCs w:val="20"/>
              </w:rPr>
            </w:pPr>
            <w:r>
              <w:rPr>
                <w:b/>
                <w:color w:val="FFFFFF" w:themeColor="background1"/>
                <w:sz w:val="20"/>
                <w:szCs w:val="20"/>
              </w:rPr>
              <w:t>2020</w:t>
            </w:r>
          </w:p>
        </w:tc>
        <w:tc>
          <w:tcPr>
            <w:tcW w:w="534" w:type="pct"/>
            <w:shd w:val="clear" w:color="auto" w:fill="1F3864" w:themeFill="accent5" w:themeFillShade="80"/>
            <w:noWrap/>
            <w:hideMark/>
          </w:tcPr>
          <w:p w14:paraId="17B6AF32" w14:textId="77777777" w:rsidR="007B3093" w:rsidRDefault="00000000">
            <w:pPr>
              <w:spacing w:after="0" w:line="240" w:lineRule="auto"/>
              <w:jc w:val="center"/>
              <w:rPr>
                <w:b/>
                <w:color w:val="FFFFFF" w:themeColor="background1"/>
                <w:sz w:val="20"/>
                <w:szCs w:val="20"/>
              </w:rPr>
            </w:pPr>
            <w:r>
              <w:rPr>
                <w:b/>
                <w:color w:val="FFFFFF" w:themeColor="background1"/>
                <w:sz w:val="20"/>
                <w:szCs w:val="20"/>
              </w:rPr>
              <w:t>2021</w:t>
            </w:r>
          </w:p>
        </w:tc>
        <w:tc>
          <w:tcPr>
            <w:tcW w:w="534" w:type="pct"/>
            <w:shd w:val="clear" w:color="auto" w:fill="1F3864" w:themeFill="accent5" w:themeFillShade="80"/>
            <w:noWrap/>
            <w:hideMark/>
          </w:tcPr>
          <w:p w14:paraId="566BCB88" w14:textId="77777777" w:rsidR="007B3093" w:rsidRDefault="00000000">
            <w:pPr>
              <w:spacing w:after="0" w:line="240" w:lineRule="auto"/>
              <w:jc w:val="center"/>
              <w:rPr>
                <w:b/>
                <w:color w:val="FFFFFF" w:themeColor="background1"/>
                <w:sz w:val="20"/>
                <w:szCs w:val="20"/>
              </w:rPr>
            </w:pPr>
            <w:r>
              <w:rPr>
                <w:b/>
                <w:color w:val="FFFFFF" w:themeColor="background1"/>
                <w:sz w:val="20"/>
                <w:szCs w:val="20"/>
              </w:rPr>
              <w:t>2022</w:t>
            </w:r>
          </w:p>
        </w:tc>
        <w:tc>
          <w:tcPr>
            <w:tcW w:w="530" w:type="pct"/>
            <w:shd w:val="clear" w:color="auto" w:fill="1F3864" w:themeFill="accent5" w:themeFillShade="80"/>
          </w:tcPr>
          <w:p w14:paraId="006C0D5B" w14:textId="77777777" w:rsidR="007B3093" w:rsidRDefault="00000000">
            <w:pPr>
              <w:spacing w:after="0" w:line="240" w:lineRule="auto"/>
              <w:jc w:val="center"/>
              <w:rPr>
                <w:b/>
                <w:color w:val="FFFFFF" w:themeColor="background1"/>
                <w:sz w:val="20"/>
                <w:szCs w:val="20"/>
              </w:rPr>
            </w:pPr>
            <w:r>
              <w:rPr>
                <w:b/>
                <w:color w:val="FFFFFF" w:themeColor="background1"/>
                <w:sz w:val="20"/>
                <w:szCs w:val="20"/>
              </w:rPr>
              <w:t>2023</w:t>
            </w:r>
          </w:p>
        </w:tc>
        <w:tc>
          <w:tcPr>
            <w:tcW w:w="529" w:type="pct"/>
            <w:shd w:val="clear" w:color="auto" w:fill="1F3864" w:themeFill="accent5" w:themeFillShade="80"/>
            <w:noWrap/>
            <w:hideMark/>
          </w:tcPr>
          <w:p w14:paraId="4C491394" w14:textId="77777777" w:rsidR="007B3093" w:rsidRDefault="00000000">
            <w:pPr>
              <w:spacing w:after="0" w:line="240" w:lineRule="auto"/>
              <w:jc w:val="center"/>
              <w:rPr>
                <w:b/>
                <w:color w:val="FFFFFF" w:themeColor="background1"/>
                <w:sz w:val="20"/>
                <w:szCs w:val="20"/>
              </w:rPr>
            </w:pPr>
            <w:r>
              <w:rPr>
                <w:b/>
                <w:color w:val="FFFFFF" w:themeColor="background1"/>
                <w:sz w:val="20"/>
                <w:szCs w:val="20"/>
              </w:rPr>
              <w:t>2024</w:t>
            </w:r>
          </w:p>
        </w:tc>
      </w:tr>
      <w:tr w:rsidR="007B3093" w14:paraId="7D11922A" w14:textId="77777777">
        <w:trPr>
          <w:trHeight w:val="300"/>
        </w:trPr>
        <w:tc>
          <w:tcPr>
            <w:tcW w:w="1263" w:type="pct"/>
            <w:shd w:val="clear" w:color="auto" w:fill="auto"/>
            <w:noWrap/>
            <w:hideMark/>
          </w:tcPr>
          <w:p w14:paraId="32BB4600" w14:textId="77777777" w:rsidR="007B3093" w:rsidRDefault="00000000">
            <w:pPr>
              <w:spacing w:after="0" w:line="240" w:lineRule="auto"/>
              <w:jc w:val="center"/>
              <w:rPr>
                <w:b/>
                <w:sz w:val="20"/>
                <w:szCs w:val="20"/>
              </w:rPr>
            </w:pPr>
            <w:r>
              <w:rPr>
                <w:b/>
                <w:sz w:val="20"/>
                <w:szCs w:val="20"/>
              </w:rPr>
              <w:t>Patrocinio</w:t>
            </w:r>
          </w:p>
        </w:tc>
        <w:tc>
          <w:tcPr>
            <w:tcW w:w="543" w:type="pct"/>
            <w:shd w:val="clear" w:color="auto" w:fill="auto"/>
            <w:noWrap/>
            <w:vAlign w:val="center"/>
            <w:hideMark/>
          </w:tcPr>
          <w:p w14:paraId="55794870" w14:textId="77777777" w:rsidR="007B3093" w:rsidRDefault="00000000">
            <w:pPr>
              <w:spacing w:after="0" w:line="240" w:lineRule="auto"/>
              <w:jc w:val="center"/>
              <w:rPr>
                <w:b/>
                <w:sz w:val="20"/>
                <w:szCs w:val="20"/>
              </w:rPr>
            </w:pPr>
            <w:r>
              <w:rPr>
                <w:rFonts w:ascii="Calibri" w:hAnsi="Calibri"/>
                <w:color w:val="000000"/>
                <w:sz w:val="20"/>
                <w:szCs w:val="20"/>
              </w:rPr>
              <w:t>13.172</w:t>
            </w:r>
          </w:p>
        </w:tc>
        <w:tc>
          <w:tcPr>
            <w:tcW w:w="534" w:type="pct"/>
            <w:shd w:val="clear" w:color="auto" w:fill="auto"/>
            <w:noWrap/>
            <w:vAlign w:val="center"/>
            <w:hideMark/>
          </w:tcPr>
          <w:p w14:paraId="28DCD3BF" w14:textId="77777777" w:rsidR="007B3093" w:rsidRDefault="00000000">
            <w:pPr>
              <w:spacing w:after="0" w:line="240" w:lineRule="auto"/>
              <w:jc w:val="center"/>
              <w:rPr>
                <w:b/>
                <w:sz w:val="20"/>
                <w:szCs w:val="20"/>
              </w:rPr>
            </w:pPr>
            <w:r>
              <w:rPr>
                <w:rFonts w:ascii="Calibri" w:hAnsi="Calibri"/>
                <w:color w:val="000000"/>
                <w:sz w:val="20"/>
                <w:szCs w:val="20"/>
              </w:rPr>
              <w:t>13.567</w:t>
            </w:r>
          </w:p>
        </w:tc>
        <w:tc>
          <w:tcPr>
            <w:tcW w:w="534" w:type="pct"/>
            <w:shd w:val="clear" w:color="auto" w:fill="auto"/>
            <w:noWrap/>
            <w:vAlign w:val="center"/>
            <w:hideMark/>
          </w:tcPr>
          <w:p w14:paraId="3AB3FECF" w14:textId="77777777" w:rsidR="007B3093" w:rsidRDefault="00000000">
            <w:pPr>
              <w:spacing w:after="0" w:line="240" w:lineRule="auto"/>
              <w:jc w:val="center"/>
              <w:rPr>
                <w:b/>
                <w:sz w:val="20"/>
                <w:szCs w:val="20"/>
              </w:rPr>
            </w:pPr>
            <w:r>
              <w:rPr>
                <w:rFonts w:ascii="Calibri" w:hAnsi="Calibri"/>
                <w:color w:val="000000"/>
                <w:sz w:val="20"/>
                <w:szCs w:val="20"/>
              </w:rPr>
              <w:t>13.974</w:t>
            </w:r>
          </w:p>
        </w:tc>
        <w:tc>
          <w:tcPr>
            <w:tcW w:w="534" w:type="pct"/>
            <w:shd w:val="clear" w:color="auto" w:fill="auto"/>
            <w:noWrap/>
            <w:vAlign w:val="center"/>
            <w:hideMark/>
          </w:tcPr>
          <w:p w14:paraId="26431C6C" w14:textId="77777777" w:rsidR="007B3093" w:rsidRDefault="00000000">
            <w:pPr>
              <w:spacing w:after="0" w:line="240" w:lineRule="auto"/>
              <w:jc w:val="center"/>
              <w:rPr>
                <w:b/>
                <w:sz w:val="20"/>
                <w:szCs w:val="20"/>
              </w:rPr>
            </w:pPr>
            <w:r>
              <w:rPr>
                <w:rFonts w:ascii="Calibri" w:hAnsi="Calibri"/>
                <w:color w:val="000000"/>
                <w:sz w:val="20"/>
                <w:szCs w:val="20"/>
              </w:rPr>
              <w:t>14.393</w:t>
            </w:r>
          </w:p>
        </w:tc>
        <w:tc>
          <w:tcPr>
            <w:tcW w:w="534" w:type="pct"/>
            <w:shd w:val="clear" w:color="auto" w:fill="auto"/>
            <w:noWrap/>
            <w:vAlign w:val="center"/>
            <w:hideMark/>
          </w:tcPr>
          <w:p w14:paraId="77A6312D" w14:textId="77777777" w:rsidR="007B3093" w:rsidRDefault="00000000">
            <w:pPr>
              <w:spacing w:after="0" w:line="240" w:lineRule="auto"/>
              <w:jc w:val="center"/>
              <w:rPr>
                <w:b/>
                <w:sz w:val="20"/>
                <w:szCs w:val="20"/>
              </w:rPr>
            </w:pPr>
            <w:r>
              <w:rPr>
                <w:rFonts w:ascii="Calibri" w:hAnsi="Calibri"/>
                <w:color w:val="000000"/>
                <w:sz w:val="20"/>
                <w:szCs w:val="20"/>
              </w:rPr>
              <w:t>14.825</w:t>
            </w:r>
          </w:p>
        </w:tc>
        <w:tc>
          <w:tcPr>
            <w:tcW w:w="530" w:type="pct"/>
            <w:vAlign w:val="center"/>
          </w:tcPr>
          <w:p w14:paraId="3DB9724D" w14:textId="77777777" w:rsidR="007B3093" w:rsidRDefault="00000000">
            <w:pPr>
              <w:spacing w:after="0" w:line="240" w:lineRule="auto"/>
              <w:jc w:val="center"/>
              <w:rPr>
                <w:b/>
                <w:sz w:val="20"/>
                <w:szCs w:val="20"/>
              </w:rPr>
            </w:pPr>
            <w:r>
              <w:rPr>
                <w:rFonts w:ascii="Calibri" w:hAnsi="Calibri"/>
                <w:color w:val="000000"/>
                <w:sz w:val="20"/>
                <w:szCs w:val="20"/>
              </w:rPr>
              <w:t>15.270</w:t>
            </w:r>
          </w:p>
        </w:tc>
        <w:tc>
          <w:tcPr>
            <w:tcW w:w="529" w:type="pct"/>
            <w:shd w:val="clear" w:color="auto" w:fill="auto"/>
            <w:noWrap/>
            <w:vAlign w:val="center"/>
            <w:hideMark/>
          </w:tcPr>
          <w:p w14:paraId="0E62BDA1" w14:textId="77777777" w:rsidR="007B3093" w:rsidRDefault="00000000">
            <w:pPr>
              <w:spacing w:after="0" w:line="240" w:lineRule="auto"/>
              <w:jc w:val="center"/>
              <w:rPr>
                <w:b/>
                <w:sz w:val="20"/>
                <w:szCs w:val="20"/>
              </w:rPr>
            </w:pPr>
            <w:r>
              <w:rPr>
                <w:rFonts w:ascii="Calibri" w:hAnsi="Calibri"/>
                <w:color w:val="000000"/>
                <w:sz w:val="20"/>
                <w:szCs w:val="20"/>
              </w:rPr>
              <w:t>15.270</w:t>
            </w:r>
          </w:p>
        </w:tc>
      </w:tr>
      <w:tr w:rsidR="007B3093" w14:paraId="27C2B8BF" w14:textId="77777777">
        <w:trPr>
          <w:trHeight w:val="300"/>
        </w:trPr>
        <w:tc>
          <w:tcPr>
            <w:tcW w:w="1263" w:type="pct"/>
            <w:shd w:val="clear" w:color="auto" w:fill="auto"/>
            <w:noWrap/>
            <w:hideMark/>
          </w:tcPr>
          <w:p w14:paraId="26215CCE" w14:textId="77777777" w:rsidR="007B3093" w:rsidRDefault="00000000">
            <w:pPr>
              <w:spacing w:after="0" w:line="240" w:lineRule="auto"/>
              <w:jc w:val="center"/>
              <w:rPr>
                <w:b/>
                <w:sz w:val="20"/>
                <w:szCs w:val="20"/>
              </w:rPr>
            </w:pPr>
            <w:r>
              <w:rPr>
                <w:b/>
                <w:sz w:val="20"/>
                <w:szCs w:val="20"/>
              </w:rPr>
              <w:t>Asuntos Internacionales</w:t>
            </w:r>
          </w:p>
        </w:tc>
        <w:tc>
          <w:tcPr>
            <w:tcW w:w="543" w:type="pct"/>
            <w:shd w:val="clear" w:color="auto" w:fill="auto"/>
            <w:noWrap/>
            <w:vAlign w:val="center"/>
            <w:hideMark/>
          </w:tcPr>
          <w:p w14:paraId="68F214F0" w14:textId="77777777" w:rsidR="007B3093" w:rsidRDefault="00000000">
            <w:pPr>
              <w:spacing w:after="0" w:line="240" w:lineRule="auto"/>
              <w:jc w:val="center"/>
              <w:rPr>
                <w:b/>
                <w:sz w:val="20"/>
                <w:szCs w:val="20"/>
              </w:rPr>
            </w:pPr>
            <w:r>
              <w:rPr>
                <w:rFonts w:ascii="Calibri" w:hAnsi="Calibri"/>
                <w:color w:val="000000"/>
                <w:sz w:val="20"/>
                <w:szCs w:val="20"/>
              </w:rPr>
              <w:t>20</w:t>
            </w:r>
          </w:p>
        </w:tc>
        <w:tc>
          <w:tcPr>
            <w:tcW w:w="534" w:type="pct"/>
            <w:shd w:val="clear" w:color="auto" w:fill="auto"/>
            <w:noWrap/>
            <w:vAlign w:val="center"/>
            <w:hideMark/>
          </w:tcPr>
          <w:p w14:paraId="2A1A2DAE" w14:textId="77777777" w:rsidR="007B3093" w:rsidRDefault="00000000">
            <w:pPr>
              <w:spacing w:after="0" w:line="240" w:lineRule="auto"/>
              <w:jc w:val="center"/>
              <w:rPr>
                <w:b/>
                <w:sz w:val="20"/>
                <w:szCs w:val="20"/>
              </w:rPr>
            </w:pPr>
            <w:r>
              <w:rPr>
                <w:rFonts w:ascii="Calibri" w:hAnsi="Calibri"/>
                <w:color w:val="000000"/>
                <w:sz w:val="20"/>
                <w:szCs w:val="20"/>
              </w:rPr>
              <w:t>21</w:t>
            </w:r>
          </w:p>
        </w:tc>
        <w:tc>
          <w:tcPr>
            <w:tcW w:w="534" w:type="pct"/>
            <w:shd w:val="clear" w:color="auto" w:fill="auto"/>
            <w:noWrap/>
            <w:vAlign w:val="center"/>
            <w:hideMark/>
          </w:tcPr>
          <w:p w14:paraId="495734AB" w14:textId="77777777" w:rsidR="007B3093" w:rsidRDefault="00000000">
            <w:pPr>
              <w:spacing w:after="0" w:line="240" w:lineRule="auto"/>
              <w:jc w:val="center"/>
              <w:rPr>
                <w:b/>
                <w:sz w:val="20"/>
                <w:szCs w:val="20"/>
              </w:rPr>
            </w:pPr>
            <w:r>
              <w:rPr>
                <w:rFonts w:ascii="Calibri" w:hAnsi="Calibri"/>
                <w:color w:val="000000"/>
                <w:sz w:val="20"/>
                <w:szCs w:val="20"/>
              </w:rPr>
              <w:t>21</w:t>
            </w:r>
          </w:p>
        </w:tc>
        <w:tc>
          <w:tcPr>
            <w:tcW w:w="534" w:type="pct"/>
            <w:shd w:val="clear" w:color="auto" w:fill="auto"/>
            <w:noWrap/>
            <w:vAlign w:val="center"/>
            <w:hideMark/>
          </w:tcPr>
          <w:p w14:paraId="318C5066" w14:textId="77777777" w:rsidR="007B3093" w:rsidRDefault="00000000">
            <w:pPr>
              <w:spacing w:after="0" w:line="240" w:lineRule="auto"/>
              <w:jc w:val="center"/>
              <w:rPr>
                <w:b/>
                <w:sz w:val="20"/>
                <w:szCs w:val="20"/>
              </w:rPr>
            </w:pPr>
            <w:r>
              <w:rPr>
                <w:rFonts w:ascii="Calibri" w:hAnsi="Calibri"/>
                <w:color w:val="000000"/>
                <w:sz w:val="20"/>
                <w:szCs w:val="20"/>
              </w:rPr>
              <w:t>22</w:t>
            </w:r>
          </w:p>
        </w:tc>
        <w:tc>
          <w:tcPr>
            <w:tcW w:w="534" w:type="pct"/>
            <w:shd w:val="clear" w:color="auto" w:fill="auto"/>
            <w:noWrap/>
            <w:vAlign w:val="center"/>
            <w:hideMark/>
          </w:tcPr>
          <w:p w14:paraId="6EF52F72" w14:textId="77777777" w:rsidR="007B3093" w:rsidRDefault="00000000">
            <w:pPr>
              <w:spacing w:after="0" w:line="240" w:lineRule="auto"/>
              <w:jc w:val="center"/>
              <w:rPr>
                <w:b/>
                <w:sz w:val="20"/>
                <w:szCs w:val="20"/>
              </w:rPr>
            </w:pPr>
            <w:r>
              <w:rPr>
                <w:rFonts w:ascii="Calibri" w:hAnsi="Calibri"/>
                <w:color w:val="000000"/>
                <w:sz w:val="20"/>
                <w:szCs w:val="20"/>
              </w:rPr>
              <w:t>23</w:t>
            </w:r>
          </w:p>
        </w:tc>
        <w:tc>
          <w:tcPr>
            <w:tcW w:w="530" w:type="pct"/>
            <w:vAlign w:val="center"/>
          </w:tcPr>
          <w:p w14:paraId="4F2A12D0" w14:textId="77777777" w:rsidR="007B3093" w:rsidRDefault="00000000">
            <w:pPr>
              <w:spacing w:after="0" w:line="240" w:lineRule="auto"/>
              <w:jc w:val="center"/>
              <w:rPr>
                <w:b/>
                <w:sz w:val="20"/>
                <w:szCs w:val="20"/>
              </w:rPr>
            </w:pPr>
            <w:r>
              <w:rPr>
                <w:rFonts w:ascii="Calibri" w:hAnsi="Calibri"/>
                <w:color w:val="000000"/>
                <w:sz w:val="20"/>
                <w:szCs w:val="20"/>
              </w:rPr>
              <w:t>23</w:t>
            </w:r>
          </w:p>
        </w:tc>
        <w:tc>
          <w:tcPr>
            <w:tcW w:w="529" w:type="pct"/>
            <w:shd w:val="clear" w:color="auto" w:fill="auto"/>
            <w:noWrap/>
            <w:vAlign w:val="center"/>
            <w:hideMark/>
          </w:tcPr>
          <w:p w14:paraId="1C208CB5" w14:textId="77777777" w:rsidR="007B3093" w:rsidRDefault="00000000">
            <w:pPr>
              <w:spacing w:after="0" w:line="240" w:lineRule="auto"/>
              <w:jc w:val="center"/>
              <w:rPr>
                <w:b/>
                <w:sz w:val="20"/>
                <w:szCs w:val="20"/>
              </w:rPr>
            </w:pPr>
            <w:r>
              <w:rPr>
                <w:rFonts w:ascii="Calibri" w:hAnsi="Calibri"/>
                <w:color w:val="000000"/>
                <w:sz w:val="20"/>
                <w:szCs w:val="20"/>
              </w:rPr>
              <w:t>23</w:t>
            </w:r>
          </w:p>
        </w:tc>
      </w:tr>
      <w:tr w:rsidR="007B3093" w14:paraId="110C5D04" w14:textId="77777777">
        <w:trPr>
          <w:trHeight w:val="300"/>
        </w:trPr>
        <w:tc>
          <w:tcPr>
            <w:tcW w:w="1263" w:type="pct"/>
            <w:shd w:val="clear" w:color="auto" w:fill="auto"/>
            <w:noWrap/>
            <w:hideMark/>
          </w:tcPr>
          <w:p w14:paraId="74364BAE" w14:textId="77777777" w:rsidR="007B3093" w:rsidRDefault="00000000">
            <w:pPr>
              <w:spacing w:after="0" w:line="240" w:lineRule="auto"/>
              <w:jc w:val="center"/>
              <w:rPr>
                <w:b/>
                <w:sz w:val="20"/>
                <w:szCs w:val="20"/>
              </w:rPr>
            </w:pPr>
            <w:r>
              <w:rPr>
                <w:b/>
                <w:sz w:val="20"/>
                <w:szCs w:val="20"/>
              </w:rPr>
              <w:lastRenderedPageBreak/>
              <w:t>DDHH</w:t>
            </w:r>
          </w:p>
        </w:tc>
        <w:tc>
          <w:tcPr>
            <w:tcW w:w="543" w:type="pct"/>
            <w:shd w:val="clear" w:color="auto" w:fill="auto"/>
            <w:noWrap/>
            <w:vAlign w:val="center"/>
            <w:hideMark/>
          </w:tcPr>
          <w:p w14:paraId="6202394F" w14:textId="77777777" w:rsidR="007B3093" w:rsidRDefault="00000000">
            <w:pPr>
              <w:spacing w:after="0" w:line="240" w:lineRule="auto"/>
              <w:jc w:val="center"/>
              <w:rPr>
                <w:b/>
                <w:sz w:val="20"/>
                <w:szCs w:val="20"/>
              </w:rPr>
            </w:pPr>
            <w:r>
              <w:rPr>
                <w:rFonts w:ascii="Calibri" w:hAnsi="Calibri"/>
                <w:color w:val="000000"/>
                <w:sz w:val="20"/>
                <w:szCs w:val="20"/>
              </w:rPr>
              <w:t>112</w:t>
            </w:r>
          </w:p>
        </w:tc>
        <w:tc>
          <w:tcPr>
            <w:tcW w:w="534" w:type="pct"/>
            <w:shd w:val="clear" w:color="auto" w:fill="auto"/>
            <w:noWrap/>
            <w:vAlign w:val="center"/>
            <w:hideMark/>
          </w:tcPr>
          <w:p w14:paraId="0A5D8982" w14:textId="77777777" w:rsidR="007B3093" w:rsidRDefault="00000000">
            <w:pPr>
              <w:spacing w:after="0" w:line="240" w:lineRule="auto"/>
              <w:jc w:val="center"/>
              <w:rPr>
                <w:b/>
                <w:sz w:val="20"/>
                <w:szCs w:val="20"/>
              </w:rPr>
            </w:pPr>
            <w:r>
              <w:rPr>
                <w:rFonts w:ascii="Calibri" w:hAnsi="Calibri"/>
                <w:color w:val="000000"/>
                <w:sz w:val="20"/>
                <w:szCs w:val="20"/>
              </w:rPr>
              <w:t>115</w:t>
            </w:r>
          </w:p>
        </w:tc>
        <w:tc>
          <w:tcPr>
            <w:tcW w:w="534" w:type="pct"/>
            <w:shd w:val="clear" w:color="auto" w:fill="auto"/>
            <w:noWrap/>
            <w:vAlign w:val="center"/>
            <w:hideMark/>
          </w:tcPr>
          <w:p w14:paraId="4170F2BA" w14:textId="77777777" w:rsidR="007B3093" w:rsidRDefault="00000000">
            <w:pPr>
              <w:spacing w:after="0" w:line="240" w:lineRule="auto"/>
              <w:jc w:val="center"/>
              <w:rPr>
                <w:b/>
                <w:sz w:val="20"/>
                <w:szCs w:val="20"/>
              </w:rPr>
            </w:pPr>
            <w:r>
              <w:rPr>
                <w:rFonts w:ascii="Calibri" w:hAnsi="Calibri"/>
                <w:color w:val="000000"/>
                <w:sz w:val="20"/>
                <w:szCs w:val="20"/>
              </w:rPr>
              <w:t>119</w:t>
            </w:r>
          </w:p>
        </w:tc>
        <w:tc>
          <w:tcPr>
            <w:tcW w:w="534" w:type="pct"/>
            <w:shd w:val="clear" w:color="auto" w:fill="auto"/>
            <w:noWrap/>
            <w:vAlign w:val="center"/>
            <w:hideMark/>
          </w:tcPr>
          <w:p w14:paraId="251CB3BF" w14:textId="77777777" w:rsidR="007B3093" w:rsidRDefault="00000000">
            <w:pPr>
              <w:spacing w:after="0" w:line="240" w:lineRule="auto"/>
              <w:jc w:val="center"/>
              <w:rPr>
                <w:b/>
                <w:sz w:val="20"/>
                <w:szCs w:val="20"/>
              </w:rPr>
            </w:pPr>
            <w:r>
              <w:rPr>
                <w:rFonts w:ascii="Calibri" w:hAnsi="Calibri"/>
                <w:color w:val="000000"/>
                <w:sz w:val="20"/>
                <w:szCs w:val="20"/>
              </w:rPr>
              <w:t>122</w:t>
            </w:r>
          </w:p>
        </w:tc>
        <w:tc>
          <w:tcPr>
            <w:tcW w:w="534" w:type="pct"/>
            <w:shd w:val="clear" w:color="auto" w:fill="auto"/>
            <w:noWrap/>
            <w:vAlign w:val="center"/>
            <w:hideMark/>
          </w:tcPr>
          <w:p w14:paraId="5928689F" w14:textId="77777777" w:rsidR="007B3093" w:rsidRDefault="00000000">
            <w:pPr>
              <w:spacing w:after="0" w:line="240" w:lineRule="auto"/>
              <w:jc w:val="center"/>
              <w:rPr>
                <w:b/>
                <w:sz w:val="20"/>
                <w:szCs w:val="20"/>
              </w:rPr>
            </w:pPr>
            <w:r>
              <w:rPr>
                <w:rFonts w:ascii="Calibri" w:hAnsi="Calibri"/>
                <w:color w:val="000000"/>
                <w:sz w:val="20"/>
                <w:szCs w:val="20"/>
              </w:rPr>
              <w:t>126</w:t>
            </w:r>
          </w:p>
        </w:tc>
        <w:tc>
          <w:tcPr>
            <w:tcW w:w="530" w:type="pct"/>
            <w:vAlign w:val="center"/>
          </w:tcPr>
          <w:p w14:paraId="7E428B7A" w14:textId="77777777" w:rsidR="007B3093" w:rsidRDefault="00000000">
            <w:pPr>
              <w:spacing w:after="0" w:line="240" w:lineRule="auto"/>
              <w:jc w:val="center"/>
              <w:rPr>
                <w:b/>
                <w:sz w:val="20"/>
                <w:szCs w:val="20"/>
              </w:rPr>
            </w:pPr>
            <w:r>
              <w:rPr>
                <w:rFonts w:ascii="Calibri" w:hAnsi="Calibri"/>
                <w:color w:val="000000"/>
                <w:sz w:val="20"/>
                <w:szCs w:val="20"/>
              </w:rPr>
              <w:t>130</w:t>
            </w:r>
          </w:p>
        </w:tc>
        <w:tc>
          <w:tcPr>
            <w:tcW w:w="529" w:type="pct"/>
            <w:shd w:val="clear" w:color="auto" w:fill="auto"/>
            <w:noWrap/>
            <w:vAlign w:val="center"/>
            <w:hideMark/>
          </w:tcPr>
          <w:p w14:paraId="59EDC0DA" w14:textId="77777777" w:rsidR="007B3093" w:rsidRDefault="00000000">
            <w:pPr>
              <w:spacing w:after="0" w:line="240" w:lineRule="auto"/>
              <w:jc w:val="center"/>
              <w:rPr>
                <w:b/>
                <w:sz w:val="20"/>
                <w:szCs w:val="20"/>
              </w:rPr>
            </w:pPr>
            <w:r>
              <w:rPr>
                <w:rFonts w:ascii="Calibri" w:hAnsi="Calibri"/>
                <w:color w:val="000000"/>
                <w:sz w:val="20"/>
                <w:szCs w:val="20"/>
              </w:rPr>
              <w:t>130</w:t>
            </w:r>
          </w:p>
        </w:tc>
      </w:tr>
      <w:tr w:rsidR="007B3093" w14:paraId="5BFBFA33" w14:textId="77777777">
        <w:trPr>
          <w:trHeight w:val="300"/>
        </w:trPr>
        <w:tc>
          <w:tcPr>
            <w:tcW w:w="1263" w:type="pct"/>
            <w:shd w:val="clear" w:color="auto" w:fill="auto"/>
            <w:noWrap/>
            <w:hideMark/>
          </w:tcPr>
          <w:p w14:paraId="2259128F" w14:textId="77777777" w:rsidR="007B3093" w:rsidRDefault="00000000">
            <w:pPr>
              <w:spacing w:after="0" w:line="240" w:lineRule="auto"/>
              <w:jc w:val="center"/>
              <w:rPr>
                <w:b/>
                <w:sz w:val="20"/>
                <w:szCs w:val="20"/>
              </w:rPr>
            </w:pPr>
            <w:r>
              <w:rPr>
                <w:b/>
                <w:sz w:val="20"/>
                <w:szCs w:val="20"/>
              </w:rPr>
              <w:t>Mediación</w:t>
            </w:r>
          </w:p>
        </w:tc>
        <w:tc>
          <w:tcPr>
            <w:tcW w:w="543" w:type="pct"/>
            <w:shd w:val="clear" w:color="auto" w:fill="auto"/>
            <w:noWrap/>
            <w:vAlign w:val="center"/>
            <w:hideMark/>
          </w:tcPr>
          <w:p w14:paraId="4E29C2F4" w14:textId="77777777" w:rsidR="007B3093" w:rsidRDefault="00000000">
            <w:pPr>
              <w:spacing w:after="0" w:line="240" w:lineRule="auto"/>
              <w:jc w:val="center"/>
              <w:rPr>
                <w:b/>
                <w:sz w:val="20"/>
                <w:szCs w:val="20"/>
              </w:rPr>
            </w:pPr>
            <w:r>
              <w:rPr>
                <w:rFonts w:ascii="Calibri" w:hAnsi="Calibri"/>
                <w:color w:val="000000"/>
                <w:sz w:val="20"/>
                <w:szCs w:val="20"/>
              </w:rPr>
              <w:t>1.492</w:t>
            </w:r>
          </w:p>
        </w:tc>
        <w:tc>
          <w:tcPr>
            <w:tcW w:w="534" w:type="pct"/>
            <w:shd w:val="clear" w:color="auto" w:fill="auto"/>
            <w:noWrap/>
            <w:vAlign w:val="center"/>
            <w:hideMark/>
          </w:tcPr>
          <w:p w14:paraId="3328DDAA" w14:textId="77777777" w:rsidR="007B3093" w:rsidRDefault="00000000">
            <w:pPr>
              <w:spacing w:after="0" w:line="240" w:lineRule="auto"/>
              <w:jc w:val="center"/>
              <w:rPr>
                <w:b/>
                <w:sz w:val="20"/>
                <w:szCs w:val="20"/>
              </w:rPr>
            </w:pPr>
            <w:r>
              <w:rPr>
                <w:rFonts w:ascii="Calibri" w:hAnsi="Calibri"/>
                <w:color w:val="000000"/>
                <w:sz w:val="20"/>
                <w:szCs w:val="20"/>
              </w:rPr>
              <w:t>1.537</w:t>
            </w:r>
          </w:p>
        </w:tc>
        <w:tc>
          <w:tcPr>
            <w:tcW w:w="534" w:type="pct"/>
            <w:shd w:val="clear" w:color="auto" w:fill="auto"/>
            <w:noWrap/>
            <w:vAlign w:val="center"/>
            <w:hideMark/>
          </w:tcPr>
          <w:p w14:paraId="41CC8020" w14:textId="77777777" w:rsidR="007B3093" w:rsidRDefault="00000000">
            <w:pPr>
              <w:spacing w:after="0" w:line="240" w:lineRule="auto"/>
              <w:jc w:val="center"/>
              <w:rPr>
                <w:b/>
                <w:sz w:val="20"/>
                <w:szCs w:val="20"/>
              </w:rPr>
            </w:pPr>
            <w:r>
              <w:rPr>
                <w:rFonts w:ascii="Calibri" w:hAnsi="Calibri"/>
                <w:color w:val="000000"/>
                <w:sz w:val="20"/>
                <w:szCs w:val="20"/>
              </w:rPr>
              <w:t>1.583</w:t>
            </w:r>
          </w:p>
        </w:tc>
        <w:tc>
          <w:tcPr>
            <w:tcW w:w="534" w:type="pct"/>
            <w:shd w:val="clear" w:color="auto" w:fill="auto"/>
            <w:noWrap/>
            <w:vAlign w:val="center"/>
            <w:hideMark/>
          </w:tcPr>
          <w:p w14:paraId="5D5C1C65" w14:textId="77777777" w:rsidR="007B3093" w:rsidRDefault="00000000">
            <w:pPr>
              <w:spacing w:after="0" w:line="240" w:lineRule="auto"/>
              <w:jc w:val="center"/>
              <w:rPr>
                <w:b/>
                <w:sz w:val="20"/>
                <w:szCs w:val="20"/>
              </w:rPr>
            </w:pPr>
            <w:r>
              <w:rPr>
                <w:rFonts w:ascii="Calibri" w:hAnsi="Calibri"/>
                <w:color w:val="000000"/>
                <w:sz w:val="20"/>
                <w:szCs w:val="20"/>
              </w:rPr>
              <w:t>1.630</w:t>
            </w:r>
          </w:p>
        </w:tc>
        <w:tc>
          <w:tcPr>
            <w:tcW w:w="534" w:type="pct"/>
            <w:shd w:val="clear" w:color="auto" w:fill="auto"/>
            <w:noWrap/>
            <w:vAlign w:val="center"/>
            <w:hideMark/>
          </w:tcPr>
          <w:p w14:paraId="31BA478D" w14:textId="77777777" w:rsidR="007B3093" w:rsidRDefault="00000000">
            <w:pPr>
              <w:spacing w:after="0" w:line="240" w:lineRule="auto"/>
              <w:jc w:val="center"/>
              <w:rPr>
                <w:b/>
                <w:sz w:val="20"/>
                <w:szCs w:val="20"/>
              </w:rPr>
            </w:pPr>
            <w:r>
              <w:rPr>
                <w:rFonts w:ascii="Calibri" w:hAnsi="Calibri"/>
                <w:color w:val="000000"/>
                <w:sz w:val="20"/>
                <w:szCs w:val="20"/>
              </w:rPr>
              <w:t>1.679</w:t>
            </w:r>
          </w:p>
        </w:tc>
        <w:tc>
          <w:tcPr>
            <w:tcW w:w="530" w:type="pct"/>
            <w:vAlign w:val="center"/>
          </w:tcPr>
          <w:p w14:paraId="5257C589" w14:textId="77777777" w:rsidR="007B3093" w:rsidRDefault="00000000">
            <w:pPr>
              <w:spacing w:after="0" w:line="240" w:lineRule="auto"/>
              <w:jc w:val="center"/>
              <w:rPr>
                <w:b/>
                <w:sz w:val="20"/>
                <w:szCs w:val="20"/>
              </w:rPr>
            </w:pPr>
            <w:r>
              <w:rPr>
                <w:rFonts w:ascii="Calibri" w:hAnsi="Calibri"/>
                <w:color w:val="000000"/>
                <w:sz w:val="20"/>
                <w:szCs w:val="20"/>
              </w:rPr>
              <w:t>1.730</w:t>
            </w:r>
          </w:p>
        </w:tc>
        <w:tc>
          <w:tcPr>
            <w:tcW w:w="529" w:type="pct"/>
            <w:shd w:val="clear" w:color="auto" w:fill="auto"/>
            <w:noWrap/>
            <w:vAlign w:val="center"/>
            <w:hideMark/>
          </w:tcPr>
          <w:p w14:paraId="0C420665" w14:textId="77777777" w:rsidR="007B3093" w:rsidRDefault="00000000">
            <w:pPr>
              <w:spacing w:after="0" w:line="240" w:lineRule="auto"/>
              <w:jc w:val="center"/>
              <w:rPr>
                <w:b/>
                <w:sz w:val="20"/>
                <w:szCs w:val="20"/>
              </w:rPr>
            </w:pPr>
            <w:r>
              <w:rPr>
                <w:rFonts w:ascii="Calibri" w:hAnsi="Calibri"/>
                <w:color w:val="000000"/>
                <w:sz w:val="20"/>
                <w:szCs w:val="20"/>
              </w:rPr>
              <w:t>1.730</w:t>
            </w:r>
          </w:p>
        </w:tc>
      </w:tr>
      <w:tr w:rsidR="007B3093" w14:paraId="7A8DAA70" w14:textId="77777777">
        <w:trPr>
          <w:trHeight w:val="300"/>
        </w:trPr>
        <w:tc>
          <w:tcPr>
            <w:tcW w:w="1263" w:type="pct"/>
            <w:shd w:val="clear" w:color="auto" w:fill="auto"/>
            <w:noWrap/>
            <w:hideMark/>
          </w:tcPr>
          <w:p w14:paraId="6CBA687E" w14:textId="77777777" w:rsidR="007B3093" w:rsidRDefault="00000000">
            <w:pPr>
              <w:spacing w:after="0" w:line="240" w:lineRule="auto"/>
              <w:jc w:val="center"/>
              <w:rPr>
                <w:b/>
                <w:sz w:val="20"/>
                <w:szCs w:val="20"/>
              </w:rPr>
            </w:pPr>
            <w:r>
              <w:rPr>
                <w:b/>
                <w:sz w:val="20"/>
                <w:szCs w:val="20"/>
              </w:rPr>
              <w:t>Consultoría</w:t>
            </w:r>
          </w:p>
        </w:tc>
        <w:tc>
          <w:tcPr>
            <w:tcW w:w="543" w:type="pct"/>
            <w:shd w:val="clear" w:color="auto" w:fill="auto"/>
            <w:noWrap/>
            <w:vAlign w:val="center"/>
            <w:hideMark/>
          </w:tcPr>
          <w:p w14:paraId="46478E2D" w14:textId="77777777" w:rsidR="007B3093" w:rsidRDefault="00000000">
            <w:pPr>
              <w:spacing w:after="0" w:line="240" w:lineRule="auto"/>
              <w:jc w:val="center"/>
              <w:rPr>
                <w:b/>
                <w:sz w:val="20"/>
                <w:szCs w:val="20"/>
              </w:rPr>
            </w:pPr>
            <w:r>
              <w:rPr>
                <w:rFonts w:ascii="Calibri" w:hAnsi="Calibri"/>
                <w:color w:val="000000"/>
                <w:sz w:val="20"/>
                <w:szCs w:val="20"/>
              </w:rPr>
              <w:t>588</w:t>
            </w:r>
          </w:p>
        </w:tc>
        <w:tc>
          <w:tcPr>
            <w:tcW w:w="534" w:type="pct"/>
            <w:shd w:val="clear" w:color="auto" w:fill="auto"/>
            <w:noWrap/>
            <w:vAlign w:val="center"/>
            <w:hideMark/>
          </w:tcPr>
          <w:p w14:paraId="42263D79" w14:textId="77777777" w:rsidR="007B3093" w:rsidRDefault="00000000">
            <w:pPr>
              <w:spacing w:after="0" w:line="240" w:lineRule="auto"/>
              <w:jc w:val="center"/>
              <w:rPr>
                <w:b/>
                <w:sz w:val="20"/>
                <w:szCs w:val="20"/>
              </w:rPr>
            </w:pPr>
            <w:r>
              <w:rPr>
                <w:rFonts w:ascii="Calibri" w:hAnsi="Calibri"/>
                <w:color w:val="000000"/>
                <w:sz w:val="20"/>
                <w:szCs w:val="20"/>
              </w:rPr>
              <w:t>606</w:t>
            </w:r>
          </w:p>
        </w:tc>
        <w:tc>
          <w:tcPr>
            <w:tcW w:w="534" w:type="pct"/>
            <w:shd w:val="clear" w:color="auto" w:fill="auto"/>
            <w:noWrap/>
            <w:vAlign w:val="center"/>
            <w:hideMark/>
          </w:tcPr>
          <w:p w14:paraId="50111EBA" w14:textId="77777777" w:rsidR="007B3093" w:rsidRDefault="00000000">
            <w:pPr>
              <w:spacing w:after="0" w:line="240" w:lineRule="auto"/>
              <w:jc w:val="center"/>
              <w:rPr>
                <w:b/>
                <w:sz w:val="20"/>
                <w:szCs w:val="20"/>
              </w:rPr>
            </w:pPr>
            <w:r>
              <w:rPr>
                <w:rFonts w:ascii="Calibri" w:hAnsi="Calibri"/>
                <w:color w:val="000000"/>
                <w:sz w:val="20"/>
                <w:szCs w:val="20"/>
              </w:rPr>
              <w:t>624</w:t>
            </w:r>
          </w:p>
        </w:tc>
        <w:tc>
          <w:tcPr>
            <w:tcW w:w="534" w:type="pct"/>
            <w:shd w:val="clear" w:color="auto" w:fill="auto"/>
            <w:noWrap/>
            <w:vAlign w:val="center"/>
            <w:hideMark/>
          </w:tcPr>
          <w:p w14:paraId="3BD4A242" w14:textId="77777777" w:rsidR="007B3093" w:rsidRDefault="00000000">
            <w:pPr>
              <w:spacing w:after="0" w:line="240" w:lineRule="auto"/>
              <w:jc w:val="center"/>
              <w:rPr>
                <w:b/>
                <w:sz w:val="20"/>
                <w:szCs w:val="20"/>
              </w:rPr>
            </w:pPr>
            <w:r>
              <w:rPr>
                <w:rFonts w:ascii="Calibri" w:hAnsi="Calibri"/>
                <w:color w:val="000000"/>
                <w:sz w:val="20"/>
                <w:szCs w:val="20"/>
              </w:rPr>
              <w:t>643</w:t>
            </w:r>
          </w:p>
        </w:tc>
        <w:tc>
          <w:tcPr>
            <w:tcW w:w="534" w:type="pct"/>
            <w:shd w:val="clear" w:color="auto" w:fill="auto"/>
            <w:noWrap/>
            <w:vAlign w:val="center"/>
            <w:hideMark/>
          </w:tcPr>
          <w:p w14:paraId="67618BE6" w14:textId="77777777" w:rsidR="007B3093" w:rsidRDefault="00000000">
            <w:pPr>
              <w:spacing w:after="0" w:line="240" w:lineRule="auto"/>
              <w:jc w:val="center"/>
              <w:rPr>
                <w:b/>
                <w:sz w:val="20"/>
                <w:szCs w:val="20"/>
              </w:rPr>
            </w:pPr>
            <w:r>
              <w:rPr>
                <w:rFonts w:ascii="Calibri" w:hAnsi="Calibri"/>
                <w:color w:val="000000"/>
                <w:sz w:val="20"/>
                <w:szCs w:val="20"/>
              </w:rPr>
              <w:t>662</w:t>
            </w:r>
          </w:p>
        </w:tc>
        <w:tc>
          <w:tcPr>
            <w:tcW w:w="530" w:type="pct"/>
            <w:vAlign w:val="center"/>
          </w:tcPr>
          <w:p w14:paraId="2440F32A" w14:textId="77777777" w:rsidR="007B3093" w:rsidRDefault="00000000">
            <w:pPr>
              <w:spacing w:after="0" w:line="240" w:lineRule="auto"/>
              <w:jc w:val="center"/>
              <w:rPr>
                <w:b/>
                <w:sz w:val="20"/>
                <w:szCs w:val="20"/>
              </w:rPr>
            </w:pPr>
            <w:r>
              <w:rPr>
                <w:rFonts w:ascii="Calibri" w:hAnsi="Calibri"/>
                <w:color w:val="000000"/>
                <w:sz w:val="20"/>
                <w:szCs w:val="20"/>
              </w:rPr>
              <w:t>682</w:t>
            </w:r>
          </w:p>
        </w:tc>
        <w:tc>
          <w:tcPr>
            <w:tcW w:w="529" w:type="pct"/>
            <w:shd w:val="clear" w:color="auto" w:fill="auto"/>
            <w:noWrap/>
            <w:vAlign w:val="center"/>
            <w:hideMark/>
          </w:tcPr>
          <w:p w14:paraId="6ABD485B" w14:textId="77777777" w:rsidR="007B3093" w:rsidRDefault="00000000">
            <w:pPr>
              <w:spacing w:after="0" w:line="240" w:lineRule="auto"/>
              <w:jc w:val="center"/>
              <w:rPr>
                <w:b/>
                <w:sz w:val="20"/>
                <w:szCs w:val="20"/>
              </w:rPr>
            </w:pPr>
            <w:r>
              <w:rPr>
                <w:rFonts w:ascii="Calibri" w:hAnsi="Calibri"/>
                <w:color w:val="000000"/>
                <w:sz w:val="20"/>
                <w:szCs w:val="20"/>
              </w:rPr>
              <w:t>682</w:t>
            </w:r>
          </w:p>
        </w:tc>
      </w:tr>
      <w:tr w:rsidR="007B3093" w14:paraId="751B8428" w14:textId="77777777">
        <w:trPr>
          <w:trHeight w:val="300"/>
        </w:trPr>
        <w:tc>
          <w:tcPr>
            <w:tcW w:w="1263" w:type="pct"/>
            <w:shd w:val="clear" w:color="auto" w:fill="auto"/>
            <w:noWrap/>
            <w:hideMark/>
          </w:tcPr>
          <w:p w14:paraId="27D093A9" w14:textId="77777777" w:rsidR="007B3093" w:rsidRDefault="00000000">
            <w:pPr>
              <w:spacing w:after="0" w:line="240" w:lineRule="auto"/>
              <w:jc w:val="center"/>
              <w:rPr>
                <w:b/>
                <w:sz w:val="20"/>
                <w:szCs w:val="20"/>
              </w:rPr>
            </w:pPr>
            <w:r>
              <w:rPr>
                <w:b/>
                <w:sz w:val="20"/>
                <w:szCs w:val="20"/>
              </w:rPr>
              <w:t>Control Legalidad</w:t>
            </w:r>
          </w:p>
        </w:tc>
        <w:tc>
          <w:tcPr>
            <w:tcW w:w="543" w:type="pct"/>
            <w:shd w:val="clear" w:color="auto" w:fill="auto"/>
            <w:noWrap/>
            <w:vAlign w:val="center"/>
            <w:hideMark/>
          </w:tcPr>
          <w:p w14:paraId="07BD6F5F" w14:textId="77777777" w:rsidR="007B3093" w:rsidRDefault="00000000">
            <w:pPr>
              <w:spacing w:after="0" w:line="240" w:lineRule="auto"/>
              <w:jc w:val="center"/>
              <w:rPr>
                <w:b/>
                <w:sz w:val="20"/>
                <w:szCs w:val="20"/>
              </w:rPr>
            </w:pPr>
            <w:r>
              <w:rPr>
                <w:rFonts w:ascii="Calibri" w:hAnsi="Calibri"/>
                <w:color w:val="000000"/>
                <w:sz w:val="20"/>
                <w:szCs w:val="20"/>
              </w:rPr>
              <w:t>292</w:t>
            </w:r>
          </w:p>
        </w:tc>
        <w:tc>
          <w:tcPr>
            <w:tcW w:w="534" w:type="pct"/>
            <w:shd w:val="clear" w:color="auto" w:fill="auto"/>
            <w:noWrap/>
            <w:vAlign w:val="center"/>
            <w:hideMark/>
          </w:tcPr>
          <w:p w14:paraId="0966531A" w14:textId="77777777" w:rsidR="007B3093" w:rsidRDefault="00000000">
            <w:pPr>
              <w:spacing w:after="0" w:line="240" w:lineRule="auto"/>
              <w:jc w:val="center"/>
              <w:rPr>
                <w:b/>
                <w:sz w:val="20"/>
                <w:szCs w:val="20"/>
              </w:rPr>
            </w:pPr>
            <w:r>
              <w:rPr>
                <w:rFonts w:ascii="Calibri" w:hAnsi="Calibri"/>
                <w:color w:val="000000"/>
                <w:sz w:val="20"/>
                <w:szCs w:val="20"/>
              </w:rPr>
              <w:t>301</w:t>
            </w:r>
          </w:p>
        </w:tc>
        <w:tc>
          <w:tcPr>
            <w:tcW w:w="534" w:type="pct"/>
            <w:shd w:val="clear" w:color="auto" w:fill="auto"/>
            <w:noWrap/>
            <w:vAlign w:val="center"/>
            <w:hideMark/>
          </w:tcPr>
          <w:p w14:paraId="358EB9C7" w14:textId="77777777" w:rsidR="007B3093" w:rsidRDefault="00000000">
            <w:pPr>
              <w:spacing w:after="0" w:line="240" w:lineRule="auto"/>
              <w:jc w:val="center"/>
              <w:rPr>
                <w:b/>
                <w:sz w:val="20"/>
                <w:szCs w:val="20"/>
              </w:rPr>
            </w:pPr>
            <w:r>
              <w:rPr>
                <w:rFonts w:ascii="Calibri" w:hAnsi="Calibri"/>
                <w:color w:val="000000"/>
                <w:sz w:val="20"/>
                <w:szCs w:val="20"/>
              </w:rPr>
              <w:t>310</w:t>
            </w:r>
          </w:p>
        </w:tc>
        <w:tc>
          <w:tcPr>
            <w:tcW w:w="534" w:type="pct"/>
            <w:shd w:val="clear" w:color="auto" w:fill="auto"/>
            <w:noWrap/>
            <w:vAlign w:val="center"/>
            <w:hideMark/>
          </w:tcPr>
          <w:p w14:paraId="3F79DD03" w14:textId="77777777" w:rsidR="007B3093" w:rsidRDefault="00000000">
            <w:pPr>
              <w:spacing w:after="0" w:line="240" w:lineRule="auto"/>
              <w:jc w:val="center"/>
              <w:rPr>
                <w:b/>
                <w:sz w:val="20"/>
                <w:szCs w:val="20"/>
              </w:rPr>
            </w:pPr>
            <w:r>
              <w:rPr>
                <w:rFonts w:ascii="Calibri" w:hAnsi="Calibri"/>
                <w:color w:val="000000"/>
                <w:sz w:val="20"/>
                <w:szCs w:val="20"/>
              </w:rPr>
              <w:t>319</w:t>
            </w:r>
          </w:p>
        </w:tc>
        <w:tc>
          <w:tcPr>
            <w:tcW w:w="534" w:type="pct"/>
            <w:shd w:val="clear" w:color="auto" w:fill="auto"/>
            <w:noWrap/>
            <w:vAlign w:val="center"/>
            <w:hideMark/>
          </w:tcPr>
          <w:p w14:paraId="41208E23" w14:textId="77777777" w:rsidR="007B3093" w:rsidRDefault="00000000">
            <w:pPr>
              <w:spacing w:after="0" w:line="240" w:lineRule="auto"/>
              <w:jc w:val="center"/>
              <w:rPr>
                <w:b/>
                <w:sz w:val="20"/>
                <w:szCs w:val="20"/>
              </w:rPr>
            </w:pPr>
            <w:r>
              <w:rPr>
                <w:rFonts w:ascii="Calibri" w:hAnsi="Calibri"/>
                <w:color w:val="000000"/>
                <w:sz w:val="20"/>
                <w:szCs w:val="20"/>
              </w:rPr>
              <w:t>329</w:t>
            </w:r>
          </w:p>
        </w:tc>
        <w:tc>
          <w:tcPr>
            <w:tcW w:w="530" w:type="pct"/>
            <w:vAlign w:val="center"/>
          </w:tcPr>
          <w:p w14:paraId="18F9AA96" w14:textId="77777777" w:rsidR="007B3093" w:rsidRDefault="00000000">
            <w:pPr>
              <w:spacing w:after="0" w:line="240" w:lineRule="auto"/>
              <w:jc w:val="center"/>
              <w:rPr>
                <w:b/>
                <w:sz w:val="20"/>
                <w:szCs w:val="20"/>
              </w:rPr>
            </w:pPr>
            <w:r>
              <w:rPr>
                <w:rFonts w:ascii="Calibri" w:hAnsi="Calibri"/>
                <w:color w:val="000000"/>
                <w:sz w:val="20"/>
                <w:szCs w:val="20"/>
              </w:rPr>
              <w:t>339</w:t>
            </w:r>
          </w:p>
        </w:tc>
        <w:tc>
          <w:tcPr>
            <w:tcW w:w="529" w:type="pct"/>
            <w:shd w:val="clear" w:color="auto" w:fill="auto"/>
            <w:noWrap/>
            <w:vAlign w:val="center"/>
            <w:hideMark/>
          </w:tcPr>
          <w:p w14:paraId="3D11F61D" w14:textId="77777777" w:rsidR="007B3093" w:rsidRDefault="00000000">
            <w:pPr>
              <w:spacing w:after="0" w:line="240" w:lineRule="auto"/>
              <w:jc w:val="center"/>
              <w:rPr>
                <w:b/>
                <w:sz w:val="20"/>
                <w:szCs w:val="20"/>
              </w:rPr>
            </w:pPr>
            <w:r>
              <w:rPr>
                <w:rFonts w:ascii="Calibri" w:hAnsi="Calibri"/>
                <w:color w:val="000000"/>
                <w:sz w:val="20"/>
                <w:szCs w:val="20"/>
              </w:rPr>
              <w:t>339</w:t>
            </w:r>
          </w:p>
        </w:tc>
      </w:tr>
      <w:tr w:rsidR="007B3093" w14:paraId="5BF8690B" w14:textId="77777777">
        <w:trPr>
          <w:trHeight w:val="300"/>
        </w:trPr>
        <w:tc>
          <w:tcPr>
            <w:tcW w:w="1263" w:type="pct"/>
            <w:shd w:val="clear" w:color="auto" w:fill="auto"/>
            <w:noWrap/>
            <w:hideMark/>
          </w:tcPr>
          <w:p w14:paraId="3BA9F9A1" w14:textId="77777777" w:rsidR="007B3093" w:rsidRDefault="00000000">
            <w:pPr>
              <w:spacing w:after="0" w:line="240" w:lineRule="auto"/>
              <w:jc w:val="center"/>
              <w:rPr>
                <w:b/>
                <w:sz w:val="20"/>
                <w:szCs w:val="20"/>
              </w:rPr>
            </w:pPr>
            <w:r>
              <w:rPr>
                <w:b/>
                <w:sz w:val="20"/>
                <w:szCs w:val="20"/>
              </w:rPr>
              <w:t>TOTAL</w:t>
            </w:r>
          </w:p>
        </w:tc>
        <w:tc>
          <w:tcPr>
            <w:tcW w:w="543" w:type="pct"/>
            <w:shd w:val="clear" w:color="auto" w:fill="auto"/>
            <w:noWrap/>
            <w:vAlign w:val="center"/>
            <w:hideMark/>
          </w:tcPr>
          <w:p w14:paraId="02DA5C26" w14:textId="77777777" w:rsidR="007B3093" w:rsidRDefault="00000000">
            <w:pPr>
              <w:spacing w:after="0" w:line="240" w:lineRule="auto"/>
              <w:jc w:val="center"/>
              <w:rPr>
                <w:b/>
                <w:sz w:val="20"/>
                <w:szCs w:val="20"/>
              </w:rPr>
            </w:pPr>
            <w:r>
              <w:rPr>
                <w:rFonts w:ascii="Calibri" w:hAnsi="Calibri"/>
                <w:b/>
                <w:bCs/>
                <w:color w:val="000000"/>
                <w:sz w:val="20"/>
                <w:szCs w:val="20"/>
              </w:rPr>
              <w:t>15.676</w:t>
            </w:r>
          </w:p>
        </w:tc>
        <w:tc>
          <w:tcPr>
            <w:tcW w:w="534" w:type="pct"/>
            <w:shd w:val="clear" w:color="auto" w:fill="auto"/>
            <w:noWrap/>
            <w:vAlign w:val="center"/>
            <w:hideMark/>
          </w:tcPr>
          <w:p w14:paraId="0E0DDC4C" w14:textId="77777777" w:rsidR="007B3093" w:rsidRDefault="00000000">
            <w:pPr>
              <w:spacing w:after="0" w:line="240" w:lineRule="auto"/>
              <w:jc w:val="center"/>
              <w:rPr>
                <w:b/>
                <w:sz w:val="20"/>
                <w:szCs w:val="20"/>
              </w:rPr>
            </w:pPr>
            <w:r>
              <w:rPr>
                <w:rFonts w:ascii="Calibri" w:hAnsi="Calibri"/>
                <w:b/>
                <w:bCs/>
                <w:color w:val="000000"/>
                <w:sz w:val="20"/>
                <w:szCs w:val="20"/>
              </w:rPr>
              <w:t>16.146</w:t>
            </w:r>
          </w:p>
        </w:tc>
        <w:tc>
          <w:tcPr>
            <w:tcW w:w="534" w:type="pct"/>
            <w:shd w:val="clear" w:color="auto" w:fill="auto"/>
            <w:noWrap/>
            <w:vAlign w:val="center"/>
            <w:hideMark/>
          </w:tcPr>
          <w:p w14:paraId="44C915D2" w14:textId="77777777" w:rsidR="007B3093" w:rsidRDefault="00000000">
            <w:pPr>
              <w:spacing w:after="0" w:line="240" w:lineRule="auto"/>
              <w:jc w:val="center"/>
              <w:rPr>
                <w:b/>
                <w:sz w:val="20"/>
                <w:szCs w:val="20"/>
              </w:rPr>
            </w:pPr>
            <w:r>
              <w:rPr>
                <w:rFonts w:ascii="Calibri" w:hAnsi="Calibri"/>
                <w:b/>
                <w:bCs/>
                <w:color w:val="000000"/>
                <w:sz w:val="20"/>
                <w:szCs w:val="20"/>
              </w:rPr>
              <w:t>16.631</w:t>
            </w:r>
          </w:p>
        </w:tc>
        <w:tc>
          <w:tcPr>
            <w:tcW w:w="534" w:type="pct"/>
            <w:shd w:val="clear" w:color="auto" w:fill="auto"/>
            <w:noWrap/>
            <w:vAlign w:val="center"/>
            <w:hideMark/>
          </w:tcPr>
          <w:p w14:paraId="7156EB55" w14:textId="77777777" w:rsidR="007B3093" w:rsidRDefault="00000000">
            <w:pPr>
              <w:spacing w:after="0" w:line="240" w:lineRule="auto"/>
              <w:jc w:val="center"/>
              <w:rPr>
                <w:b/>
                <w:sz w:val="20"/>
                <w:szCs w:val="20"/>
              </w:rPr>
            </w:pPr>
            <w:r>
              <w:rPr>
                <w:rFonts w:ascii="Calibri" w:hAnsi="Calibri"/>
                <w:b/>
                <w:bCs/>
                <w:color w:val="000000"/>
                <w:sz w:val="20"/>
                <w:szCs w:val="20"/>
              </w:rPr>
              <w:t>17.130</w:t>
            </w:r>
          </w:p>
        </w:tc>
        <w:tc>
          <w:tcPr>
            <w:tcW w:w="534" w:type="pct"/>
            <w:shd w:val="clear" w:color="auto" w:fill="auto"/>
            <w:noWrap/>
            <w:vAlign w:val="center"/>
            <w:hideMark/>
          </w:tcPr>
          <w:p w14:paraId="2E8F181D" w14:textId="77777777" w:rsidR="007B3093" w:rsidRDefault="00000000">
            <w:pPr>
              <w:spacing w:after="0" w:line="240" w:lineRule="auto"/>
              <w:jc w:val="center"/>
              <w:rPr>
                <w:b/>
                <w:sz w:val="20"/>
                <w:szCs w:val="20"/>
              </w:rPr>
            </w:pPr>
            <w:r>
              <w:rPr>
                <w:rFonts w:ascii="Calibri" w:hAnsi="Calibri"/>
                <w:b/>
                <w:bCs/>
                <w:color w:val="000000"/>
                <w:sz w:val="20"/>
                <w:szCs w:val="20"/>
              </w:rPr>
              <w:t>17.643</w:t>
            </w:r>
          </w:p>
        </w:tc>
        <w:tc>
          <w:tcPr>
            <w:tcW w:w="530" w:type="pct"/>
            <w:vAlign w:val="center"/>
          </w:tcPr>
          <w:p w14:paraId="429CCA4E" w14:textId="77777777" w:rsidR="007B3093" w:rsidRDefault="00000000">
            <w:pPr>
              <w:spacing w:after="0" w:line="240" w:lineRule="auto"/>
              <w:jc w:val="center"/>
              <w:rPr>
                <w:b/>
                <w:sz w:val="20"/>
                <w:szCs w:val="20"/>
              </w:rPr>
            </w:pPr>
            <w:r>
              <w:rPr>
                <w:rFonts w:ascii="Calibri" w:hAnsi="Calibri"/>
                <w:b/>
                <w:bCs/>
                <w:color w:val="000000"/>
                <w:sz w:val="20"/>
                <w:szCs w:val="20"/>
              </w:rPr>
              <w:t>18.173</w:t>
            </w:r>
          </w:p>
        </w:tc>
        <w:tc>
          <w:tcPr>
            <w:tcW w:w="529" w:type="pct"/>
            <w:shd w:val="clear" w:color="auto" w:fill="auto"/>
            <w:noWrap/>
            <w:vAlign w:val="center"/>
            <w:hideMark/>
          </w:tcPr>
          <w:p w14:paraId="1409EDE7" w14:textId="77777777" w:rsidR="007B3093" w:rsidRDefault="00000000">
            <w:pPr>
              <w:spacing w:after="0" w:line="240" w:lineRule="auto"/>
              <w:jc w:val="center"/>
              <w:rPr>
                <w:b/>
                <w:sz w:val="20"/>
                <w:szCs w:val="20"/>
              </w:rPr>
            </w:pPr>
            <w:r>
              <w:rPr>
                <w:rFonts w:ascii="Calibri" w:hAnsi="Calibri"/>
                <w:b/>
                <w:bCs/>
                <w:color w:val="000000"/>
                <w:sz w:val="20"/>
                <w:szCs w:val="20"/>
              </w:rPr>
              <w:t>18.173</w:t>
            </w:r>
          </w:p>
        </w:tc>
      </w:tr>
    </w:tbl>
    <w:p w14:paraId="63E2B8B0" w14:textId="77777777" w:rsidR="007B3093" w:rsidRDefault="00000000">
      <w:pPr>
        <w:autoSpaceDE w:val="0"/>
        <w:autoSpaceDN w:val="0"/>
        <w:adjustRightInd w:val="0"/>
        <w:spacing w:after="0" w:line="360" w:lineRule="auto"/>
        <w:rPr>
          <w:rFonts w:cstheme="minorHAnsi"/>
          <w:b/>
          <w:bCs/>
          <w:sz w:val="20"/>
          <w:lang w:eastAsia="es-EC"/>
        </w:rPr>
      </w:pPr>
      <w:r>
        <w:rPr>
          <w:rFonts w:cstheme="minorHAnsi"/>
          <w:b/>
          <w:bCs/>
          <w:sz w:val="20"/>
          <w:lang w:eastAsia="es-EC"/>
        </w:rPr>
        <w:t>Fuente: Sistema de Gestión de Trámites.</w:t>
      </w:r>
    </w:p>
    <w:p w14:paraId="0BD43525" w14:textId="77777777" w:rsidR="007B3093" w:rsidRDefault="00000000">
      <w:pPr>
        <w:spacing w:after="0" w:line="360" w:lineRule="auto"/>
        <w:rPr>
          <w:rFonts w:cstheme="minorHAnsi"/>
          <w:b/>
          <w:sz w:val="20"/>
        </w:rPr>
      </w:pPr>
      <w:r>
        <w:rPr>
          <w:rFonts w:cstheme="minorHAnsi"/>
          <w:b/>
          <w:bCs/>
          <w:sz w:val="20"/>
          <w:lang w:eastAsia="es-EC"/>
        </w:rPr>
        <w:t xml:space="preserve">Elaboración: </w:t>
      </w:r>
      <w:r>
        <w:rPr>
          <w:rFonts w:cstheme="minorHAnsi"/>
          <w:b/>
          <w:sz w:val="20"/>
        </w:rPr>
        <w:t>Consultoría para el Fortalecimiento de la Gestión Institucional de la PGE</w:t>
      </w:r>
    </w:p>
    <w:p w14:paraId="670793EC" w14:textId="77777777" w:rsidR="007B3093" w:rsidRDefault="007B3093">
      <w:pPr>
        <w:spacing w:after="0" w:line="360" w:lineRule="auto"/>
        <w:rPr>
          <w:rFonts w:cstheme="minorHAnsi"/>
          <w:b/>
          <w:sz w:val="20"/>
        </w:rPr>
      </w:pPr>
    </w:p>
    <w:p w14:paraId="28C2A984" w14:textId="77777777" w:rsidR="007B3093" w:rsidRDefault="00000000">
      <w:pPr>
        <w:pStyle w:val="Prrafodelista"/>
        <w:spacing w:before="120" w:after="120" w:line="360" w:lineRule="auto"/>
        <w:ind w:left="142"/>
        <w:contextualSpacing w:val="0"/>
        <w:jc w:val="both"/>
        <w:rPr>
          <w:rFonts w:cstheme="minorHAnsi"/>
        </w:rPr>
      </w:pPr>
      <w:r>
        <w:rPr>
          <w:rFonts w:cstheme="minorHAnsi"/>
          <w:b/>
          <w:bCs/>
          <w:color w:val="000000"/>
          <w:lang w:eastAsia="es-EC"/>
        </w:rPr>
        <w:t xml:space="preserve">Población demandante </w:t>
      </w:r>
      <w:proofErr w:type="gramStart"/>
      <w:r>
        <w:rPr>
          <w:rFonts w:cstheme="minorHAnsi"/>
          <w:b/>
          <w:bCs/>
          <w:color w:val="000000"/>
          <w:lang w:eastAsia="es-EC"/>
        </w:rPr>
        <w:t>potencial.-</w:t>
      </w:r>
      <w:proofErr w:type="gramEnd"/>
      <w:r>
        <w:rPr>
          <w:rFonts w:cstheme="minorHAnsi"/>
          <w:b/>
          <w:bCs/>
          <w:color w:val="000000"/>
          <w:lang w:eastAsia="es-EC"/>
        </w:rPr>
        <w:t xml:space="preserve"> </w:t>
      </w:r>
      <w:r>
        <w:rPr>
          <w:rFonts w:cstheme="minorHAnsi"/>
          <w:bCs/>
          <w:color w:val="000000"/>
          <w:lang w:eastAsia="es-EC"/>
        </w:rPr>
        <w:t xml:space="preserve">Considerando que la </w:t>
      </w:r>
      <w:r>
        <w:rPr>
          <w:rFonts w:cstheme="minorHAnsi"/>
        </w:rPr>
        <w:t xml:space="preserve">Procuraduría General del Estado atiende a todas las entidades del sector público, contenidas en el Art. 225 de la Constitución, se ha establecido cuantificar la demanda potencial del proyecto como el número potencial de casos de defensa legal, asesoramiento, control, consultoría y otros trámites solicitados por </w:t>
      </w:r>
      <w:proofErr w:type="gramStart"/>
      <w:r>
        <w:rPr>
          <w:rFonts w:cstheme="minorHAnsi"/>
        </w:rPr>
        <w:t>éstas</w:t>
      </w:r>
      <w:proofErr w:type="gramEnd"/>
      <w:r>
        <w:rPr>
          <w:rFonts w:cstheme="minorHAnsi"/>
        </w:rPr>
        <w:t xml:space="preserve"> entidades.</w:t>
      </w:r>
    </w:p>
    <w:p w14:paraId="4EEDEC31" w14:textId="77777777" w:rsidR="007B3093" w:rsidRDefault="00000000">
      <w:pPr>
        <w:pStyle w:val="Prrafodelista"/>
        <w:spacing w:before="120" w:after="120" w:line="360" w:lineRule="auto"/>
        <w:ind w:left="142"/>
        <w:contextualSpacing w:val="0"/>
        <w:jc w:val="both"/>
        <w:rPr>
          <w:rFonts w:cstheme="minorHAnsi"/>
          <w:bCs/>
          <w:color w:val="000000"/>
          <w:lang w:eastAsia="es-EC"/>
        </w:rPr>
      </w:pPr>
      <w:r>
        <w:rPr>
          <w:rFonts w:cstheme="minorHAnsi"/>
        </w:rPr>
        <w:t xml:space="preserve">Para esto, se utilizará la información proporcionada por el Servicio de Rentas Internas (SRI) en el “Listado Referencial </w:t>
      </w:r>
      <w:r>
        <w:rPr>
          <w:rFonts w:cstheme="minorHAnsi"/>
          <w:i/>
        </w:rPr>
        <w:t>Informativo</w:t>
      </w:r>
      <w:r>
        <w:rPr>
          <w:rFonts w:cstheme="minorHAnsi"/>
        </w:rPr>
        <w:t xml:space="preserve"> y Consolidado de Instituciones del Estado y Empresas Públicas”, que contiene 4.099 entidades públicas en el Ecuador, multiplicado por el número de </w:t>
      </w:r>
      <w:r>
        <w:rPr>
          <w:rFonts w:cstheme="minorHAnsi"/>
          <w:bCs/>
          <w:color w:val="000000"/>
          <w:lang w:eastAsia="es-EC"/>
        </w:rPr>
        <w:t>casos y consultas promedio, atendidas por la PGE:</w:t>
      </w:r>
    </w:p>
    <w:p w14:paraId="188AF955" w14:textId="77777777" w:rsidR="007B3093" w:rsidRDefault="00000000">
      <w:pPr>
        <w:autoSpaceDE w:val="0"/>
        <w:autoSpaceDN w:val="0"/>
        <w:adjustRightInd w:val="0"/>
        <w:spacing w:after="0" w:line="360" w:lineRule="auto"/>
        <w:jc w:val="center"/>
        <w:rPr>
          <w:rFonts w:cstheme="minorHAnsi"/>
          <w:b/>
          <w:bCs/>
          <w:lang w:eastAsia="es-EC"/>
        </w:rPr>
      </w:pPr>
      <w:r>
        <w:rPr>
          <w:rFonts w:cstheme="minorHAnsi"/>
          <w:b/>
          <w:bCs/>
          <w:lang w:eastAsia="es-EC"/>
        </w:rPr>
        <w:t>Tabla 9: Población Demandante Potencial (casos).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1"/>
        <w:gridCol w:w="950"/>
        <w:gridCol w:w="1244"/>
        <w:gridCol w:w="919"/>
      </w:tblGrid>
      <w:tr w:rsidR="007B3093" w14:paraId="64472B50" w14:textId="77777777">
        <w:trPr>
          <w:trHeight w:val="255"/>
        </w:trPr>
        <w:tc>
          <w:tcPr>
            <w:tcW w:w="3168" w:type="pct"/>
            <w:shd w:val="clear" w:color="auto" w:fill="002060"/>
            <w:noWrap/>
            <w:vAlign w:val="center"/>
            <w:hideMark/>
          </w:tcPr>
          <w:p w14:paraId="268BEA14" w14:textId="77777777" w:rsidR="007B3093" w:rsidRDefault="00000000">
            <w:pPr>
              <w:spacing w:after="0" w:line="240" w:lineRule="auto"/>
              <w:jc w:val="center"/>
              <w:rPr>
                <w:rFonts w:eastAsia="Times New Roman" w:cs="Arial"/>
                <w:b/>
                <w:bCs/>
                <w:color w:val="FFFFFF" w:themeColor="background1"/>
                <w:sz w:val="20"/>
                <w:szCs w:val="20"/>
                <w:lang w:eastAsia="es-EC"/>
              </w:rPr>
            </w:pPr>
            <w:r>
              <w:rPr>
                <w:rFonts w:eastAsia="Times New Roman" w:cs="Arial"/>
                <w:b/>
                <w:bCs/>
                <w:color w:val="FFFFFF" w:themeColor="background1"/>
                <w:sz w:val="20"/>
                <w:szCs w:val="20"/>
                <w:lang w:eastAsia="es-EC"/>
              </w:rPr>
              <w:t>Organismos y entidades que integran el sector público</w:t>
            </w:r>
          </w:p>
        </w:tc>
        <w:tc>
          <w:tcPr>
            <w:tcW w:w="559" w:type="pct"/>
            <w:shd w:val="clear" w:color="auto" w:fill="002060"/>
            <w:noWrap/>
            <w:vAlign w:val="center"/>
            <w:hideMark/>
          </w:tcPr>
          <w:p w14:paraId="609FBD95" w14:textId="77777777" w:rsidR="007B3093" w:rsidRDefault="00000000">
            <w:pPr>
              <w:spacing w:after="0" w:line="240" w:lineRule="auto"/>
              <w:jc w:val="center"/>
              <w:rPr>
                <w:rFonts w:eastAsia="Times New Roman" w:cs="Arial"/>
                <w:b/>
                <w:bCs/>
                <w:color w:val="FFFFFF" w:themeColor="background1"/>
                <w:sz w:val="20"/>
                <w:szCs w:val="20"/>
                <w:lang w:eastAsia="es-EC"/>
              </w:rPr>
            </w:pPr>
            <w:r>
              <w:rPr>
                <w:rFonts w:eastAsia="Times New Roman" w:cs="Arial"/>
                <w:b/>
                <w:bCs/>
                <w:color w:val="FFFFFF" w:themeColor="background1"/>
                <w:sz w:val="20"/>
                <w:szCs w:val="20"/>
                <w:lang w:eastAsia="es-EC"/>
              </w:rPr>
              <w:t>Total</w:t>
            </w:r>
          </w:p>
        </w:tc>
        <w:tc>
          <w:tcPr>
            <w:tcW w:w="732" w:type="pct"/>
            <w:shd w:val="clear" w:color="auto" w:fill="002060"/>
            <w:noWrap/>
            <w:vAlign w:val="center"/>
            <w:hideMark/>
          </w:tcPr>
          <w:p w14:paraId="6B38DF6F" w14:textId="77777777" w:rsidR="007B3093" w:rsidRDefault="00000000">
            <w:pPr>
              <w:spacing w:after="0" w:line="240" w:lineRule="auto"/>
              <w:jc w:val="center"/>
              <w:rPr>
                <w:rFonts w:eastAsia="Times New Roman" w:cs="Arial"/>
                <w:b/>
                <w:bCs/>
                <w:color w:val="FFFFFF" w:themeColor="background1"/>
                <w:sz w:val="20"/>
                <w:szCs w:val="20"/>
                <w:lang w:eastAsia="es-EC"/>
              </w:rPr>
            </w:pPr>
            <w:r>
              <w:rPr>
                <w:rFonts w:eastAsia="Times New Roman" w:cs="Arial"/>
                <w:b/>
                <w:bCs/>
                <w:color w:val="FFFFFF" w:themeColor="background1"/>
                <w:sz w:val="20"/>
                <w:szCs w:val="20"/>
                <w:lang w:eastAsia="es-EC"/>
              </w:rPr>
              <w:t>Casos Promedio</w:t>
            </w:r>
          </w:p>
        </w:tc>
        <w:tc>
          <w:tcPr>
            <w:tcW w:w="541" w:type="pct"/>
            <w:shd w:val="clear" w:color="auto" w:fill="002060"/>
            <w:noWrap/>
            <w:vAlign w:val="center"/>
            <w:hideMark/>
          </w:tcPr>
          <w:p w14:paraId="7FE08B26" w14:textId="77777777" w:rsidR="007B3093" w:rsidRDefault="00000000">
            <w:pPr>
              <w:spacing w:after="0" w:line="240" w:lineRule="auto"/>
              <w:jc w:val="center"/>
              <w:rPr>
                <w:rFonts w:eastAsia="Times New Roman" w:cs="Arial"/>
                <w:b/>
                <w:bCs/>
                <w:color w:val="FFFFFF" w:themeColor="background1"/>
                <w:sz w:val="20"/>
                <w:szCs w:val="20"/>
                <w:lang w:eastAsia="es-EC"/>
              </w:rPr>
            </w:pPr>
            <w:r>
              <w:rPr>
                <w:rFonts w:eastAsia="Times New Roman" w:cs="Arial"/>
                <w:b/>
                <w:bCs/>
                <w:color w:val="FFFFFF" w:themeColor="background1"/>
                <w:sz w:val="20"/>
                <w:szCs w:val="20"/>
                <w:lang w:eastAsia="es-EC"/>
              </w:rPr>
              <w:t>Total Casos</w:t>
            </w:r>
          </w:p>
        </w:tc>
      </w:tr>
      <w:tr w:rsidR="007B3093" w14:paraId="54E5A635" w14:textId="77777777">
        <w:trPr>
          <w:trHeight w:val="255"/>
        </w:trPr>
        <w:tc>
          <w:tcPr>
            <w:tcW w:w="3168" w:type="pct"/>
            <w:shd w:val="clear" w:color="auto" w:fill="auto"/>
            <w:noWrap/>
            <w:vAlign w:val="bottom"/>
            <w:hideMark/>
          </w:tcPr>
          <w:p w14:paraId="1955754E" w14:textId="77777777" w:rsidR="007B3093" w:rsidRDefault="00000000">
            <w:pPr>
              <w:spacing w:after="0" w:line="240" w:lineRule="auto"/>
              <w:rPr>
                <w:rFonts w:eastAsia="Times New Roman" w:cs="Arial"/>
                <w:sz w:val="20"/>
                <w:szCs w:val="20"/>
                <w:lang w:eastAsia="es-EC"/>
              </w:rPr>
            </w:pPr>
            <w:r>
              <w:rPr>
                <w:rFonts w:eastAsia="Times New Roman" w:cs="Arial"/>
                <w:sz w:val="20"/>
                <w:szCs w:val="20"/>
                <w:lang w:eastAsia="es-EC"/>
              </w:rPr>
              <w:t>ACTIVIDADES ECONOMICAS ASUMIDAS POR EL ESTADO (Ferrocarriles)</w:t>
            </w:r>
          </w:p>
        </w:tc>
        <w:tc>
          <w:tcPr>
            <w:tcW w:w="559" w:type="pct"/>
            <w:shd w:val="clear" w:color="auto" w:fill="auto"/>
            <w:noWrap/>
            <w:vAlign w:val="center"/>
            <w:hideMark/>
          </w:tcPr>
          <w:p w14:paraId="7E81F19F"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1</w:t>
            </w:r>
          </w:p>
        </w:tc>
        <w:tc>
          <w:tcPr>
            <w:tcW w:w="732" w:type="pct"/>
            <w:shd w:val="clear" w:color="auto" w:fill="auto"/>
            <w:noWrap/>
            <w:vAlign w:val="center"/>
            <w:hideMark/>
          </w:tcPr>
          <w:p w14:paraId="5A1F5B1E"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2</w:t>
            </w:r>
          </w:p>
        </w:tc>
        <w:tc>
          <w:tcPr>
            <w:tcW w:w="541" w:type="pct"/>
            <w:shd w:val="clear" w:color="auto" w:fill="auto"/>
            <w:noWrap/>
            <w:vAlign w:val="center"/>
            <w:hideMark/>
          </w:tcPr>
          <w:p w14:paraId="7FF77F90"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1</w:t>
            </w:r>
          </w:p>
        </w:tc>
      </w:tr>
      <w:tr w:rsidR="007B3093" w14:paraId="143D6AD3" w14:textId="77777777">
        <w:trPr>
          <w:trHeight w:val="255"/>
        </w:trPr>
        <w:tc>
          <w:tcPr>
            <w:tcW w:w="3168" w:type="pct"/>
            <w:shd w:val="clear" w:color="auto" w:fill="auto"/>
            <w:noWrap/>
            <w:vAlign w:val="bottom"/>
            <w:hideMark/>
          </w:tcPr>
          <w:p w14:paraId="09261281" w14:textId="77777777" w:rsidR="007B3093" w:rsidRDefault="00000000">
            <w:pPr>
              <w:spacing w:after="0" w:line="240" w:lineRule="auto"/>
              <w:rPr>
                <w:rFonts w:eastAsia="Times New Roman" w:cs="Arial"/>
                <w:sz w:val="20"/>
                <w:szCs w:val="20"/>
                <w:lang w:eastAsia="es-EC"/>
              </w:rPr>
            </w:pPr>
            <w:r>
              <w:rPr>
                <w:rFonts w:eastAsia="Times New Roman" w:cs="Arial"/>
                <w:sz w:val="20"/>
                <w:szCs w:val="20"/>
                <w:lang w:eastAsia="es-EC"/>
              </w:rPr>
              <w:t xml:space="preserve">EJERCICIO DE LA POTESTAD ESTATAL (Bancos, consejos, institutos, universidades, </w:t>
            </w:r>
          </w:p>
        </w:tc>
        <w:tc>
          <w:tcPr>
            <w:tcW w:w="559" w:type="pct"/>
            <w:shd w:val="clear" w:color="auto" w:fill="auto"/>
            <w:noWrap/>
            <w:vAlign w:val="center"/>
            <w:hideMark/>
          </w:tcPr>
          <w:p w14:paraId="14A08AC6"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83</w:t>
            </w:r>
          </w:p>
        </w:tc>
        <w:tc>
          <w:tcPr>
            <w:tcW w:w="732" w:type="pct"/>
            <w:shd w:val="clear" w:color="auto" w:fill="auto"/>
            <w:noWrap/>
            <w:vAlign w:val="center"/>
            <w:hideMark/>
          </w:tcPr>
          <w:p w14:paraId="6DF89256"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2</w:t>
            </w:r>
          </w:p>
        </w:tc>
        <w:tc>
          <w:tcPr>
            <w:tcW w:w="541" w:type="pct"/>
            <w:shd w:val="clear" w:color="auto" w:fill="auto"/>
            <w:noWrap/>
            <w:vAlign w:val="center"/>
            <w:hideMark/>
          </w:tcPr>
          <w:p w14:paraId="7412E739"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166</w:t>
            </w:r>
          </w:p>
        </w:tc>
      </w:tr>
      <w:tr w:rsidR="007B3093" w14:paraId="35B962EE" w14:textId="77777777">
        <w:trPr>
          <w:trHeight w:val="255"/>
        </w:trPr>
        <w:tc>
          <w:tcPr>
            <w:tcW w:w="3168" w:type="pct"/>
            <w:shd w:val="clear" w:color="auto" w:fill="auto"/>
            <w:noWrap/>
            <w:vAlign w:val="bottom"/>
            <w:hideMark/>
          </w:tcPr>
          <w:p w14:paraId="1337D089" w14:textId="77777777" w:rsidR="007B3093" w:rsidRDefault="00000000">
            <w:pPr>
              <w:spacing w:after="0" w:line="240" w:lineRule="auto"/>
              <w:rPr>
                <w:rFonts w:eastAsia="Times New Roman" w:cs="Arial"/>
                <w:sz w:val="20"/>
                <w:szCs w:val="20"/>
                <w:lang w:eastAsia="es-EC"/>
              </w:rPr>
            </w:pPr>
            <w:r>
              <w:rPr>
                <w:rFonts w:eastAsia="Times New Roman" w:cs="Arial"/>
                <w:sz w:val="20"/>
                <w:szCs w:val="20"/>
                <w:lang w:eastAsia="es-EC"/>
              </w:rPr>
              <w:t>FUNCIÓN EJECUTIVA (Hospitales, batallones, centros educativos, consejos, institutos, ministerios)</w:t>
            </w:r>
          </w:p>
        </w:tc>
        <w:tc>
          <w:tcPr>
            <w:tcW w:w="559" w:type="pct"/>
            <w:shd w:val="clear" w:color="auto" w:fill="auto"/>
            <w:noWrap/>
            <w:vAlign w:val="center"/>
            <w:hideMark/>
          </w:tcPr>
          <w:p w14:paraId="5F47CDDE"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2.730</w:t>
            </w:r>
          </w:p>
        </w:tc>
        <w:tc>
          <w:tcPr>
            <w:tcW w:w="732" w:type="pct"/>
            <w:shd w:val="clear" w:color="auto" w:fill="auto"/>
            <w:noWrap/>
            <w:vAlign w:val="center"/>
            <w:hideMark/>
          </w:tcPr>
          <w:p w14:paraId="60B19D08"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5</w:t>
            </w:r>
          </w:p>
        </w:tc>
        <w:tc>
          <w:tcPr>
            <w:tcW w:w="541" w:type="pct"/>
            <w:shd w:val="clear" w:color="auto" w:fill="auto"/>
            <w:noWrap/>
            <w:vAlign w:val="center"/>
            <w:hideMark/>
          </w:tcPr>
          <w:p w14:paraId="18E21E84"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13.650</w:t>
            </w:r>
          </w:p>
        </w:tc>
      </w:tr>
      <w:tr w:rsidR="007B3093" w14:paraId="0C492A0C" w14:textId="77777777">
        <w:trPr>
          <w:trHeight w:val="255"/>
        </w:trPr>
        <w:tc>
          <w:tcPr>
            <w:tcW w:w="3168" w:type="pct"/>
            <w:shd w:val="clear" w:color="auto" w:fill="auto"/>
            <w:noWrap/>
            <w:vAlign w:val="bottom"/>
            <w:hideMark/>
          </w:tcPr>
          <w:p w14:paraId="2415080C" w14:textId="77777777" w:rsidR="007B3093" w:rsidRDefault="00000000">
            <w:pPr>
              <w:spacing w:after="0" w:line="240" w:lineRule="auto"/>
              <w:rPr>
                <w:rFonts w:eastAsia="Times New Roman" w:cs="Arial"/>
                <w:sz w:val="20"/>
                <w:szCs w:val="20"/>
                <w:lang w:eastAsia="es-EC"/>
              </w:rPr>
            </w:pPr>
            <w:r>
              <w:rPr>
                <w:rFonts w:eastAsia="Times New Roman" w:cs="Arial"/>
                <w:sz w:val="20"/>
                <w:szCs w:val="20"/>
                <w:lang w:eastAsia="es-EC"/>
              </w:rPr>
              <w:t>FUNCION JUDICIAL (Judicatura, cortes)</w:t>
            </w:r>
          </w:p>
        </w:tc>
        <w:tc>
          <w:tcPr>
            <w:tcW w:w="559" w:type="pct"/>
            <w:shd w:val="clear" w:color="auto" w:fill="auto"/>
            <w:noWrap/>
            <w:vAlign w:val="center"/>
            <w:hideMark/>
          </w:tcPr>
          <w:p w14:paraId="55E2880E"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102</w:t>
            </w:r>
          </w:p>
        </w:tc>
        <w:tc>
          <w:tcPr>
            <w:tcW w:w="732" w:type="pct"/>
            <w:shd w:val="clear" w:color="auto" w:fill="auto"/>
            <w:noWrap/>
            <w:vAlign w:val="center"/>
            <w:hideMark/>
          </w:tcPr>
          <w:p w14:paraId="6E8A56CD"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2</w:t>
            </w:r>
          </w:p>
        </w:tc>
        <w:tc>
          <w:tcPr>
            <w:tcW w:w="541" w:type="pct"/>
            <w:shd w:val="clear" w:color="auto" w:fill="auto"/>
            <w:noWrap/>
            <w:vAlign w:val="center"/>
            <w:hideMark/>
          </w:tcPr>
          <w:p w14:paraId="4C30EEE2"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204</w:t>
            </w:r>
          </w:p>
        </w:tc>
      </w:tr>
      <w:tr w:rsidR="007B3093" w14:paraId="1F274BE0" w14:textId="77777777">
        <w:trPr>
          <w:trHeight w:val="255"/>
        </w:trPr>
        <w:tc>
          <w:tcPr>
            <w:tcW w:w="3168" w:type="pct"/>
            <w:shd w:val="clear" w:color="auto" w:fill="auto"/>
            <w:noWrap/>
            <w:vAlign w:val="bottom"/>
            <w:hideMark/>
          </w:tcPr>
          <w:p w14:paraId="6DDECEF2" w14:textId="77777777" w:rsidR="007B3093" w:rsidRDefault="00000000">
            <w:pPr>
              <w:spacing w:after="0" w:line="240" w:lineRule="auto"/>
              <w:rPr>
                <w:rFonts w:eastAsia="Times New Roman" w:cs="Arial"/>
                <w:sz w:val="20"/>
                <w:szCs w:val="20"/>
                <w:lang w:eastAsia="es-EC"/>
              </w:rPr>
            </w:pPr>
            <w:r>
              <w:rPr>
                <w:rFonts w:eastAsia="Times New Roman" w:cs="Arial"/>
                <w:sz w:val="20"/>
                <w:szCs w:val="20"/>
                <w:lang w:eastAsia="es-EC"/>
              </w:rPr>
              <w:t>FUNCION LEGISLATIVA (Congreso, parlamento andino)</w:t>
            </w:r>
          </w:p>
        </w:tc>
        <w:tc>
          <w:tcPr>
            <w:tcW w:w="559" w:type="pct"/>
            <w:shd w:val="clear" w:color="auto" w:fill="auto"/>
            <w:noWrap/>
            <w:vAlign w:val="center"/>
            <w:hideMark/>
          </w:tcPr>
          <w:p w14:paraId="17B609C9"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3</w:t>
            </w:r>
          </w:p>
        </w:tc>
        <w:tc>
          <w:tcPr>
            <w:tcW w:w="732" w:type="pct"/>
            <w:shd w:val="clear" w:color="auto" w:fill="auto"/>
            <w:noWrap/>
            <w:vAlign w:val="center"/>
            <w:hideMark/>
          </w:tcPr>
          <w:p w14:paraId="3DA21ED7"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2</w:t>
            </w:r>
          </w:p>
        </w:tc>
        <w:tc>
          <w:tcPr>
            <w:tcW w:w="541" w:type="pct"/>
            <w:shd w:val="clear" w:color="auto" w:fill="auto"/>
            <w:noWrap/>
            <w:vAlign w:val="center"/>
            <w:hideMark/>
          </w:tcPr>
          <w:p w14:paraId="0F85E823"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6</w:t>
            </w:r>
          </w:p>
        </w:tc>
      </w:tr>
      <w:tr w:rsidR="007B3093" w14:paraId="3FFC7E4A" w14:textId="77777777">
        <w:trPr>
          <w:trHeight w:val="255"/>
        </w:trPr>
        <w:tc>
          <w:tcPr>
            <w:tcW w:w="3168" w:type="pct"/>
            <w:shd w:val="clear" w:color="auto" w:fill="auto"/>
            <w:noWrap/>
            <w:vAlign w:val="bottom"/>
            <w:hideMark/>
          </w:tcPr>
          <w:p w14:paraId="41969CF4" w14:textId="77777777" w:rsidR="007B3093" w:rsidRDefault="00000000">
            <w:pPr>
              <w:spacing w:after="0" w:line="240" w:lineRule="auto"/>
              <w:rPr>
                <w:rFonts w:eastAsia="Times New Roman" w:cs="Arial"/>
                <w:sz w:val="20"/>
                <w:szCs w:val="20"/>
                <w:lang w:eastAsia="es-EC"/>
              </w:rPr>
            </w:pPr>
            <w:r>
              <w:rPr>
                <w:rFonts w:eastAsia="Times New Roman" w:cs="Arial"/>
                <w:sz w:val="20"/>
                <w:szCs w:val="20"/>
                <w:lang w:eastAsia="es-EC"/>
              </w:rPr>
              <w:t>ORGANISMOS DE CONTROL Y REGULACION (Contraloría, Fiscalía, superintendencias)</w:t>
            </w:r>
          </w:p>
        </w:tc>
        <w:tc>
          <w:tcPr>
            <w:tcW w:w="559" w:type="pct"/>
            <w:shd w:val="clear" w:color="auto" w:fill="auto"/>
            <w:noWrap/>
            <w:vAlign w:val="center"/>
            <w:hideMark/>
          </w:tcPr>
          <w:p w14:paraId="4A10088B"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18</w:t>
            </w:r>
          </w:p>
        </w:tc>
        <w:tc>
          <w:tcPr>
            <w:tcW w:w="732" w:type="pct"/>
            <w:shd w:val="clear" w:color="auto" w:fill="auto"/>
            <w:noWrap/>
            <w:vAlign w:val="center"/>
            <w:hideMark/>
          </w:tcPr>
          <w:p w14:paraId="64249668"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2</w:t>
            </w:r>
          </w:p>
        </w:tc>
        <w:tc>
          <w:tcPr>
            <w:tcW w:w="541" w:type="pct"/>
            <w:shd w:val="clear" w:color="auto" w:fill="auto"/>
            <w:noWrap/>
            <w:vAlign w:val="center"/>
            <w:hideMark/>
          </w:tcPr>
          <w:p w14:paraId="6AAB12C8"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36</w:t>
            </w:r>
          </w:p>
        </w:tc>
      </w:tr>
      <w:tr w:rsidR="007B3093" w14:paraId="1764B963" w14:textId="77777777">
        <w:trPr>
          <w:trHeight w:val="255"/>
        </w:trPr>
        <w:tc>
          <w:tcPr>
            <w:tcW w:w="3168" w:type="pct"/>
            <w:shd w:val="clear" w:color="auto" w:fill="auto"/>
            <w:noWrap/>
            <w:vAlign w:val="bottom"/>
            <w:hideMark/>
          </w:tcPr>
          <w:p w14:paraId="5485AB7B" w14:textId="77777777" w:rsidR="007B3093" w:rsidRDefault="00000000">
            <w:pPr>
              <w:spacing w:after="0" w:line="240" w:lineRule="auto"/>
              <w:rPr>
                <w:rFonts w:eastAsia="Times New Roman" w:cs="Arial"/>
                <w:sz w:val="20"/>
                <w:szCs w:val="20"/>
                <w:lang w:eastAsia="es-EC"/>
              </w:rPr>
            </w:pPr>
            <w:r>
              <w:rPr>
                <w:rFonts w:eastAsia="Times New Roman" w:cs="Arial"/>
                <w:sz w:val="20"/>
                <w:szCs w:val="20"/>
                <w:lang w:eastAsia="es-EC"/>
              </w:rPr>
              <w:t>ORGANISMOS ELECTORALES (Tribunal supremo y provinciales)</w:t>
            </w:r>
          </w:p>
        </w:tc>
        <w:tc>
          <w:tcPr>
            <w:tcW w:w="559" w:type="pct"/>
            <w:shd w:val="clear" w:color="auto" w:fill="auto"/>
            <w:noWrap/>
            <w:vAlign w:val="center"/>
            <w:hideMark/>
          </w:tcPr>
          <w:p w14:paraId="27107C48"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23</w:t>
            </w:r>
          </w:p>
        </w:tc>
        <w:tc>
          <w:tcPr>
            <w:tcW w:w="732" w:type="pct"/>
            <w:shd w:val="clear" w:color="auto" w:fill="auto"/>
            <w:noWrap/>
            <w:vAlign w:val="center"/>
            <w:hideMark/>
          </w:tcPr>
          <w:p w14:paraId="3E7C8D87"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3</w:t>
            </w:r>
          </w:p>
        </w:tc>
        <w:tc>
          <w:tcPr>
            <w:tcW w:w="541" w:type="pct"/>
            <w:shd w:val="clear" w:color="auto" w:fill="auto"/>
            <w:noWrap/>
            <w:vAlign w:val="center"/>
            <w:hideMark/>
          </w:tcPr>
          <w:p w14:paraId="4B4E56CC"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69</w:t>
            </w:r>
          </w:p>
        </w:tc>
      </w:tr>
      <w:tr w:rsidR="007B3093" w14:paraId="6ACF95B2" w14:textId="77777777">
        <w:trPr>
          <w:trHeight w:val="255"/>
        </w:trPr>
        <w:tc>
          <w:tcPr>
            <w:tcW w:w="3168" w:type="pct"/>
            <w:shd w:val="clear" w:color="auto" w:fill="auto"/>
            <w:noWrap/>
            <w:vAlign w:val="bottom"/>
            <w:hideMark/>
          </w:tcPr>
          <w:p w14:paraId="0E28C650" w14:textId="77777777" w:rsidR="007B3093" w:rsidRDefault="00000000">
            <w:pPr>
              <w:spacing w:after="0" w:line="240" w:lineRule="auto"/>
              <w:rPr>
                <w:rFonts w:eastAsia="Times New Roman" w:cs="Arial"/>
                <w:sz w:val="20"/>
                <w:szCs w:val="20"/>
                <w:lang w:eastAsia="es-EC"/>
              </w:rPr>
            </w:pPr>
            <w:r>
              <w:rPr>
                <w:rFonts w:eastAsia="Times New Roman" w:cs="Arial"/>
                <w:sz w:val="20"/>
                <w:szCs w:val="20"/>
                <w:lang w:eastAsia="es-EC"/>
              </w:rPr>
              <w:t>PRESTACION DE SERVICIOS PUBLICOS (Autoridad Portuaria)</w:t>
            </w:r>
          </w:p>
        </w:tc>
        <w:tc>
          <w:tcPr>
            <w:tcW w:w="559" w:type="pct"/>
            <w:shd w:val="clear" w:color="auto" w:fill="auto"/>
            <w:noWrap/>
            <w:vAlign w:val="center"/>
            <w:hideMark/>
          </w:tcPr>
          <w:p w14:paraId="4D4C9925"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4</w:t>
            </w:r>
          </w:p>
        </w:tc>
        <w:tc>
          <w:tcPr>
            <w:tcW w:w="732" w:type="pct"/>
            <w:shd w:val="clear" w:color="auto" w:fill="auto"/>
            <w:noWrap/>
            <w:vAlign w:val="center"/>
            <w:hideMark/>
          </w:tcPr>
          <w:p w14:paraId="0E9BEF1F"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5</w:t>
            </w:r>
          </w:p>
        </w:tc>
        <w:tc>
          <w:tcPr>
            <w:tcW w:w="541" w:type="pct"/>
            <w:shd w:val="clear" w:color="auto" w:fill="auto"/>
            <w:noWrap/>
            <w:vAlign w:val="center"/>
            <w:hideMark/>
          </w:tcPr>
          <w:p w14:paraId="0F31211A"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20</w:t>
            </w:r>
          </w:p>
        </w:tc>
      </w:tr>
      <w:tr w:rsidR="007B3093" w14:paraId="2E2497F9" w14:textId="77777777">
        <w:trPr>
          <w:trHeight w:val="255"/>
        </w:trPr>
        <w:tc>
          <w:tcPr>
            <w:tcW w:w="3168" w:type="pct"/>
            <w:shd w:val="clear" w:color="auto" w:fill="auto"/>
            <w:noWrap/>
            <w:vAlign w:val="bottom"/>
            <w:hideMark/>
          </w:tcPr>
          <w:p w14:paraId="38AEB0CC" w14:textId="77777777" w:rsidR="007B3093" w:rsidRDefault="00000000">
            <w:pPr>
              <w:spacing w:after="0" w:line="240" w:lineRule="auto"/>
              <w:rPr>
                <w:rFonts w:eastAsia="Times New Roman" w:cs="Arial"/>
                <w:sz w:val="20"/>
                <w:szCs w:val="20"/>
                <w:lang w:eastAsia="es-EC"/>
              </w:rPr>
            </w:pPr>
            <w:r>
              <w:rPr>
                <w:rFonts w:eastAsia="Times New Roman" w:cs="Arial"/>
                <w:sz w:val="20"/>
                <w:szCs w:val="20"/>
                <w:lang w:eastAsia="es-EC"/>
              </w:rPr>
              <w:t xml:space="preserve">PRESTACION DE SERVICIOS PUBLICOS SECCIONAL (Empresas agua potable, patronatos) </w:t>
            </w:r>
          </w:p>
        </w:tc>
        <w:tc>
          <w:tcPr>
            <w:tcW w:w="559" w:type="pct"/>
            <w:shd w:val="clear" w:color="auto" w:fill="auto"/>
            <w:noWrap/>
            <w:vAlign w:val="center"/>
            <w:hideMark/>
          </w:tcPr>
          <w:p w14:paraId="20C14193"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92</w:t>
            </w:r>
          </w:p>
        </w:tc>
        <w:tc>
          <w:tcPr>
            <w:tcW w:w="732" w:type="pct"/>
            <w:shd w:val="clear" w:color="auto" w:fill="auto"/>
            <w:noWrap/>
            <w:vAlign w:val="center"/>
            <w:hideMark/>
          </w:tcPr>
          <w:p w14:paraId="30FD7879"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5</w:t>
            </w:r>
          </w:p>
        </w:tc>
        <w:tc>
          <w:tcPr>
            <w:tcW w:w="541" w:type="pct"/>
            <w:shd w:val="clear" w:color="auto" w:fill="auto"/>
            <w:noWrap/>
            <w:vAlign w:val="center"/>
            <w:hideMark/>
          </w:tcPr>
          <w:p w14:paraId="07038C28"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460</w:t>
            </w:r>
          </w:p>
        </w:tc>
      </w:tr>
      <w:tr w:rsidR="007B3093" w14:paraId="11F9A76A" w14:textId="77777777">
        <w:trPr>
          <w:trHeight w:val="255"/>
        </w:trPr>
        <w:tc>
          <w:tcPr>
            <w:tcW w:w="3168" w:type="pct"/>
            <w:shd w:val="clear" w:color="auto" w:fill="auto"/>
            <w:noWrap/>
            <w:vAlign w:val="bottom"/>
            <w:hideMark/>
          </w:tcPr>
          <w:p w14:paraId="4CE70333" w14:textId="77777777" w:rsidR="007B3093" w:rsidRDefault="00000000">
            <w:pPr>
              <w:spacing w:after="0" w:line="240" w:lineRule="auto"/>
              <w:rPr>
                <w:rFonts w:eastAsia="Times New Roman" w:cs="Arial"/>
                <w:sz w:val="20"/>
                <w:szCs w:val="20"/>
                <w:lang w:eastAsia="es-EC"/>
              </w:rPr>
            </w:pPr>
            <w:r>
              <w:rPr>
                <w:rFonts w:eastAsia="Times New Roman" w:cs="Arial"/>
                <w:sz w:val="20"/>
                <w:szCs w:val="20"/>
                <w:lang w:eastAsia="es-EC"/>
              </w:rPr>
              <w:t>REGIMEN SECCIONAL AUTONOMO (Municipios, consejos provinciales, gobernaciones, juntas parroquiales)</w:t>
            </w:r>
          </w:p>
        </w:tc>
        <w:tc>
          <w:tcPr>
            <w:tcW w:w="559" w:type="pct"/>
            <w:shd w:val="clear" w:color="auto" w:fill="auto"/>
            <w:noWrap/>
            <w:vAlign w:val="center"/>
            <w:hideMark/>
          </w:tcPr>
          <w:p w14:paraId="557289E7"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1.043</w:t>
            </w:r>
          </w:p>
        </w:tc>
        <w:tc>
          <w:tcPr>
            <w:tcW w:w="732" w:type="pct"/>
            <w:shd w:val="clear" w:color="auto" w:fill="auto"/>
            <w:noWrap/>
            <w:vAlign w:val="center"/>
            <w:hideMark/>
          </w:tcPr>
          <w:p w14:paraId="26213C9C"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3</w:t>
            </w:r>
          </w:p>
        </w:tc>
        <w:tc>
          <w:tcPr>
            <w:tcW w:w="541" w:type="pct"/>
            <w:shd w:val="clear" w:color="auto" w:fill="auto"/>
            <w:noWrap/>
            <w:vAlign w:val="center"/>
            <w:hideMark/>
          </w:tcPr>
          <w:p w14:paraId="641EF068" w14:textId="77777777" w:rsidR="007B3093" w:rsidRDefault="00000000">
            <w:pPr>
              <w:spacing w:after="0" w:line="240" w:lineRule="auto"/>
              <w:jc w:val="center"/>
              <w:rPr>
                <w:rFonts w:eastAsia="Times New Roman" w:cs="Arial"/>
                <w:sz w:val="20"/>
                <w:szCs w:val="20"/>
                <w:lang w:eastAsia="es-EC"/>
              </w:rPr>
            </w:pPr>
            <w:r>
              <w:rPr>
                <w:rFonts w:eastAsia="Times New Roman" w:cs="Arial"/>
                <w:sz w:val="20"/>
                <w:szCs w:val="20"/>
                <w:lang w:eastAsia="es-EC"/>
              </w:rPr>
              <w:t>3.129</w:t>
            </w:r>
          </w:p>
        </w:tc>
      </w:tr>
      <w:tr w:rsidR="007B3093" w14:paraId="194AAD7A" w14:textId="77777777">
        <w:trPr>
          <w:trHeight w:val="255"/>
        </w:trPr>
        <w:tc>
          <w:tcPr>
            <w:tcW w:w="3168" w:type="pct"/>
            <w:shd w:val="clear" w:color="auto" w:fill="auto"/>
            <w:noWrap/>
            <w:vAlign w:val="bottom"/>
            <w:hideMark/>
          </w:tcPr>
          <w:p w14:paraId="31985AFC" w14:textId="77777777" w:rsidR="007B3093" w:rsidRDefault="00000000">
            <w:pPr>
              <w:spacing w:after="0" w:line="240" w:lineRule="auto"/>
              <w:jc w:val="center"/>
              <w:rPr>
                <w:rFonts w:eastAsia="Times New Roman" w:cs="Arial"/>
                <w:b/>
                <w:bCs/>
                <w:sz w:val="20"/>
                <w:szCs w:val="20"/>
                <w:lang w:eastAsia="es-EC"/>
              </w:rPr>
            </w:pPr>
            <w:r>
              <w:rPr>
                <w:rFonts w:eastAsia="Times New Roman" w:cs="Arial"/>
                <w:b/>
                <w:bCs/>
                <w:sz w:val="20"/>
                <w:szCs w:val="20"/>
                <w:lang w:eastAsia="es-EC"/>
              </w:rPr>
              <w:t>TOTAL GENERAL</w:t>
            </w:r>
          </w:p>
        </w:tc>
        <w:tc>
          <w:tcPr>
            <w:tcW w:w="559" w:type="pct"/>
            <w:shd w:val="clear" w:color="auto" w:fill="auto"/>
            <w:noWrap/>
            <w:vAlign w:val="center"/>
            <w:hideMark/>
          </w:tcPr>
          <w:p w14:paraId="3CE74858" w14:textId="77777777" w:rsidR="007B3093" w:rsidRDefault="00000000">
            <w:pPr>
              <w:spacing w:after="0" w:line="240" w:lineRule="auto"/>
              <w:jc w:val="center"/>
              <w:rPr>
                <w:rFonts w:eastAsia="Times New Roman" w:cs="Arial"/>
                <w:b/>
                <w:bCs/>
                <w:sz w:val="20"/>
                <w:szCs w:val="20"/>
                <w:lang w:eastAsia="es-EC"/>
              </w:rPr>
            </w:pPr>
            <w:r>
              <w:rPr>
                <w:rFonts w:eastAsia="Times New Roman" w:cs="Arial"/>
                <w:b/>
                <w:bCs/>
                <w:sz w:val="20"/>
                <w:szCs w:val="20"/>
                <w:lang w:eastAsia="es-EC"/>
              </w:rPr>
              <w:t>4.099</w:t>
            </w:r>
          </w:p>
        </w:tc>
        <w:tc>
          <w:tcPr>
            <w:tcW w:w="732" w:type="pct"/>
            <w:shd w:val="clear" w:color="auto" w:fill="auto"/>
            <w:noWrap/>
            <w:vAlign w:val="center"/>
            <w:hideMark/>
          </w:tcPr>
          <w:p w14:paraId="0FCF26CC" w14:textId="77777777" w:rsidR="007B3093" w:rsidRDefault="007B3093">
            <w:pPr>
              <w:spacing w:after="0" w:line="240" w:lineRule="auto"/>
              <w:jc w:val="center"/>
              <w:rPr>
                <w:rFonts w:eastAsia="Times New Roman" w:cs="Arial"/>
                <w:b/>
                <w:bCs/>
                <w:sz w:val="20"/>
                <w:szCs w:val="20"/>
                <w:lang w:eastAsia="es-EC"/>
              </w:rPr>
            </w:pPr>
          </w:p>
        </w:tc>
        <w:tc>
          <w:tcPr>
            <w:tcW w:w="541" w:type="pct"/>
            <w:shd w:val="clear" w:color="auto" w:fill="auto"/>
            <w:noWrap/>
            <w:vAlign w:val="center"/>
            <w:hideMark/>
          </w:tcPr>
          <w:p w14:paraId="191016E2" w14:textId="77777777" w:rsidR="007B3093" w:rsidRDefault="00000000">
            <w:pPr>
              <w:spacing w:after="0" w:line="240" w:lineRule="auto"/>
              <w:jc w:val="center"/>
              <w:rPr>
                <w:rFonts w:eastAsia="Times New Roman" w:cs="Arial"/>
                <w:b/>
                <w:bCs/>
                <w:sz w:val="20"/>
                <w:szCs w:val="20"/>
                <w:lang w:eastAsia="es-EC"/>
              </w:rPr>
            </w:pPr>
            <w:r>
              <w:rPr>
                <w:rFonts w:eastAsia="Times New Roman" w:cs="Arial"/>
                <w:b/>
                <w:bCs/>
                <w:sz w:val="20"/>
                <w:szCs w:val="20"/>
                <w:lang w:eastAsia="es-EC"/>
              </w:rPr>
              <w:t>17.742</w:t>
            </w:r>
          </w:p>
        </w:tc>
      </w:tr>
    </w:tbl>
    <w:p w14:paraId="60EDDED6" w14:textId="77777777" w:rsidR="007B3093" w:rsidRDefault="00000000">
      <w:pPr>
        <w:autoSpaceDE w:val="0"/>
        <w:autoSpaceDN w:val="0"/>
        <w:adjustRightInd w:val="0"/>
        <w:spacing w:after="0" w:line="360" w:lineRule="auto"/>
        <w:rPr>
          <w:rFonts w:cstheme="minorHAnsi"/>
          <w:b/>
          <w:bCs/>
          <w:sz w:val="20"/>
          <w:lang w:eastAsia="es-EC"/>
        </w:rPr>
      </w:pPr>
      <w:r>
        <w:rPr>
          <w:rFonts w:cstheme="minorHAnsi"/>
          <w:b/>
          <w:bCs/>
          <w:sz w:val="20"/>
          <w:lang w:eastAsia="es-EC"/>
        </w:rPr>
        <w:t>Fuente: Registro Único de Contribuyentes - RUC, bases de datos del Ministerio de Finanzas, de la Contraloría General del Estado.</w:t>
      </w:r>
    </w:p>
    <w:p w14:paraId="208A9674" w14:textId="77777777" w:rsidR="007B3093" w:rsidRDefault="00000000">
      <w:pPr>
        <w:spacing w:after="0" w:line="360" w:lineRule="auto"/>
        <w:rPr>
          <w:rFonts w:cstheme="minorHAnsi"/>
          <w:b/>
        </w:rPr>
      </w:pPr>
      <w:r>
        <w:rPr>
          <w:rFonts w:cstheme="minorHAnsi"/>
          <w:b/>
          <w:bCs/>
          <w:sz w:val="20"/>
          <w:lang w:eastAsia="es-EC"/>
        </w:rPr>
        <w:t xml:space="preserve">Elaboración: </w:t>
      </w:r>
      <w:r>
        <w:rPr>
          <w:rFonts w:cstheme="minorHAnsi"/>
          <w:b/>
          <w:sz w:val="20"/>
        </w:rPr>
        <w:t>Consultoría para el Fortalecimiento de la Gestión Institucional de la PGE</w:t>
      </w:r>
    </w:p>
    <w:p w14:paraId="7FBAAA64" w14:textId="77777777" w:rsidR="007B3093" w:rsidRDefault="007B3093">
      <w:pPr>
        <w:spacing w:before="120" w:after="120" w:line="360" w:lineRule="auto"/>
        <w:jc w:val="both"/>
        <w:rPr>
          <w:rFonts w:cstheme="minorHAnsi"/>
        </w:rPr>
      </w:pPr>
    </w:p>
    <w:p w14:paraId="3727BEC2" w14:textId="77777777" w:rsidR="007B3093" w:rsidRDefault="00000000">
      <w:pPr>
        <w:spacing w:before="120" w:after="120" w:line="360" w:lineRule="auto"/>
        <w:jc w:val="both"/>
        <w:rPr>
          <w:rFonts w:cstheme="minorHAnsi"/>
        </w:rPr>
      </w:pPr>
      <w:r>
        <w:rPr>
          <w:rFonts w:cstheme="minorHAnsi"/>
        </w:rPr>
        <w:t>De esta manera se obtiene una población demandante potencial de 17.742 casos.</w:t>
      </w:r>
    </w:p>
    <w:p w14:paraId="0ACDD8D8" w14:textId="77777777" w:rsidR="007B3093" w:rsidRDefault="007B3093">
      <w:pPr>
        <w:pStyle w:val="Sinespaciado"/>
        <w:spacing w:line="360" w:lineRule="auto"/>
        <w:jc w:val="both"/>
        <w:rPr>
          <w:rFonts w:cstheme="minorHAnsi"/>
          <w:b/>
          <w:bCs/>
          <w:color w:val="000000"/>
          <w:lang w:eastAsia="es-EC"/>
        </w:rPr>
      </w:pPr>
    </w:p>
    <w:p w14:paraId="16048B12" w14:textId="77777777" w:rsidR="007B3093" w:rsidRDefault="00000000">
      <w:pPr>
        <w:spacing w:before="120" w:after="120" w:line="360" w:lineRule="auto"/>
        <w:jc w:val="both"/>
        <w:rPr>
          <w:rFonts w:cstheme="minorHAnsi"/>
        </w:rPr>
      </w:pPr>
      <w:r>
        <w:rPr>
          <w:rFonts w:cstheme="minorHAnsi"/>
          <w:b/>
          <w:bCs/>
          <w:color w:val="000000"/>
          <w:lang w:eastAsia="es-EC"/>
        </w:rPr>
        <w:t>Población Demandante Efectiva</w:t>
      </w:r>
      <w:r>
        <w:rPr>
          <w:rFonts w:cstheme="minorHAnsi"/>
          <w:color w:val="000000"/>
          <w:lang w:eastAsia="es-EC"/>
        </w:rPr>
        <w:t xml:space="preserve">.- Para el presente proyecto, se ha determinado como población demandante efectiva </w:t>
      </w:r>
      <w:r>
        <w:rPr>
          <w:rFonts w:cstheme="minorHAnsi"/>
        </w:rPr>
        <w:t>al número de casos, consultas y otros trámites de las áreas misionales de la PGE, que se ingresaron durante el año 2018, que llegaron a un total de 15.676 y que corresponden a 13.172 casos ingresados de la Dirección Nacional de Patrocinio, 20 de la Dirección Nacional de Asuntos Internacionales, 112 de Dirección Nacional de Derechos Humanos, 1.492 de Dirección Nacional de Mediación, 588 de la Dirección Nacional de Consultoría y 292 de la Dirección Nacional de Control de la Legalidad.</w:t>
      </w:r>
    </w:p>
    <w:p w14:paraId="4757F8A5" w14:textId="77777777" w:rsidR="007B3093" w:rsidRDefault="007B3093">
      <w:pPr>
        <w:pStyle w:val="Ttulo2"/>
        <w:spacing w:before="0" w:line="360" w:lineRule="auto"/>
        <w:rPr>
          <w:rFonts w:asciiTheme="minorHAnsi" w:hAnsiTheme="minorHAnsi" w:cstheme="minorHAnsi"/>
          <w:b/>
          <w:color w:val="auto"/>
          <w:sz w:val="22"/>
          <w:szCs w:val="22"/>
          <w:lang w:eastAsia="es-EC"/>
        </w:rPr>
      </w:pPr>
      <w:bookmarkStart w:id="19" w:name="_Toc159916380"/>
    </w:p>
    <w:p w14:paraId="14EABA3F" w14:textId="77777777" w:rsidR="007B3093" w:rsidRDefault="00000000">
      <w:pPr>
        <w:pStyle w:val="Ttulo2"/>
        <w:numPr>
          <w:ilvl w:val="2"/>
          <w:numId w:val="93"/>
        </w:numPr>
        <w:spacing w:before="0" w:line="360" w:lineRule="auto"/>
        <w:rPr>
          <w:rFonts w:asciiTheme="minorHAnsi" w:hAnsiTheme="minorHAnsi" w:cstheme="minorHAnsi"/>
          <w:b/>
          <w:color w:val="auto"/>
          <w:sz w:val="22"/>
          <w:szCs w:val="22"/>
          <w:lang w:eastAsia="es-EC"/>
        </w:rPr>
      </w:pPr>
      <w:bookmarkStart w:id="20" w:name="_Toc195010053"/>
      <w:r>
        <w:rPr>
          <w:rFonts w:asciiTheme="minorHAnsi" w:hAnsiTheme="minorHAnsi" w:cstheme="minorHAnsi"/>
          <w:b/>
          <w:color w:val="auto"/>
          <w:sz w:val="22"/>
          <w:szCs w:val="22"/>
          <w:lang w:eastAsia="es-EC"/>
        </w:rPr>
        <w:t>Estimación del Déficit o Demanda Insatisfecha (oferta – demanda)</w:t>
      </w:r>
      <w:bookmarkEnd w:id="19"/>
      <w:bookmarkEnd w:id="20"/>
    </w:p>
    <w:p w14:paraId="0BF7B05F" w14:textId="77777777" w:rsidR="007B3093" w:rsidRDefault="00000000">
      <w:pPr>
        <w:spacing w:before="120" w:after="120" w:line="360" w:lineRule="auto"/>
        <w:jc w:val="both"/>
        <w:rPr>
          <w:rFonts w:cstheme="minorHAnsi"/>
        </w:rPr>
      </w:pPr>
      <w:r>
        <w:rPr>
          <w:rFonts w:cstheme="minorHAnsi"/>
        </w:rPr>
        <w:t>La oferta estimada sobre la cantidad de casos y consultas que atiende la Procuraduría General del Estado alcanzó un total de 11.361 y la demanda efectiva fue estimada en 15.676 trámites ingresados a la PGE, por lo tanto, se determina una demanda insatisfecha de 4.315 que corresponde al 28% de la demanda efectiva al prime1r año, la demanda insatisfecha proyectada se muestra en la siguiente tabla:</w:t>
      </w:r>
    </w:p>
    <w:p w14:paraId="3835E9CE" w14:textId="77777777" w:rsidR="007B3093" w:rsidRDefault="00000000">
      <w:pPr>
        <w:autoSpaceDE w:val="0"/>
        <w:autoSpaceDN w:val="0"/>
        <w:adjustRightInd w:val="0"/>
        <w:spacing w:after="0" w:line="360" w:lineRule="auto"/>
        <w:ind w:left="-502" w:right="-1"/>
        <w:jc w:val="center"/>
        <w:rPr>
          <w:rFonts w:cstheme="minorHAnsi"/>
          <w:b/>
        </w:rPr>
      </w:pPr>
      <w:r>
        <w:rPr>
          <w:rFonts w:cstheme="minorHAnsi"/>
          <w:b/>
        </w:rPr>
        <w:t>Tabla 10: Demanda Insatisfecha</w:t>
      </w:r>
    </w:p>
    <w:tbl>
      <w:tblPr>
        <w:tblW w:w="4754" w:type="pct"/>
        <w:jc w:val="center"/>
        <w:tblCellMar>
          <w:left w:w="70" w:type="dxa"/>
          <w:right w:w="70" w:type="dxa"/>
        </w:tblCellMar>
        <w:tblLook w:val="04A0" w:firstRow="1" w:lastRow="0" w:firstColumn="1" w:lastColumn="0" w:noHBand="0" w:noVBand="1"/>
      </w:tblPr>
      <w:tblGrid>
        <w:gridCol w:w="2149"/>
        <w:gridCol w:w="822"/>
        <w:gridCol w:w="831"/>
        <w:gridCol w:w="817"/>
        <w:gridCol w:w="901"/>
        <w:gridCol w:w="851"/>
        <w:gridCol w:w="851"/>
        <w:gridCol w:w="849"/>
      </w:tblGrid>
      <w:tr w:rsidR="007B3093" w14:paraId="69838D7D" w14:textId="77777777">
        <w:trPr>
          <w:trHeight w:val="315"/>
          <w:jc w:val="center"/>
        </w:trPr>
        <w:tc>
          <w:tcPr>
            <w:tcW w:w="1331" w:type="pct"/>
            <w:tcBorders>
              <w:top w:val="single" w:sz="8" w:space="0" w:color="auto"/>
              <w:left w:val="single" w:sz="8" w:space="0" w:color="auto"/>
              <w:bottom w:val="single" w:sz="8" w:space="0" w:color="auto"/>
              <w:right w:val="nil"/>
            </w:tcBorders>
            <w:shd w:val="clear" w:color="auto" w:fill="002060"/>
            <w:noWrap/>
            <w:vAlign w:val="center"/>
            <w:hideMark/>
          </w:tcPr>
          <w:p w14:paraId="07574DA5" w14:textId="77777777" w:rsidR="007B3093" w:rsidRDefault="00000000">
            <w:pPr>
              <w:jc w:val="center"/>
              <w:rPr>
                <w:rFonts w:eastAsia="Times New Roman" w:cstheme="minorHAnsi"/>
                <w:b/>
                <w:bCs/>
                <w:color w:val="FFFFFF"/>
                <w:sz w:val="20"/>
                <w:szCs w:val="20"/>
                <w:lang w:eastAsia="es-EC"/>
              </w:rPr>
            </w:pPr>
            <w:r>
              <w:rPr>
                <w:rFonts w:eastAsia="Times New Roman" w:cstheme="minorHAnsi"/>
                <w:b/>
                <w:bCs/>
                <w:color w:val="FFFFFF" w:themeColor="background1"/>
                <w:sz w:val="20"/>
                <w:szCs w:val="20"/>
                <w:lang w:eastAsia="es-EC"/>
              </w:rPr>
              <w:t>AREAS</w:t>
            </w:r>
          </w:p>
        </w:tc>
        <w:tc>
          <w:tcPr>
            <w:tcW w:w="509"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B4A6332" w14:textId="77777777" w:rsidR="007B3093" w:rsidRDefault="00000000">
            <w:pPr>
              <w:spacing w:after="0" w:line="240" w:lineRule="auto"/>
              <w:jc w:val="center"/>
              <w:rPr>
                <w:rFonts w:eastAsia="Times New Roman" w:cstheme="minorHAnsi"/>
                <w:b/>
                <w:bCs/>
                <w:color w:val="FFFFFF"/>
                <w:sz w:val="20"/>
                <w:szCs w:val="20"/>
                <w:lang w:eastAsia="es-EC"/>
              </w:rPr>
            </w:pPr>
            <w:r>
              <w:rPr>
                <w:rFonts w:eastAsia="Times New Roman" w:cstheme="minorHAnsi"/>
                <w:b/>
                <w:bCs/>
                <w:color w:val="FFFFFF" w:themeColor="background1"/>
                <w:sz w:val="20"/>
                <w:szCs w:val="20"/>
                <w:lang w:eastAsia="es-EC"/>
              </w:rPr>
              <w:t>2018</w:t>
            </w:r>
          </w:p>
        </w:tc>
        <w:tc>
          <w:tcPr>
            <w:tcW w:w="515" w:type="pct"/>
            <w:tcBorders>
              <w:top w:val="single" w:sz="4" w:space="0" w:color="auto"/>
              <w:left w:val="nil"/>
              <w:bottom w:val="single" w:sz="4" w:space="0" w:color="auto"/>
              <w:right w:val="single" w:sz="4" w:space="0" w:color="auto"/>
            </w:tcBorders>
            <w:shd w:val="clear" w:color="auto" w:fill="002060"/>
            <w:noWrap/>
            <w:vAlign w:val="center"/>
            <w:hideMark/>
          </w:tcPr>
          <w:p w14:paraId="2FCC4E1B" w14:textId="77777777" w:rsidR="007B3093" w:rsidRDefault="00000000">
            <w:pPr>
              <w:spacing w:after="0" w:line="240" w:lineRule="auto"/>
              <w:jc w:val="center"/>
              <w:rPr>
                <w:rFonts w:eastAsia="Times New Roman" w:cstheme="minorHAnsi"/>
                <w:b/>
                <w:bCs/>
                <w:color w:val="FFFFFF"/>
                <w:sz w:val="20"/>
                <w:szCs w:val="20"/>
                <w:lang w:eastAsia="es-EC"/>
              </w:rPr>
            </w:pPr>
            <w:r>
              <w:rPr>
                <w:rFonts w:eastAsia="Times New Roman" w:cstheme="minorHAnsi"/>
                <w:b/>
                <w:bCs/>
                <w:color w:val="FFFFFF" w:themeColor="background1"/>
                <w:sz w:val="20"/>
                <w:szCs w:val="20"/>
                <w:lang w:eastAsia="es-EC"/>
              </w:rPr>
              <w:t>2019</w:t>
            </w:r>
          </w:p>
        </w:tc>
        <w:tc>
          <w:tcPr>
            <w:tcW w:w="506" w:type="pct"/>
            <w:tcBorders>
              <w:top w:val="single" w:sz="4" w:space="0" w:color="auto"/>
              <w:left w:val="nil"/>
              <w:bottom w:val="single" w:sz="4" w:space="0" w:color="auto"/>
              <w:right w:val="single" w:sz="4" w:space="0" w:color="auto"/>
            </w:tcBorders>
            <w:shd w:val="clear" w:color="auto" w:fill="002060"/>
            <w:noWrap/>
            <w:vAlign w:val="center"/>
            <w:hideMark/>
          </w:tcPr>
          <w:p w14:paraId="4BDD2C96" w14:textId="77777777" w:rsidR="007B3093" w:rsidRDefault="00000000">
            <w:pPr>
              <w:spacing w:after="0" w:line="240" w:lineRule="auto"/>
              <w:jc w:val="center"/>
              <w:rPr>
                <w:rFonts w:eastAsia="Times New Roman" w:cstheme="minorHAnsi"/>
                <w:b/>
                <w:bCs/>
                <w:color w:val="FFFFFF"/>
                <w:sz w:val="20"/>
                <w:szCs w:val="20"/>
                <w:lang w:eastAsia="es-EC"/>
              </w:rPr>
            </w:pPr>
            <w:r>
              <w:rPr>
                <w:rFonts w:eastAsia="Times New Roman" w:cstheme="minorHAnsi"/>
                <w:b/>
                <w:bCs/>
                <w:color w:val="FFFFFF" w:themeColor="background1"/>
                <w:sz w:val="20"/>
                <w:szCs w:val="20"/>
                <w:lang w:eastAsia="es-EC"/>
              </w:rPr>
              <w:t>2020</w:t>
            </w:r>
          </w:p>
        </w:tc>
        <w:tc>
          <w:tcPr>
            <w:tcW w:w="558" w:type="pct"/>
            <w:tcBorders>
              <w:top w:val="single" w:sz="4" w:space="0" w:color="auto"/>
              <w:left w:val="nil"/>
              <w:bottom w:val="single" w:sz="4" w:space="0" w:color="auto"/>
              <w:right w:val="single" w:sz="4" w:space="0" w:color="auto"/>
            </w:tcBorders>
            <w:shd w:val="clear" w:color="auto" w:fill="002060"/>
            <w:noWrap/>
            <w:vAlign w:val="center"/>
            <w:hideMark/>
          </w:tcPr>
          <w:p w14:paraId="7F045AF8" w14:textId="77777777" w:rsidR="007B3093" w:rsidRDefault="00000000">
            <w:pPr>
              <w:spacing w:after="0" w:line="240" w:lineRule="auto"/>
              <w:jc w:val="center"/>
              <w:rPr>
                <w:rFonts w:eastAsia="Times New Roman" w:cstheme="minorHAnsi"/>
                <w:b/>
                <w:bCs/>
                <w:color w:val="FFFFFF"/>
                <w:sz w:val="20"/>
                <w:szCs w:val="20"/>
                <w:lang w:eastAsia="es-EC"/>
              </w:rPr>
            </w:pPr>
            <w:r>
              <w:rPr>
                <w:rFonts w:eastAsia="Times New Roman" w:cstheme="minorHAnsi"/>
                <w:b/>
                <w:bCs/>
                <w:color w:val="FFFFFF" w:themeColor="background1"/>
                <w:sz w:val="20"/>
                <w:szCs w:val="20"/>
                <w:lang w:eastAsia="es-EC"/>
              </w:rPr>
              <w:t>2021</w:t>
            </w:r>
          </w:p>
        </w:tc>
        <w:tc>
          <w:tcPr>
            <w:tcW w:w="527" w:type="pct"/>
            <w:tcBorders>
              <w:top w:val="single" w:sz="4" w:space="0" w:color="auto"/>
              <w:left w:val="nil"/>
              <w:bottom w:val="single" w:sz="4" w:space="0" w:color="auto"/>
              <w:right w:val="single" w:sz="4" w:space="0" w:color="auto"/>
            </w:tcBorders>
            <w:shd w:val="clear" w:color="auto" w:fill="002060"/>
            <w:noWrap/>
            <w:vAlign w:val="center"/>
            <w:hideMark/>
          </w:tcPr>
          <w:p w14:paraId="6522CC2F" w14:textId="77777777" w:rsidR="007B3093" w:rsidRDefault="00000000">
            <w:pPr>
              <w:spacing w:after="0" w:line="240" w:lineRule="auto"/>
              <w:jc w:val="center"/>
              <w:rPr>
                <w:rFonts w:eastAsia="Times New Roman" w:cstheme="minorHAnsi"/>
                <w:b/>
                <w:bCs/>
                <w:color w:val="FFFFFF"/>
                <w:sz w:val="20"/>
                <w:szCs w:val="20"/>
                <w:lang w:eastAsia="es-EC"/>
              </w:rPr>
            </w:pPr>
            <w:r>
              <w:rPr>
                <w:rFonts w:eastAsia="Times New Roman" w:cstheme="minorHAnsi"/>
                <w:b/>
                <w:bCs/>
                <w:color w:val="FFFFFF" w:themeColor="background1"/>
                <w:sz w:val="20"/>
                <w:szCs w:val="20"/>
                <w:lang w:eastAsia="es-EC"/>
              </w:rPr>
              <w:t>2022</w:t>
            </w:r>
          </w:p>
        </w:tc>
        <w:tc>
          <w:tcPr>
            <w:tcW w:w="527" w:type="pct"/>
            <w:tcBorders>
              <w:top w:val="single" w:sz="4" w:space="0" w:color="auto"/>
              <w:left w:val="nil"/>
              <w:bottom w:val="single" w:sz="4" w:space="0" w:color="auto"/>
              <w:right w:val="single" w:sz="4" w:space="0" w:color="auto"/>
            </w:tcBorders>
            <w:shd w:val="clear" w:color="auto" w:fill="002060"/>
            <w:vAlign w:val="center"/>
          </w:tcPr>
          <w:p w14:paraId="03001D17" w14:textId="77777777" w:rsidR="007B3093" w:rsidRDefault="00000000">
            <w:pPr>
              <w:spacing w:after="0" w:line="240" w:lineRule="auto"/>
              <w:jc w:val="center"/>
              <w:rPr>
                <w:rFonts w:eastAsia="Times New Roman" w:cstheme="minorHAnsi"/>
                <w:b/>
                <w:bCs/>
                <w:color w:val="FFFFFF"/>
                <w:sz w:val="20"/>
                <w:szCs w:val="20"/>
                <w:lang w:eastAsia="es-EC"/>
              </w:rPr>
            </w:pPr>
            <w:r>
              <w:rPr>
                <w:rFonts w:eastAsia="Times New Roman" w:cstheme="minorHAnsi"/>
                <w:b/>
                <w:bCs/>
                <w:color w:val="FFFFFF" w:themeColor="background1"/>
                <w:sz w:val="20"/>
                <w:szCs w:val="20"/>
                <w:lang w:eastAsia="es-EC"/>
              </w:rPr>
              <w:t>2023</w:t>
            </w:r>
          </w:p>
        </w:tc>
        <w:tc>
          <w:tcPr>
            <w:tcW w:w="526"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668B20E" w14:textId="77777777" w:rsidR="007B3093" w:rsidRDefault="00000000">
            <w:pPr>
              <w:spacing w:after="0" w:line="240" w:lineRule="auto"/>
              <w:jc w:val="center"/>
              <w:rPr>
                <w:rFonts w:eastAsia="Times New Roman" w:cstheme="minorHAnsi"/>
                <w:b/>
                <w:bCs/>
                <w:color w:val="FFFFFF"/>
                <w:sz w:val="20"/>
                <w:szCs w:val="20"/>
                <w:lang w:eastAsia="es-EC"/>
              </w:rPr>
            </w:pPr>
            <w:r>
              <w:rPr>
                <w:rFonts w:eastAsia="Times New Roman" w:cstheme="minorHAnsi"/>
                <w:b/>
                <w:bCs/>
                <w:color w:val="FFFFFF" w:themeColor="background1"/>
                <w:sz w:val="20"/>
                <w:szCs w:val="20"/>
                <w:lang w:eastAsia="es-EC"/>
              </w:rPr>
              <w:t>2024</w:t>
            </w:r>
          </w:p>
        </w:tc>
      </w:tr>
      <w:tr w:rsidR="007B3093" w14:paraId="603036B4" w14:textId="77777777">
        <w:trPr>
          <w:trHeight w:val="315"/>
          <w:jc w:val="center"/>
        </w:trPr>
        <w:tc>
          <w:tcPr>
            <w:tcW w:w="1331" w:type="pct"/>
            <w:tcBorders>
              <w:top w:val="nil"/>
              <w:left w:val="single" w:sz="8" w:space="0" w:color="auto"/>
              <w:bottom w:val="single" w:sz="8" w:space="0" w:color="auto"/>
              <w:right w:val="nil"/>
            </w:tcBorders>
            <w:shd w:val="clear" w:color="auto" w:fill="auto"/>
            <w:noWrap/>
            <w:vAlign w:val="center"/>
            <w:hideMark/>
          </w:tcPr>
          <w:p w14:paraId="76D7F369" w14:textId="77777777" w:rsidR="007B3093" w:rsidRDefault="00000000">
            <w:pPr>
              <w:spacing w:after="0" w:line="240" w:lineRule="auto"/>
              <w:rPr>
                <w:rFonts w:eastAsia="Times New Roman" w:cstheme="minorHAnsi"/>
                <w:b/>
                <w:bCs/>
                <w:color w:val="000000"/>
                <w:sz w:val="20"/>
                <w:szCs w:val="20"/>
                <w:lang w:eastAsia="es-EC"/>
              </w:rPr>
            </w:pPr>
            <w:r>
              <w:rPr>
                <w:rFonts w:eastAsia="Times New Roman" w:cstheme="minorHAnsi"/>
                <w:b/>
                <w:bCs/>
                <w:color w:val="000000"/>
                <w:sz w:val="20"/>
                <w:szCs w:val="20"/>
                <w:lang w:eastAsia="es-EC"/>
              </w:rPr>
              <w:t>Patrocinio</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55A1FEC6" w14:textId="77777777" w:rsidR="007B3093" w:rsidRDefault="00000000">
            <w:pPr>
              <w:pStyle w:val="Sinespaciado"/>
              <w:jc w:val="right"/>
              <w:rPr>
                <w:sz w:val="20"/>
              </w:rPr>
            </w:pPr>
            <w:r>
              <w:rPr>
                <w:rFonts w:ascii="Calibri" w:hAnsi="Calibri"/>
                <w:color w:val="000000"/>
                <w:sz w:val="20"/>
              </w:rPr>
              <w:t>3.666</w:t>
            </w:r>
          </w:p>
        </w:tc>
        <w:tc>
          <w:tcPr>
            <w:tcW w:w="515" w:type="pct"/>
            <w:tcBorders>
              <w:top w:val="nil"/>
              <w:left w:val="nil"/>
              <w:bottom w:val="single" w:sz="4" w:space="0" w:color="auto"/>
              <w:right w:val="single" w:sz="4" w:space="0" w:color="auto"/>
            </w:tcBorders>
            <w:shd w:val="clear" w:color="auto" w:fill="auto"/>
            <w:noWrap/>
            <w:vAlign w:val="center"/>
            <w:hideMark/>
          </w:tcPr>
          <w:p w14:paraId="42B7E70B" w14:textId="77777777" w:rsidR="007B3093" w:rsidRDefault="00000000">
            <w:pPr>
              <w:pStyle w:val="Sinespaciado"/>
              <w:jc w:val="right"/>
              <w:rPr>
                <w:sz w:val="20"/>
              </w:rPr>
            </w:pPr>
            <w:r>
              <w:rPr>
                <w:rFonts w:ascii="Calibri" w:hAnsi="Calibri"/>
                <w:color w:val="000000"/>
                <w:sz w:val="20"/>
              </w:rPr>
              <w:t>3.110</w:t>
            </w:r>
          </w:p>
        </w:tc>
        <w:tc>
          <w:tcPr>
            <w:tcW w:w="506" w:type="pct"/>
            <w:tcBorders>
              <w:top w:val="nil"/>
              <w:left w:val="nil"/>
              <w:bottom w:val="single" w:sz="4" w:space="0" w:color="auto"/>
              <w:right w:val="single" w:sz="4" w:space="0" w:color="auto"/>
            </w:tcBorders>
            <w:shd w:val="clear" w:color="auto" w:fill="auto"/>
            <w:noWrap/>
            <w:vAlign w:val="center"/>
            <w:hideMark/>
          </w:tcPr>
          <w:p w14:paraId="2427672A" w14:textId="77777777" w:rsidR="007B3093" w:rsidRDefault="00000000">
            <w:pPr>
              <w:pStyle w:val="Sinespaciado"/>
              <w:jc w:val="right"/>
              <w:rPr>
                <w:sz w:val="20"/>
              </w:rPr>
            </w:pPr>
            <w:r>
              <w:rPr>
                <w:rFonts w:ascii="Calibri" w:hAnsi="Calibri"/>
                <w:color w:val="000000"/>
                <w:sz w:val="20"/>
              </w:rPr>
              <w:t>2.567</w:t>
            </w:r>
          </w:p>
        </w:tc>
        <w:tc>
          <w:tcPr>
            <w:tcW w:w="558" w:type="pct"/>
            <w:tcBorders>
              <w:top w:val="nil"/>
              <w:left w:val="nil"/>
              <w:bottom w:val="single" w:sz="4" w:space="0" w:color="auto"/>
              <w:right w:val="single" w:sz="4" w:space="0" w:color="auto"/>
            </w:tcBorders>
            <w:shd w:val="clear" w:color="auto" w:fill="auto"/>
            <w:noWrap/>
            <w:vAlign w:val="center"/>
            <w:hideMark/>
          </w:tcPr>
          <w:p w14:paraId="16AD8BC1" w14:textId="77777777" w:rsidR="007B3093" w:rsidRDefault="00000000">
            <w:pPr>
              <w:pStyle w:val="Sinespaciado"/>
              <w:jc w:val="right"/>
              <w:rPr>
                <w:sz w:val="20"/>
              </w:rPr>
            </w:pPr>
            <w:r>
              <w:rPr>
                <w:rFonts w:ascii="Calibri" w:hAnsi="Calibri"/>
                <w:color w:val="000000"/>
                <w:sz w:val="20"/>
              </w:rPr>
              <w:t>2.035</w:t>
            </w:r>
          </w:p>
        </w:tc>
        <w:tc>
          <w:tcPr>
            <w:tcW w:w="527" w:type="pct"/>
            <w:tcBorders>
              <w:top w:val="nil"/>
              <w:left w:val="nil"/>
              <w:bottom w:val="single" w:sz="4" w:space="0" w:color="auto"/>
              <w:right w:val="single" w:sz="4" w:space="0" w:color="auto"/>
            </w:tcBorders>
            <w:shd w:val="clear" w:color="auto" w:fill="auto"/>
            <w:noWrap/>
            <w:vAlign w:val="center"/>
            <w:hideMark/>
          </w:tcPr>
          <w:p w14:paraId="1AD72842" w14:textId="77777777" w:rsidR="007B3093" w:rsidRDefault="00000000">
            <w:pPr>
              <w:pStyle w:val="Sinespaciado"/>
              <w:jc w:val="right"/>
              <w:rPr>
                <w:sz w:val="20"/>
              </w:rPr>
            </w:pPr>
            <w:r>
              <w:rPr>
                <w:rFonts w:ascii="Calibri" w:hAnsi="Calibri"/>
                <w:color w:val="000000"/>
                <w:sz w:val="20"/>
              </w:rPr>
              <w:t>1.517</w:t>
            </w:r>
          </w:p>
        </w:tc>
        <w:tc>
          <w:tcPr>
            <w:tcW w:w="527" w:type="pct"/>
            <w:tcBorders>
              <w:top w:val="single" w:sz="4" w:space="0" w:color="auto"/>
              <w:left w:val="nil"/>
              <w:bottom w:val="single" w:sz="4" w:space="0" w:color="auto"/>
              <w:right w:val="single" w:sz="4" w:space="0" w:color="auto"/>
            </w:tcBorders>
            <w:vAlign w:val="center"/>
          </w:tcPr>
          <w:p w14:paraId="4B3027D8" w14:textId="77777777" w:rsidR="007B3093" w:rsidRDefault="00000000">
            <w:pPr>
              <w:pStyle w:val="Sinespaciado"/>
              <w:jc w:val="right"/>
              <w:rPr>
                <w:sz w:val="20"/>
              </w:rPr>
            </w:pPr>
            <w:r>
              <w:rPr>
                <w:rFonts w:ascii="Calibri" w:hAnsi="Calibri"/>
                <w:color w:val="000000"/>
                <w:sz w:val="20"/>
              </w:rPr>
              <w:t>1.011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56855" w14:textId="77777777" w:rsidR="007B3093" w:rsidRDefault="00000000">
            <w:pPr>
              <w:pStyle w:val="Sinespaciado"/>
              <w:jc w:val="right"/>
              <w:rPr>
                <w:sz w:val="20"/>
              </w:rPr>
            </w:pPr>
            <w:r>
              <w:rPr>
                <w:rFonts w:ascii="Calibri" w:hAnsi="Calibri"/>
                <w:color w:val="000000"/>
                <w:sz w:val="20"/>
              </w:rPr>
              <w:t>1.011</w:t>
            </w:r>
          </w:p>
        </w:tc>
      </w:tr>
      <w:tr w:rsidR="007B3093" w14:paraId="256B0E78" w14:textId="77777777">
        <w:trPr>
          <w:trHeight w:val="315"/>
          <w:jc w:val="center"/>
        </w:trPr>
        <w:tc>
          <w:tcPr>
            <w:tcW w:w="1331" w:type="pct"/>
            <w:tcBorders>
              <w:top w:val="nil"/>
              <w:left w:val="single" w:sz="8" w:space="0" w:color="auto"/>
              <w:bottom w:val="single" w:sz="8" w:space="0" w:color="auto"/>
              <w:right w:val="nil"/>
            </w:tcBorders>
            <w:shd w:val="clear" w:color="auto" w:fill="auto"/>
            <w:noWrap/>
            <w:vAlign w:val="center"/>
            <w:hideMark/>
          </w:tcPr>
          <w:p w14:paraId="34AF8F94" w14:textId="77777777" w:rsidR="007B3093" w:rsidRDefault="00000000">
            <w:pPr>
              <w:spacing w:after="0" w:line="240" w:lineRule="auto"/>
              <w:rPr>
                <w:rFonts w:eastAsia="Times New Roman" w:cstheme="minorHAnsi"/>
                <w:b/>
                <w:bCs/>
                <w:color w:val="000000"/>
                <w:sz w:val="20"/>
                <w:szCs w:val="20"/>
                <w:lang w:eastAsia="es-EC"/>
              </w:rPr>
            </w:pPr>
            <w:r>
              <w:rPr>
                <w:rFonts w:eastAsia="Times New Roman" w:cstheme="minorHAnsi"/>
                <w:b/>
                <w:bCs/>
                <w:color w:val="000000"/>
                <w:sz w:val="20"/>
                <w:szCs w:val="20"/>
                <w:lang w:eastAsia="es-EC"/>
              </w:rPr>
              <w:t>Asuntos Internacionales</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4E23E1BA" w14:textId="77777777" w:rsidR="007B3093" w:rsidRDefault="00000000">
            <w:pPr>
              <w:pStyle w:val="Sinespaciado"/>
              <w:jc w:val="right"/>
              <w:rPr>
                <w:sz w:val="20"/>
              </w:rPr>
            </w:pPr>
            <w:r>
              <w:rPr>
                <w:rFonts w:ascii="Calibri" w:hAnsi="Calibri"/>
                <w:color w:val="000000"/>
                <w:sz w:val="20"/>
              </w:rPr>
              <w:t>11</w:t>
            </w:r>
          </w:p>
        </w:tc>
        <w:tc>
          <w:tcPr>
            <w:tcW w:w="515" w:type="pct"/>
            <w:tcBorders>
              <w:top w:val="nil"/>
              <w:left w:val="nil"/>
              <w:bottom w:val="single" w:sz="4" w:space="0" w:color="auto"/>
              <w:right w:val="single" w:sz="4" w:space="0" w:color="auto"/>
            </w:tcBorders>
            <w:shd w:val="clear" w:color="auto" w:fill="auto"/>
            <w:noWrap/>
            <w:vAlign w:val="center"/>
            <w:hideMark/>
          </w:tcPr>
          <w:p w14:paraId="519788EA" w14:textId="77777777" w:rsidR="007B3093" w:rsidRDefault="00000000">
            <w:pPr>
              <w:pStyle w:val="Sinespaciado"/>
              <w:jc w:val="right"/>
              <w:rPr>
                <w:sz w:val="20"/>
              </w:rPr>
            </w:pPr>
            <w:r>
              <w:rPr>
                <w:rFonts w:ascii="Calibri" w:hAnsi="Calibri"/>
                <w:color w:val="000000"/>
                <w:sz w:val="20"/>
              </w:rPr>
              <w:t>11</w:t>
            </w:r>
          </w:p>
        </w:tc>
        <w:tc>
          <w:tcPr>
            <w:tcW w:w="506" w:type="pct"/>
            <w:tcBorders>
              <w:top w:val="nil"/>
              <w:left w:val="nil"/>
              <w:bottom w:val="single" w:sz="4" w:space="0" w:color="auto"/>
              <w:right w:val="single" w:sz="4" w:space="0" w:color="auto"/>
            </w:tcBorders>
            <w:shd w:val="clear" w:color="auto" w:fill="auto"/>
            <w:noWrap/>
            <w:vAlign w:val="center"/>
            <w:hideMark/>
          </w:tcPr>
          <w:p w14:paraId="3D6C6BE0" w14:textId="77777777" w:rsidR="007B3093" w:rsidRDefault="00000000">
            <w:pPr>
              <w:pStyle w:val="Sinespaciado"/>
              <w:jc w:val="right"/>
              <w:rPr>
                <w:sz w:val="20"/>
              </w:rPr>
            </w:pPr>
            <w:r>
              <w:rPr>
                <w:rFonts w:ascii="Calibri" w:hAnsi="Calibri"/>
                <w:color w:val="000000"/>
                <w:sz w:val="20"/>
              </w:rPr>
              <w:t>10</w:t>
            </w:r>
          </w:p>
        </w:tc>
        <w:tc>
          <w:tcPr>
            <w:tcW w:w="558" w:type="pct"/>
            <w:tcBorders>
              <w:top w:val="nil"/>
              <w:left w:val="nil"/>
              <w:bottom w:val="single" w:sz="4" w:space="0" w:color="auto"/>
              <w:right w:val="single" w:sz="4" w:space="0" w:color="auto"/>
            </w:tcBorders>
            <w:shd w:val="clear" w:color="auto" w:fill="auto"/>
            <w:noWrap/>
            <w:vAlign w:val="center"/>
            <w:hideMark/>
          </w:tcPr>
          <w:p w14:paraId="03733550" w14:textId="77777777" w:rsidR="007B3093" w:rsidRDefault="00000000">
            <w:pPr>
              <w:pStyle w:val="Sinespaciado"/>
              <w:jc w:val="right"/>
              <w:rPr>
                <w:sz w:val="20"/>
              </w:rPr>
            </w:pPr>
            <w:r>
              <w:rPr>
                <w:rFonts w:ascii="Calibri" w:hAnsi="Calibri"/>
                <w:color w:val="000000"/>
                <w:sz w:val="20"/>
              </w:rPr>
              <w:t>10</w:t>
            </w:r>
          </w:p>
        </w:tc>
        <w:tc>
          <w:tcPr>
            <w:tcW w:w="527" w:type="pct"/>
            <w:tcBorders>
              <w:top w:val="nil"/>
              <w:left w:val="nil"/>
              <w:bottom w:val="single" w:sz="4" w:space="0" w:color="auto"/>
              <w:right w:val="single" w:sz="4" w:space="0" w:color="auto"/>
            </w:tcBorders>
            <w:shd w:val="clear" w:color="auto" w:fill="auto"/>
            <w:noWrap/>
            <w:vAlign w:val="center"/>
            <w:hideMark/>
          </w:tcPr>
          <w:p w14:paraId="75D0F5BB" w14:textId="77777777" w:rsidR="007B3093" w:rsidRDefault="00000000">
            <w:pPr>
              <w:pStyle w:val="Sinespaciado"/>
              <w:jc w:val="right"/>
              <w:rPr>
                <w:sz w:val="20"/>
              </w:rPr>
            </w:pPr>
            <w:r>
              <w:rPr>
                <w:rFonts w:ascii="Calibri" w:hAnsi="Calibri"/>
                <w:color w:val="000000"/>
                <w:sz w:val="20"/>
              </w:rPr>
              <w:t>10</w:t>
            </w:r>
          </w:p>
        </w:tc>
        <w:tc>
          <w:tcPr>
            <w:tcW w:w="527" w:type="pct"/>
            <w:tcBorders>
              <w:top w:val="single" w:sz="4" w:space="0" w:color="auto"/>
              <w:left w:val="nil"/>
              <w:bottom w:val="single" w:sz="4" w:space="0" w:color="auto"/>
              <w:right w:val="single" w:sz="4" w:space="0" w:color="auto"/>
            </w:tcBorders>
            <w:vAlign w:val="center"/>
          </w:tcPr>
          <w:p w14:paraId="6C70058F" w14:textId="77777777" w:rsidR="007B3093" w:rsidRDefault="00000000">
            <w:pPr>
              <w:pStyle w:val="Sinespaciado"/>
              <w:jc w:val="right"/>
              <w:rPr>
                <w:sz w:val="20"/>
              </w:rPr>
            </w:pPr>
            <w:r>
              <w:rPr>
                <w:rFonts w:ascii="Calibri" w:hAnsi="Calibri"/>
                <w:color w:val="000000"/>
                <w:sz w:val="20"/>
              </w:rPr>
              <w:t>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23E41" w14:textId="77777777" w:rsidR="007B3093" w:rsidRDefault="00000000">
            <w:pPr>
              <w:pStyle w:val="Sinespaciado"/>
              <w:jc w:val="right"/>
              <w:rPr>
                <w:sz w:val="20"/>
              </w:rPr>
            </w:pPr>
            <w:r>
              <w:rPr>
                <w:rFonts w:ascii="Calibri" w:hAnsi="Calibri"/>
                <w:color w:val="000000"/>
                <w:sz w:val="20"/>
              </w:rPr>
              <w:t>9</w:t>
            </w:r>
          </w:p>
        </w:tc>
      </w:tr>
      <w:tr w:rsidR="007B3093" w14:paraId="382CD73C" w14:textId="77777777">
        <w:trPr>
          <w:trHeight w:val="315"/>
          <w:jc w:val="center"/>
        </w:trPr>
        <w:tc>
          <w:tcPr>
            <w:tcW w:w="1331" w:type="pct"/>
            <w:tcBorders>
              <w:top w:val="nil"/>
              <w:left w:val="single" w:sz="8" w:space="0" w:color="auto"/>
              <w:bottom w:val="single" w:sz="8" w:space="0" w:color="auto"/>
              <w:right w:val="nil"/>
            </w:tcBorders>
            <w:shd w:val="clear" w:color="auto" w:fill="auto"/>
            <w:noWrap/>
            <w:vAlign w:val="center"/>
            <w:hideMark/>
          </w:tcPr>
          <w:p w14:paraId="1716D6AE" w14:textId="77777777" w:rsidR="007B3093" w:rsidRDefault="00000000">
            <w:pPr>
              <w:spacing w:after="0" w:line="240" w:lineRule="auto"/>
              <w:rPr>
                <w:rFonts w:eastAsia="Times New Roman" w:cstheme="minorHAnsi"/>
                <w:b/>
                <w:bCs/>
                <w:color w:val="000000"/>
                <w:sz w:val="20"/>
                <w:szCs w:val="20"/>
                <w:lang w:eastAsia="es-EC"/>
              </w:rPr>
            </w:pPr>
            <w:r>
              <w:rPr>
                <w:rFonts w:eastAsia="Times New Roman" w:cstheme="minorHAnsi"/>
                <w:b/>
                <w:bCs/>
                <w:color w:val="000000"/>
                <w:sz w:val="20"/>
                <w:szCs w:val="20"/>
                <w:lang w:eastAsia="es-EC"/>
              </w:rPr>
              <w:t>DDHH</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623696D1" w14:textId="77777777" w:rsidR="007B3093" w:rsidRDefault="00000000">
            <w:pPr>
              <w:pStyle w:val="Sinespaciado"/>
              <w:jc w:val="right"/>
              <w:rPr>
                <w:sz w:val="20"/>
              </w:rPr>
            </w:pPr>
            <w:r>
              <w:rPr>
                <w:rFonts w:ascii="Calibri" w:hAnsi="Calibri"/>
                <w:color w:val="000000"/>
                <w:sz w:val="20"/>
              </w:rPr>
              <w:t>107</w:t>
            </w:r>
          </w:p>
        </w:tc>
        <w:tc>
          <w:tcPr>
            <w:tcW w:w="515" w:type="pct"/>
            <w:tcBorders>
              <w:top w:val="nil"/>
              <w:left w:val="nil"/>
              <w:bottom w:val="single" w:sz="4" w:space="0" w:color="auto"/>
              <w:right w:val="single" w:sz="4" w:space="0" w:color="auto"/>
            </w:tcBorders>
            <w:shd w:val="clear" w:color="auto" w:fill="auto"/>
            <w:noWrap/>
            <w:vAlign w:val="center"/>
            <w:hideMark/>
          </w:tcPr>
          <w:p w14:paraId="6344C650" w14:textId="77777777" w:rsidR="007B3093" w:rsidRDefault="00000000">
            <w:pPr>
              <w:pStyle w:val="Sinespaciado"/>
              <w:jc w:val="right"/>
              <w:rPr>
                <w:sz w:val="20"/>
              </w:rPr>
            </w:pPr>
            <w:r>
              <w:rPr>
                <w:rFonts w:ascii="Calibri" w:hAnsi="Calibri"/>
                <w:color w:val="000000"/>
                <w:sz w:val="20"/>
              </w:rPr>
              <w:t>109</w:t>
            </w:r>
          </w:p>
        </w:tc>
        <w:tc>
          <w:tcPr>
            <w:tcW w:w="506" w:type="pct"/>
            <w:tcBorders>
              <w:top w:val="nil"/>
              <w:left w:val="nil"/>
              <w:bottom w:val="single" w:sz="4" w:space="0" w:color="auto"/>
              <w:right w:val="single" w:sz="4" w:space="0" w:color="auto"/>
            </w:tcBorders>
            <w:shd w:val="clear" w:color="auto" w:fill="auto"/>
            <w:noWrap/>
            <w:vAlign w:val="center"/>
            <w:hideMark/>
          </w:tcPr>
          <w:p w14:paraId="6078C49A" w14:textId="77777777" w:rsidR="007B3093" w:rsidRDefault="00000000">
            <w:pPr>
              <w:pStyle w:val="Sinespaciado"/>
              <w:jc w:val="right"/>
              <w:rPr>
                <w:sz w:val="20"/>
              </w:rPr>
            </w:pPr>
            <w:r>
              <w:rPr>
                <w:rFonts w:ascii="Calibri" w:hAnsi="Calibri"/>
                <w:color w:val="000000"/>
                <w:sz w:val="20"/>
              </w:rPr>
              <w:t>113</w:t>
            </w:r>
          </w:p>
        </w:tc>
        <w:tc>
          <w:tcPr>
            <w:tcW w:w="558" w:type="pct"/>
            <w:tcBorders>
              <w:top w:val="nil"/>
              <w:left w:val="nil"/>
              <w:bottom w:val="single" w:sz="4" w:space="0" w:color="auto"/>
              <w:right w:val="single" w:sz="4" w:space="0" w:color="auto"/>
            </w:tcBorders>
            <w:shd w:val="clear" w:color="auto" w:fill="auto"/>
            <w:noWrap/>
            <w:vAlign w:val="center"/>
            <w:hideMark/>
          </w:tcPr>
          <w:p w14:paraId="141B241C" w14:textId="77777777" w:rsidR="007B3093" w:rsidRDefault="00000000">
            <w:pPr>
              <w:pStyle w:val="Sinespaciado"/>
              <w:jc w:val="right"/>
              <w:rPr>
                <w:color w:val="FF0000"/>
                <w:sz w:val="20"/>
              </w:rPr>
            </w:pPr>
            <w:r>
              <w:rPr>
                <w:rFonts w:ascii="Calibri" w:hAnsi="Calibri"/>
                <w:color w:val="000000"/>
                <w:sz w:val="20"/>
              </w:rPr>
              <w:t>115</w:t>
            </w:r>
          </w:p>
        </w:tc>
        <w:tc>
          <w:tcPr>
            <w:tcW w:w="527" w:type="pct"/>
            <w:tcBorders>
              <w:top w:val="nil"/>
              <w:left w:val="nil"/>
              <w:bottom w:val="single" w:sz="4" w:space="0" w:color="auto"/>
              <w:right w:val="single" w:sz="4" w:space="0" w:color="auto"/>
            </w:tcBorders>
            <w:shd w:val="clear" w:color="auto" w:fill="auto"/>
            <w:noWrap/>
            <w:vAlign w:val="center"/>
            <w:hideMark/>
          </w:tcPr>
          <w:p w14:paraId="704509AE" w14:textId="77777777" w:rsidR="007B3093" w:rsidRDefault="00000000">
            <w:pPr>
              <w:pStyle w:val="Sinespaciado"/>
              <w:jc w:val="right"/>
              <w:rPr>
                <w:sz w:val="20"/>
              </w:rPr>
            </w:pPr>
            <w:r>
              <w:rPr>
                <w:rFonts w:ascii="Calibri" w:hAnsi="Calibri"/>
                <w:color w:val="000000"/>
                <w:sz w:val="20"/>
              </w:rPr>
              <w:t>119</w:t>
            </w:r>
          </w:p>
        </w:tc>
        <w:tc>
          <w:tcPr>
            <w:tcW w:w="527" w:type="pct"/>
            <w:tcBorders>
              <w:top w:val="single" w:sz="4" w:space="0" w:color="auto"/>
              <w:left w:val="nil"/>
              <w:bottom w:val="single" w:sz="4" w:space="0" w:color="auto"/>
              <w:right w:val="single" w:sz="4" w:space="0" w:color="auto"/>
            </w:tcBorders>
            <w:vAlign w:val="center"/>
          </w:tcPr>
          <w:p w14:paraId="23914B4E" w14:textId="77777777" w:rsidR="007B3093" w:rsidRDefault="00000000">
            <w:pPr>
              <w:pStyle w:val="Sinespaciado"/>
              <w:jc w:val="right"/>
              <w:rPr>
                <w:sz w:val="20"/>
              </w:rPr>
            </w:pPr>
            <w:r>
              <w:rPr>
                <w:rFonts w:ascii="Calibri" w:hAnsi="Calibri"/>
                <w:color w:val="000000"/>
                <w:sz w:val="20"/>
              </w:rPr>
              <w:t>122</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2A2D0" w14:textId="77777777" w:rsidR="007B3093" w:rsidRDefault="00000000">
            <w:pPr>
              <w:pStyle w:val="Sinespaciado"/>
              <w:jc w:val="right"/>
              <w:rPr>
                <w:sz w:val="20"/>
              </w:rPr>
            </w:pPr>
            <w:r>
              <w:rPr>
                <w:rFonts w:ascii="Calibri" w:hAnsi="Calibri"/>
                <w:color w:val="000000"/>
                <w:sz w:val="20"/>
              </w:rPr>
              <w:t>122</w:t>
            </w:r>
          </w:p>
        </w:tc>
      </w:tr>
      <w:tr w:rsidR="007B3093" w14:paraId="681F354F" w14:textId="77777777">
        <w:trPr>
          <w:trHeight w:val="315"/>
          <w:jc w:val="center"/>
        </w:trPr>
        <w:tc>
          <w:tcPr>
            <w:tcW w:w="1331" w:type="pct"/>
            <w:tcBorders>
              <w:top w:val="nil"/>
              <w:left w:val="single" w:sz="8" w:space="0" w:color="auto"/>
              <w:bottom w:val="single" w:sz="8" w:space="0" w:color="auto"/>
              <w:right w:val="nil"/>
            </w:tcBorders>
            <w:shd w:val="clear" w:color="auto" w:fill="auto"/>
            <w:noWrap/>
            <w:vAlign w:val="center"/>
            <w:hideMark/>
          </w:tcPr>
          <w:p w14:paraId="2B49F230" w14:textId="77777777" w:rsidR="007B3093" w:rsidRDefault="00000000">
            <w:pPr>
              <w:spacing w:after="0" w:line="240" w:lineRule="auto"/>
              <w:rPr>
                <w:rFonts w:eastAsia="Times New Roman" w:cstheme="minorHAnsi"/>
                <w:b/>
                <w:bCs/>
                <w:color w:val="000000"/>
                <w:sz w:val="20"/>
                <w:szCs w:val="20"/>
                <w:lang w:eastAsia="es-EC"/>
              </w:rPr>
            </w:pPr>
            <w:r>
              <w:rPr>
                <w:rFonts w:eastAsia="Times New Roman" w:cstheme="minorHAnsi"/>
                <w:b/>
                <w:bCs/>
                <w:color w:val="000000"/>
                <w:sz w:val="20"/>
                <w:szCs w:val="20"/>
                <w:lang w:eastAsia="es-EC"/>
              </w:rPr>
              <w:t>Mediación</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4EDCE9A9" w14:textId="77777777" w:rsidR="007B3093" w:rsidRDefault="00000000">
            <w:pPr>
              <w:pStyle w:val="Sinespaciado"/>
              <w:jc w:val="right"/>
              <w:rPr>
                <w:sz w:val="20"/>
              </w:rPr>
            </w:pPr>
            <w:r>
              <w:rPr>
                <w:rFonts w:ascii="Calibri" w:hAnsi="Calibri"/>
                <w:color w:val="000000"/>
                <w:sz w:val="20"/>
              </w:rPr>
              <w:t>401</w:t>
            </w:r>
          </w:p>
        </w:tc>
        <w:tc>
          <w:tcPr>
            <w:tcW w:w="515" w:type="pct"/>
            <w:tcBorders>
              <w:top w:val="nil"/>
              <w:left w:val="nil"/>
              <w:bottom w:val="single" w:sz="4" w:space="0" w:color="auto"/>
              <w:right w:val="single" w:sz="4" w:space="0" w:color="auto"/>
            </w:tcBorders>
            <w:shd w:val="clear" w:color="auto" w:fill="auto"/>
            <w:noWrap/>
            <w:vAlign w:val="center"/>
            <w:hideMark/>
          </w:tcPr>
          <w:p w14:paraId="0BFCEA84" w14:textId="77777777" w:rsidR="007B3093" w:rsidRDefault="00000000">
            <w:pPr>
              <w:pStyle w:val="Sinespaciado"/>
              <w:jc w:val="right"/>
              <w:rPr>
                <w:sz w:val="20"/>
              </w:rPr>
            </w:pPr>
            <w:r>
              <w:rPr>
                <w:rFonts w:ascii="Calibri" w:hAnsi="Calibri"/>
                <w:color w:val="000000"/>
                <w:sz w:val="20"/>
              </w:rPr>
              <w:t>391</w:t>
            </w:r>
          </w:p>
        </w:tc>
        <w:tc>
          <w:tcPr>
            <w:tcW w:w="506" w:type="pct"/>
            <w:tcBorders>
              <w:top w:val="nil"/>
              <w:left w:val="nil"/>
              <w:bottom w:val="single" w:sz="4" w:space="0" w:color="auto"/>
              <w:right w:val="single" w:sz="4" w:space="0" w:color="auto"/>
            </w:tcBorders>
            <w:shd w:val="clear" w:color="auto" w:fill="auto"/>
            <w:noWrap/>
            <w:vAlign w:val="center"/>
            <w:hideMark/>
          </w:tcPr>
          <w:p w14:paraId="00BD6F92" w14:textId="77777777" w:rsidR="007B3093" w:rsidRDefault="00000000">
            <w:pPr>
              <w:pStyle w:val="Sinespaciado"/>
              <w:jc w:val="right"/>
              <w:rPr>
                <w:sz w:val="20"/>
              </w:rPr>
            </w:pPr>
            <w:r>
              <w:rPr>
                <w:rFonts w:ascii="Calibri" w:hAnsi="Calibri"/>
                <w:color w:val="000000"/>
                <w:sz w:val="20"/>
              </w:rPr>
              <w:t>383</w:t>
            </w:r>
          </w:p>
        </w:tc>
        <w:tc>
          <w:tcPr>
            <w:tcW w:w="558" w:type="pct"/>
            <w:tcBorders>
              <w:top w:val="nil"/>
              <w:left w:val="nil"/>
              <w:bottom w:val="single" w:sz="4" w:space="0" w:color="auto"/>
              <w:right w:val="single" w:sz="4" w:space="0" w:color="auto"/>
            </w:tcBorders>
            <w:shd w:val="clear" w:color="auto" w:fill="auto"/>
            <w:noWrap/>
            <w:vAlign w:val="center"/>
            <w:hideMark/>
          </w:tcPr>
          <w:p w14:paraId="7E6DEE8E" w14:textId="77777777" w:rsidR="007B3093" w:rsidRDefault="00000000">
            <w:pPr>
              <w:pStyle w:val="Sinespaciado"/>
              <w:jc w:val="right"/>
              <w:rPr>
                <w:color w:val="FF0000"/>
                <w:sz w:val="20"/>
              </w:rPr>
            </w:pPr>
            <w:r>
              <w:rPr>
                <w:rFonts w:ascii="Calibri" w:hAnsi="Calibri"/>
                <w:color w:val="000000"/>
                <w:sz w:val="20"/>
              </w:rPr>
              <w:t>375</w:t>
            </w:r>
          </w:p>
        </w:tc>
        <w:tc>
          <w:tcPr>
            <w:tcW w:w="527" w:type="pct"/>
            <w:tcBorders>
              <w:top w:val="nil"/>
              <w:left w:val="nil"/>
              <w:bottom w:val="single" w:sz="4" w:space="0" w:color="auto"/>
              <w:right w:val="single" w:sz="4" w:space="0" w:color="auto"/>
            </w:tcBorders>
            <w:shd w:val="clear" w:color="auto" w:fill="auto"/>
            <w:noWrap/>
            <w:vAlign w:val="center"/>
            <w:hideMark/>
          </w:tcPr>
          <w:p w14:paraId="5A65B878" w14:textId="77777777" w:rsidR="007B3093" w:rsidRDefault="00000000">
            <w:pPr>
              <w:pStyle w:val="Sinespaciado"/>
              <w:jc w:val="right"/>
              <w:rPr>
                <w:sz w:val="20"/>
              </w:rPr>
            </w:pPr>
            <w:r>
              <w:rPr>
                <w:rFonts w:ascii="Calibri" w:hAnsi="Calibri"/>
                <w:color w:val="000000"/>
                <w:sz w:val="20"/>
              </w:rPr>
              <w:t>370</w:t>
            </w:r>
          </w:p>
        </w:tc>
        <w:tc>
          <w:tcPr>
            <w:tcW w:w="527" w:type="pct"/>
            <w:tcBorders>
              <w:top w:val="single" w:sz="4" w:space="0" w:color="auto"/>
              <w:left w:val="nil"/>
              <w:bottom w:val="single" w:sz="4" w:space="0" w:color="auto"/>
              <w:right w:val="single" w:sz="4" w:space="0" w:color="auto"/>
            </w:tcBorders>
            <w:vAlign w:val="center"/>
          </w:tcPr>
          <w:p w14:paraId="0B62B4C7" w14:textId="77777777" w:rsidR="007B3093" w:rsidRDefault="00000000">
            <w:pPr>
              <w:pStyle w:val="Sinespaciado"/>
              <w:jc w:val="right"/>
              <w:rPr>
                <w:color w:val="FF0000"/>
                <w:sz w:val="20"/>
              </w:rPr>
            </w:pPr>
            <w:r>
              <w:rPr>
                <w:rFonts w:ascii="Calibri" w:hAnsi="Calibri"/>
                <w:color w:val="000000"/>
                <w:sz w:val="20"/>
              </w:rPr>
              <w:t>312</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E0052" w14:textId="77777777" w:rsidR="007B3093" w:rsidRDefault="00000000">
            <w:pPr>
              <w:pStyle w:val="Sinespaciado"/>
              <w:jc w:val="right"/>
              <w:rPr>
                <w:color w:val="FF0000"/>
                <w:sz w:val="20"/>
              </w:rPr>
            </w:pPr>
            <w:r>
              <w:rPr>
                <w:rFonts w:ascii="Calibri" w:hAnsi="Calibri"/>
                <w:color w:val="000000"/>
                <w:sz w:val="20"/>
              </w:rPr>
              <w:t>312</w:t>
            </w:r>
          </w:p>
        </w:tc>
      </w:tr>
      <w:tr w:rsidR="007B3093" w14:paraId="190C3C61" w14:textId="77777777">
        <w:trPr>
          <w:trHeight w:val="315"/>
          <w:jc w:val="center"/>
        </w:trPr>
        <w:tc>
          <w:tcPr>
            <w:tcW w:w="1331" w:type="pct"/>
            <w:tcBorders>
              <w:top w:val="nil"/>
              <w:left w:val="single" w:sz="8" w:space="0" w:color="auto"/>
              <w:bottom w:val="single" w:sz="8" w:space="0" w:color="auto"/>
              <w:right w:val="nil"/>
            </w:tcBorders>
            <w:shd w:val="clear" w:color="auto" w:fill="auto"/>
            <w:noWrap/>
            <w:vAlign w:val="center"/>
            <w:hideMark/>
          </w:tcPr>
          <w:p w14:paraId="104D0AA4" w14:textId="77777777" w:rsidR="007B3093" w:rsidRDefault="00000000">
            <w:pPr>
              <w:spacing w:after="0" w:line="240" w:lineRule="auto"/>
              <w:rPr>
                <w:rFonts w:eastAsia="Times New Roman" w:cstheme="minorHAnsi"/>
                <w:b/>
                <w:bCs/>
                <w:color w:val="000000"/>
                <w:sz w:val="20"/>
                <w:szCs w:val="20"/>
                <w:lang w:eastAsia="es-EC"/>
              </w:rPr>
            </w:pPr>
            <w:r>
              <w:rPr>
                <w:rFonts w:eastAsia="Times New Roman" w:cstheme="minorHAnsi"/>
                <w:b/>
                <w:bCs/>
                <w:color w:val="000000"/>
                <w:sz w:val="20"/>
                <w:szCs w:val="20"/>
                <w:lang w:eastAsia="es-EC"/>
              </w:rPr>
              <w:t>Consultoría</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769E017A" w14:textId="77777777" w:rsidR="007B3093" w:rsidRDefault="00000000">
            <w:pPr>
              <w:pStyle w:val="Sinespaciado"/>
              <w:jc w:val="right"/>
              <w:rPr>
                <w:sz w:val="20"/>
              </w:rPr>
            </w:pPr>
            <w:r>
              <w:rPr>
                <w:rFonts w:ascii="Calibri" w:hAnsi="Calibri"/>
                <w:color w:val="000000"/>
                <w:sz w:val="20"/>
              </w:rPr>
              <w:t>477</w:t>
            </w:r>
          </w:p>
        </w:tc>
        <w:tc>
          <w:tcPr>
            <w:tcW w:w="515" w:type="pct"/>
            <w:tcBorders>
              <w:top w:val="nil"/>
              <w:left w:val="nil"/>
              <w:bottom w:val="single" w:sz="4" w:space="0" w:color="auto"/>
              <w:right w:val="single" w:sz="4" w:space="0" w:color="auto"/>
            </w:tcBorders>
            <w:shd w:val="clear" w:color="auto" w:fill="auto"/>
            <w:noWrap/>
            <w:vAlign w:val="center"/>
            <w:hideMark/>
          </w:tcPr>
          <w:p w14:paraId="26ABA599" w14:textId="77777777" w:rsidR="007B3093" w:rsidRDefault="00000000">
            <w:pPr>
              <w:pStyle w:val="Sinespaciado"/>
              <w:jc w:val="right"/>
              <w:rPr>
                <w:sz w:val="20"/>
              </w:rPr>
            </w:pPr>
            <w:r>
              <w:rPr>
                <w:rFonts w:ascii="Calibri" w:hAnsi="Calibri"/>
                <w:color w:val="000000"/>
                <w:sz w:val="20"/>
              </w:rPr>
              <w:t>489</w:t>
            </w:r>
          </w:p>
        </w:tc>
        <w:tc>
          <w:tcPr>
            <w:tcW w:w="506" w:type="pct"/>
            <w:tcBorders>
              <w:top w:val="nil"/>
              <w:left w:val="nil"/>
              <w:bottom w:val="single" w:sz="4" w:space="0" w:color="auto"/>
              <w:right w:val="single" w:sz="4" w:space="0" w:color="auto"/>
            </w:tcBorders>
            <w:shd w:val="clear" w:color="auto" w:fill="auto"/>
            <w:noWrap/>
            <w:vAlign w:val="center"/>
            <w:hideMark/>
          </w:tcPr>
          <w:p w14:paraId="21FCB739" w14:textId="77777777" w:rsidR="007B3093" w:rsidRDefault="00000000">
            <w:pPr>
              <w:pStyle w:val="Sinespaciado"/>
              <w:jc w:val="right"/>
              <w:rPr>
                <w:sz w:val="20"/>
              </w:rPr>
            </w:pPr>
            <w:r>
              <w:rPr>
                <w:rFonts w:ascii="Calibri" w:hAnsi="Calibri"/>
                <w:color w:val="000000"/>
                <w:sz w:val="20"/>
              </w:rPr>
              <w:t>502</w:t>
            </w:r>
          </w:p>
        </w:tc>
        <w:tc>
          <w:tcPr>
            <w:tcW w:w="558" w:type="pct"/>
            <w:tcBorders>
              <w:top w:val="nil"/>
              <w:left w:val="nil"/>
              <w:bottom w:val="single" w:sz="4" w:space="0" w:color="auto"/>
              <w:right w:val="single" w:sz="4" w:space="0" w:color="auto"/>
            </w:tcBorders>
            <w:shd w:val="clear" w:color="auto" w:fill="auto"/>
            <w:noWrap/>
            <w:vAlign w:val="center"/>
            <w:hideMark/>
          </w:tcPr>
          <w:p w14:paraId="770DDAF9" w14:textId="77777777" w:rsidR="007B3093" w:rsidRDefault="00000000">
            <w:pPr>
              <w:pStyle w:val="Sinespaciado"/>
              <w:jc w:val="right"/>
              <w:rPr>
                <w:sz w:val="20"/>
              </w:rPr>
            </w:pPr>
            <w:r>
              <w:rPr>
                <w:rFonts w:ascii="Calibri" w:hAnsi="Calibri"/>
                <w:color w:val="000000"/>
                <w:sz w:val="20"/>
              </w:rPr>
              <w:t>515</w:t>
            </w:r>
          </w:p>
        </w:tc>
        <w:tc>
          <w:tcPr>
            <w:tcW w:w="527" w:type="pct"/>
            <w:tcBorders>
              <w:top w:val="nil"/>
              <w:left w:val="nil"/>
              <w:bottom w:val="single" w:sz="4" w:space="0" w:color="auto"/>
              <w:right w:val="single" w:sz="4" w:space="0" w:color="auto"/>
            </w:tcBorders>
            <w:shd w:val="clear" w:color="auto" w:fill="auto"/>
            <w:noWrap/>
            <w:vAlign w:val="center"/>
            <w:hideMark/>
          </w:tcPr>
          <w:p w14:paraId="6996776B" w14:textId="77777777" w:rsidR="007B3093" w:rsidRDefault="00000000">
            <w:pPr>
              <w:pStyle w:val="Sinespaciado"/>
              <w:jc w:val="right"/>
              <w:rPr>
                <w:sz w:val="20"/>
              </w:rPr>
            </w:pPr>
            <w:r>
              <w:rPr>
                <w:rFonts w:ascii="Calibri" w:hAnsi="Calibri"/>
                <w:color w:val="000000"/>
                <w:sz w:val="20"/>
              </w:rPr>
              <w:t>529</w:t>
            </w:r>
          </w:p>
        </w:tc>
        <w:tc>
          <w:tcPr>
            <w:tcW w:w="527" w:type="pct"/>
            <w:tcBorders>
              <w:top w:val="single" w:sz="4" w:space="0" w:color="auto"/>
              <w:left w:val="nil"/>
              <w:bottom w:val="single" w:sz="4" w:space="0" w:color="auto"/>
              <w:right w:val="single" w:sz="4" w:space="0" w:color="auto"/>
            </w:tcBorders>
            <w:vAlign w:val="center"/>
          </w:tcPr>
          <w:p w14:paraId="4C70328A" w14:textId="77777777" w:rsidR="007B3093" w:rsidRDefault="00000000">
            <w:pPr>
              <w:pStyle w:val="Sinespaciado"/>
              <w:jc w:val="right"/>
              <w:rPr>
                <w:color w:val="FF0000"/>
                <w:sz w:val="20"/>
              </w:rPr>
            </w:pPr>
            <w:r>
              <w:rPr>
                <w:rFonts w:ascii="Calibri" w:hAnsi="Calibri"/>
                <w:color w:val="000000"/>
                <w:sz w:val="20"/>
              </w:rPr>
              <w:t>538</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FBCD7" w14:textId="77777777" w:rsidR="007B3093" w:rsidRDefault="00000000">
            <w:pPr>
              <w:pStyle w:val="Sinespaciado"/>
              <w:jc w:val="right"/>
              <w:rPr>
                <w:color w:val="FF0000"/>
                <w:sz w:val="20"/>
              </w:rPr>
            </w:pPr>
            <w:r>
              <w:rPr>
                <w:rFonts w:ascii="Calibri" w:hAnsi="Calibri"/>
                <w:color w:val="000000"/>
                <w:sz w:val="20"/>
              </w:rPr>
              <w:t>538</w:t>
            </w:r>
          </w:p>
        </w:tc>
      </w:tr>
      <w:tr w:rsidR="007B3093" w14:paraId="67D3C618" w14:textId="77777777">
        <w:trPr>
          <w:trHeight w:val="315"/>
          <w:jc w:val="center"/>
        </w:trPr>
        <w:tc>
          <w:tcPr>
            <w:tcW w:w="1331" w:type="pct"/>
            <w:tcBorders>
              <w:top w:val="nil"/>
              <w:left w:val="single" w:sz="8" w:space="0" w:color="auto"/>
              <w:bottom w:val="single" w:sz="8" w:space="0" w:color="auto"/>
              <w:right w:val="nil"/>
            </w:tcBorders>
            <w:shd w:val="clear" w:color="auto" w:fill="auto"/>
            <w:noWrap/>
            <w:vAlign w:val="center"/>
            <w:hideMark/>
          </w:tcPr>
          <w:p w14:paraId="05751887" w14:textId="77777777" w:rsidR="007B3093" w:rsidRDefault="00000000">
            <w:pPr>
              <w:spacing w:after="0" w:line="240" w:lineRule="auto"/>
              <w:rPr>
                <w:rFonts w:eastAsia="Times New Roman" w:cstheme="minorHAnsi"/>
                <w:b/>
                <w:bCs/>
                <w:color w:val="000000"/>
                <w:sz w:val="20"/>
                <w:szCs w:val="20"/>
                <w:lang w:eastAsia="es-EC"/>
              </w:rPr>
            </w:pPr>
            <w:r>
              <w:rPr>
                <w:rFonts w:eastAsia="Times New Roman" w:cstheme="minorHAnsi"/>
                <w:b/>
                <w:bCs/>
                <w:color w:val="000000"/>
                <w:sz w:val="20"/>
                <w:szCs w:val="20"/>
                <w:lang w:eastAsia="es-EC"/>
              </w:rPr>
              <w:t>Control Legalidad</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783AAADD" w14:textId="77777777" w:rsidR="007B3093" w:rsidRDefault="00000000">
            <w:pPr>
              <w:pStyle w:val="Sinespaciado"/>
              <w:jc w:val="right"/>
              <w:rPr>
                <w:sz w:val="20"/>
              </w:rPr>
            </w:pPr>
            <w:r>
              <w:rPr>
                <w:rFonts w:ascii="Calibri" w:hAnsi="Calibri"/>
                <w:color w:val="000000"/>
                <w:sz w:val="20"/>
              </w:rPr>
              <w:t>125</w:t>
            </w:r>
          </w:p>
        </w:tc>
        <w:tc>
          <w:tcPr>
            <w:tcW w:w="515" w:type="pct"/>
            <w:tcBorders>
              <w:top w:val="nil"/>
              <w:left w:val="nil"/>
              <w:bottom w:val="single" w:sz="4" w:space="0" w:color="auto"/>
              <w:right w:val="single" w:sz="4" w:space="0" w:color="auto"/>
            </w:tcBorders>
            <w:shd w:val="clear" w:color="auto" w:fill="auto"/>
            <w:noWrap/>
            <w:vAlign w:val="center"/>
            <w:hideMark/>
          </w:tcPr>
          <w:p w14:paraId="7DB9C67C" w14:textId="77777777" w:rsidR="007B3093" w:rsidRDefault="00000000">
            <w:pPr>
              <w:pStyle w:val="Sinespaciado"/>
              <w:jc w:val="right"/>
              <w:rPr>
                <w:sz w:val="20"/>
              </w:rPr>
            </w:pPr>
            <w:r>
              <w:rPr>
                <w:rFonts w:ascii="Calibri" w:hAnsi="Calibri"/>
                <w:color w:val="000000"/>
                <w:sz w:val="20"/>
              </w:rPr>
              <w:t>126</w:t>
            </w:r>
          </w:p>
        </w:tc>
        <w:tc>
          <w:tcPr>
            <w:tcW w:w="506" w:type="pct"/>
            <w:tcBorders>
              <w:top w:val="nil"/>
              <w:left w:val="nil"/>
              <w:bottom w:val="single" w:sz="4" w:space="0" w:color="auto"/>
              <w:right w:val="single" w:sz="4" w:space="0" w:color="auto"/>
            </w:tcBorders>
            <w:shd w:val="clear" w:color="auto" w:fill="auto"/>
            <w:noWrap/>
            <w:vAlign w:val="center"/>
            <w:hideMark/>
          </w:tcPr>
          <w:p w14:paraId="5B0079F5" w14:textId="77777777" w:rsidR="007B3093" w:rsidRDefault="00000000">
            <w:pPr>
              <w:pStyle w:val="Sinespaciado"/>
              <w:jc w:val="right"/>
              <w:rPr>
                <w:sz w:val="20"/>
              </w:rPr>
            </w:pPr>
            <w:r>
              <w:rPr>
                <w:rFonts w:ascii="Calibri" w:hAnsi="Calibri"/>
                <w:color w:val="000000"/>
                <w:sz w:val="20"/>
              </w:rPr>
              <w:t>126</w:t>
            </w:r>
          </w:p>
        </w:tc>
        <w:tc>
          <w:tcPr>
            <w:tcW w:w="558" w:type="pct"/>
            <w:tcBorders>
              <w:top w:val="nil"/>
              <w:left w:val="nil"/>
              <w:bottom w:val="single" w:sz="4" w:space="0" w:color="auto"/>
              <w:right w:val="single" w:sz="4" w:space="0" w:color="auto"/>
            </w:tcBorders>
            <w:shd w:val="clear" w:color="auto" w:fill="auto"/>
            <w:noWrap/>
            <w:vAlign w:val="center"/>
            <w:hideMark/>
          </w:tcPr>
          <w:p w14:paraId="3C539009" w14:textId="77777777" w:rsidR="007B3093" w:rsidRDefault="00000000">
            <w:pPr>
              <w:pStyle w:val="Sinespaciado"/>
              <w:jc w:val="right"/>
              <w:rPr>
                <w:sz w:val="20"/>
              </w:rPr>
            </w:pPr>
            <w:r>
              <w:rPr>
                <w:rFonts w:ascii="Calibri" w:hAnsi="Calibri"/>
                <w:color w:val="000000"/>
                <w:sz w:val="20"/>
              </w:rPr>
              <w:t>127</w:t>
            </w:r>
          </w:p>
        </w:tc>
        <w:tc>
          <w:tcPr>
            <w:tcW w:w="527" w:type="pct"/>
            <w:tcBorders>
              <w:top w:val="nil"/>
              <w:left w:val="nil"/>
              <w:bottom w:val="single" w:sz="4" w:space="0" w:color="auto"/>
              <w:right w:val="single" w:sz="4" w:space="0" w:color="auto"/>
            </w:tcBorders>
            <w:shd w:val="clear" w:color="auto" w:fill="auto"/>
            <w:noWrap/>
            <w:vAlign w:val="center"/>
            <w:hideMark/>
          </w:tcPr>
          <w:p w14:paraId="6CC96F8D" w14:textId="77777777" w:rsidR="007B3093" w:rsidRDefault="00000000">
            <w:pPr>
              <w:pStyle w:val="Sinespaciado"/>
              <w:jc w:val="right"/>
              <w:rPr>
                <w:sz w:val="20"/>
              </w:rPr>
            </w:pPr>
            <w:r>
              <w:rPr>
                <w:rFonts w:ascii="Calibri" w:hAnsi="Calibri"/>
                <w:color w:val="000000"/>
                <w:sz w:val="20"/>
              </w:rPr>
              <w:t>129</w:t>
            </w:r>
          </w:p>
        </w:tc>
        <w:tc>
          <w:tcPr>
            <w:tcW w:w="527" w:type="pct"/>
            <w:tcBorders>
              <w:top w:val="single" w:sz="4" w:space="0" w:color="auto"/>
              <w:left w:val="nil"/>
              <w:bottom w:val="single" w:sz="4" w:space="0" w:color="auto"/>
              <w:right w:val="single" w:sz="4" w:space="0" w:color="auto"/>
            </w:tcBorders>
            <w:vAlign w:val="center"/>
          </w:tcPr>
          <w:p w14:paraId="06C95C9A" w14:textId="77777777" w:rsidR="007B3093" w:rsidRDefault="00000000">
            <w:pPr>
              <w:pStyle w:val="Sinespaciado"/>
              <w:jc w:val="right"/>
              <w:rPr>
                <w:color w:val="FF0000"/>
                <w:sz w:val="20"/>
              </w:rPr>
            </w:pPr>
            <w:r>
              <w:rPr>
                <w:rFonts w:ascii="Calibri" w:hAnsi="Calibri"/>
                <w:color w:val="000000"/>
                <w:sz w:val="20"/>
              </w:rPr>
              <w:t>122</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23478" w14:textId="77777777" w:rsidR="007B3093" w:rsidRDefault="00000000">
            <w:pPr>
              <w:pStyle w:val="Sinespaciado"/>
              <w:jc w:val="right"/>
              <w:rPr>
                <w:color w:val="FF0000"/>
                <w:sz w:val="20"/>
              </w:rPr>
            </w:pPr>
            <w:r>
              <w:rPr>
                <w:rFonts w:ascii="Calibri" w:hAnsi="Calibri"/>
                <w:color w:val="000000"/>
                <w:sz w:val="20"/>
              </w:rPr>
              <w:t>122</w:t>
            </w:r>
          </w:p>
        </w:tc>
      </w:tr>
      <w:tr w:rsidR="007B3093" w14:paraId="53BFDE7E" w14:textId="77777777">
        <w:trPr>
          <w:trHeight w:val="315"/>
          <w:jc w:val="center"/>
        </w:trPr>
        <w:tc>
          <w:tcPr>
            <w:tcW w:w="1331" w:type="pct"/>
            <w:tcBorders>
              <w:top w:val="nil"/>
              <w:left w:val="single" w:sz="8" w:space="0" w:color="auto"/>
              <w:bottom w:val="single" w:sz="8" w:space="0" w:color="auto"/>
              <w:right w:val="nil"/>
            </w:tcBorders>
            <w:shd w:val="clear" w:color="auto" w:fill="auto"/>
            <w:noWrap/>
            <w:vAlign w:val="center"/>
            <w:hideMark/>
          </w:tcPr>
          <w:p w14:paraId="42637324" w14:textId="77777777" w:rsidR="007B3093" w:rsidRDefault="00000000">
            <w:pPr>
              <w:spacing w:after="0" w:line="240" w:lineRule="auto"/>
              <w:jc w:val="center"/>
              <w:rPr>
                <w:rFonts w:eastAsia="Times New Roman" w:cstheme="minorHAnsi"/>
                <w:b/>
                <w:bCs/>
                <w:color w:val="000000"/>
                <w:sz w:val="20"/>
                <w:szCs w:val="20"/>
                <w:lang w:eastAsia="es-EC"/>
              </w:rPr>
            </w:pPr>
            <w:r>
              <w:rPr>
                <w:rFonts w:eastAsia="Times New Roman" w:cstheme="minorHAnsi"/>
                <w:b/>
                <w:bCs/>
                <w:color w:val="000000"/>
                <w:sz w:val="20"/>
                <w:szCs w:val="20"/>
                <w:lang w:eastAsia="es-EC"/>
              </w:rPr>
              <w:t>TOTAL</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7C44FF8B" w14:textId="77777777" w:rsidR="007B3093" w:rsidRDefault="00000000">
            <w:pPr>
              <w:pStyle w:val="Sinespaciado"/>
              <w:jc w:val="right"/>
              <w:rPr>
                <w:b/>
                <w:bCs/>
                <w:sz w:val="20"/>
              </w:rPr>
            </w:pPr>
            <w:r>
              <w:rPr>
                <w:rFonts w:ascii="Calibri" w:hAnsi="Calibri"/>
                <w:b/>
                <w:bCs/>
                <w:color w:val="000000"/>
                <w:sz w:val="20"/>
              </w:rPr>
              <w:t>4.787</w:t>
            </w:r>
          </w:p>
        </w:tc>
        <w:tc>
          <w:tcPr>
            <w:tcW w:w="515" w:type="pct"/>
            <w:tcBorders>
              <w:top w:val="nil"/>
              <w:left w:val="nil"/>
              <w:bottom w:val="single" w:sz="4" w:space="0" w:color="auto"/>
              <w:right w:val="single" w:sz="4" w:space="0" w:color="auto"/>
            </w:tcBorders>
            <w:shd w:val="clear" w:color="auto" w:fill="auto"/>
            <w:noWrap/>
            <w:vAlign w:val="center"/>
            <w:hideMark/>
          </w:tcPr>
          <w:p w14:paraId="7E0C8508" w14:textId="77777777" w:rsidR="007B3093" w:rsidRDefault="00000000">
            <w:pPr>
              <w:pStyle w:val="Sinespaciado"/>
              <w:jc w:val="right"/>
              <w:rPr>
                <w:b/>
                <w:bCs/>
                <w:sz w:val="20"/>
              </w:rPr>
            </w:pPr>
            <w:r>
              <w:rPr>
                <w:rFonts w:ascii="Calibri" w:hAnsi="Calibri"/>
                <w:b/>
                <w:bCs/>
                <w:color w:val="000000"/>
                <w:sz w:val="20"/>
              </w:rPr>
              <w:t>4.236</w:t>
            </w:r>
          </w:p>
        </w:tc>
        <w:tc>
          <w:tcPr>
            <w:tcW w:w="506" w:type="pct"/>
            <w:tcBorders>
              <w:top w:val="nil"/>
              <w:left w:val="nil"/>
              <w:bottom w:val="single" w:sz="4" w:space="0" w:color="auto"/>
              <w:right w:val="single" w:sz="4" w:space="0" w:color="auto"/>
            </w:tcBorders>
            <w:shd w:val="clear" w:color="auto" w:fill="auto"/>
            <w:noWrap/>
            <w:vAlign w:val="center"/>
            <w:hideMark/>
          </w:tcPr>
          <w:p w14:paraId="415888C1" w14:textId="77777777" w:rsidR="007B3093" w:rsidRDefault="00000000">
            <w:pPr>
              <w:pStyle w:val="Sinespaciado"/>
              <w:jc w:val="right"/>
              <w:rPr>
                <w:b/>
                <w:bCs/>
                <w:sz w:val="20"/>
              </w:rPr>
            </w:pPr>
            <w:r>
              <w:rPr>
                <w:rFonts w:ascii="Calibri" w:hAnsi="Calibri"/>
                <w:b/>
                <w:bCs/>
                <w:color w:val="000000"/>
                <w:sz w:val="20"/>
              </w:rPr>
              <w:t>3.701</w:t>
            </w:r>
          </w:p>
        </w:tc>
        <w:tc>
          <w:tcPr>
            <w:tcW w:w="558" w:type="pct"/>
            <w:tcBorders>
              <w:top w:val="nil"/>
              <w:left w:val="nil"/>
              <w:bottom w:val="single" w:sz="4" w:space="0" w:color="auto"/>
              <w:right w:val="single" w:sz="4" w:space="0" w:color="auto"/>
            </w:tcBorders>
            <w:shd w:val="clear" w:color="auto" w:fill="auto"/>
            <w:noWrap/>
            <w:vAlign w:val="center"/>
            <w:hideMark/>
          </w:tcPr>
          <w:p w14:paraId="7C832FE6" w14:textId="77777777" w:rsidR="007B3093" w:rsidRDefault="00000000">
            <w:pPr>
              <w:pStyle w:val="Sinespaciado"/>
              <w:jc w:val="right"/>
              <w:rPr>
                <w:b/>
                <w:bCs/>
                <w:color w:val="FF0000"/>
                <w:sz w:val="20"/>
              </w:rPr>
            </w:pPr>
            <w:r>
              <w:rPr>
                <w:rFonts w:ascii="Calibri" w:hAnsi="Calibri"/>
                <w:b/>
                <w:bCs/>
                <w:color w:val="000000"/>
                <w:sz w:val="20"/>
              </w:rPr>
              <w:t>3.177</w:t>
            </w:r>
          </w:p>
        </w:tc>
        <w:tc>
          <w:tcPr>
            <w:tcW w:w="527" w:type="pct"/>
            <w:tcBorders>
              <w:top w:val="nil"/>
              <w:left w:val="nil"/>
              <w:bottom w:val="single" w:sz="4" w:space="0" w:color="auto"/>
              <w:right w:val="single" w:sz="4" w:space="0" w:color="auto"/>
            </w:tcBorders>
            <w:shd w:val="clear" w:color="auto" w:fill="auto"/>
            <w:noWrap/>
            <w:vAlign w:val="center"/>
            <w:hideMark/>
          </w:tcPr>
          <w:p w14:paraId="4FD177F3" w14:textId="77777777" w:rsidR="007B3093" w:rsidRDefault="00000000">
            <w:pPr>
              <w:pStyle w:val="Sinespaciado"/>
              <w:jc w:val="right"/>
              <w:rPr>
                <w:b/>
                <w:bCs/>
                <w:color w:val="FF0000"/>
                <w:sz w:val="20"/>
              </w:rPr>
            </w:pPr>
            <w:r>
              <w:rPr>
                <w:rFonts w:ascii="Calibri" w:hAnsi="Calibri"/>
                <w:b/>
                <w:bCs/>
                <w:color w:val="000000"/>
                <w:sz w:val="20"/>
              </w:rPr>
              <w:t>2.674</w:t>
            </w:r>
          </w:p>
        </w:tc>
        <w:tc>
          <w:tcPr>
            <w:tcW w:w="527" w:type="pct"/>
            <w:tcBorders>
              <w:top w:val="single" w:sz="4" w:space="0" w:color="auto"/>
              <w:left w:val="nil"/>
              <w:bottom w:val="single" w:sz="4" w:space="0" w:color="auto"/>
              <w:right w:val="single" w:sz="4" w:space="0" w:color="auto"/>
            </w:tcBorders>
            <w:vAlign w:val="center"/>
          </w:tcPr>
          <w:p w14:paraId="31F3869C" w14:textId="77777777" w:rsidR="007B3093" w:rsidRDefault="00000000">
            <w:pPr>
              <w:pStyle w:val="Sinespaciado"/>
              <w:jc w:val="right"/>
              <w:rPr>
                <w:b/>
                <w:bCs/>
                <w:color w:val="FF0000"/>
                <w:sz w:val="20"/>
              </w:rPr>
            </w:pPr>
            <w:r>
              <w:rPr>
                <w:rFonts w:ascii="Calibri" w:hAnsi="Calibri"/>
                <w:b/>
                <w:bCs/>
                <w:color w:val="000000"/>
                <w:sz w:val="20"/>
              </w:rPr>
              <w:t>2.114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FE6A3" w14:textId="77777777" w:rsidR="007B3093" w:rsidRDefault="00000000">
            <w:pPr>
              <w:pStyle w:val="Sinespaciado"/>
              <w:jc w:val="right"/>
              <w:rPr>
                <w:b/>
                <w:bCs/>
                <w:color w:val="FF0000"/>
                <w:sz w:val="20"/>
              </w:rPr>
            </w:pPr>
            <w:r>
              <w:rPr>
                <w:rFonts w:ascii="Calibri" w:hAnsi="Calibri"/>
                <w:b/>
                <w:bCs/>
                <w:color w:val="000000"/>
                <w:sz w:val="20"/>
              </w:rPr>
              <w:t>2.114</w:t>
            </w:r>
          </w:p>
        </w:tc>
      </w:tr>
    </w:tbl>
    <w:p w14:paraId="02C77B77" w14:textId="77777777" w:rsidR="007B3093" w:rsidRDefault="00000000">
      <w:pPr>
        <w:autoSpaceDE w:val="0"/>
        <w:autoSpaceDN w:val="0"/>
        <w:adjustRightInd w:val="0"/>
        <w:spacing w:after="0" w:line="360" w:lineRule="auto"/>
        <w:rPr>
          <w:rFonts w:cstheme="minorHAnsi"/>
          <w:b/>
          <w:bCs/>
          <w:sz w:val="20"/>
          <w:lang w:eastAsia="es-EC"/>
        </w:rPr>
      </w:pPr>
      <w:r>
        <w:rPr>
          <w:rFonts w:cstheme="minorHAnsi"/>
          <w:b/>
          <w:bCs/>
          <w:sz w:val="20"/>
          <w:lang w:eastAsia="es-EC"/>
        </w:rPr>
        <w:t xml:space="preserve">    Fuente: Sistema de Gestión de Trámites.</w:t>
      </w:r>
    </w:p>
    <w:p w14:paraId="39D84917" w14:textId="77777777" w:rsidR="007B3093" w:rsidRDefault="00000000">
      <w:pPr>
        <w:spacing w:after="0" w:line="360" w:lineRule="auto"/>
        <w:rPr>
          <w:rFonts w:cstheme="minorHAnsi"/>
          <w:b/>
          <w:sz w:val="20"/>
        </w:rPr>
      </w:pPr>
      <w:r>
        <w:rPr>
          <w:rFonts w:cstheme="minorHAnsi"/>
          <w:b/>
          <w:bCs/>
          <w:sz w:val="20"/>
          <w:lang w:eastAsia="es-EC"/>
        </w:rPr>
        <w:t xml:space="preserve">    Elaboración: </w:t>
      </w:r>
      <w:r>
        <w:rPr>
          <w:rFonts w:cstheme="minorHAnsi"/>
          <w:b/>
          <w:sz w:val="20"/>
        </w:rPr>
        <w:t>Consultoría para el Fortalecimiento de la Gestión Institucional de la PGE</w:t>
      </w:r>
    </w:p>
    <w:p w14:paraId="3978CE6D" w14:textId="77777777" w:rsidR="007B3093" w:rsidRDefault="007B3093">
      <w:pPr>
        <w:spacing w:after="0" w:line="360" w:lineRule="auto"/>
        <w:jc w:val="center"/>
        <w:rPr>
          <w:rFonts w:cstheme="minorHAnsi"/>
          <w:b/>
        </w:rPr>
      </w:pPr>
    </w:p>
    <w:p w14:paraId="6A93F89F" w14:textId="77777777" w:rsidR="007B3093" w:rsidRDefault="00000000">
      <w:pPr>
        <w:pStyle w:val="Ttulo2"/>
        <w:numPr>
          <w:ilvl w:val="1"/>
          <w:numId w:val="93"/>
        </w:numPr>
        <w:spacing w:before="0" w:line="360" w:lineRule="auto"/>
        <w:ind w:left="426"/>
        <w:rPr>
          <w:rFonts w:asciiTheme="minorHAnsi" w:hAnsiTheme="minorHAnsi" w:cstheme="minorHAnsi"/>
          <w:b/>
          <w:color w:val="auto"/>
          <w:sz w:val="22"/>
          <w:szCs w:val="22"/>
          <w:lang w:eastAsia="es-EC"/>
        </w:rPr>
      </w:pPr>
      <w:bookmarkStart w:id="21" w:name="_Toc159916381"/>
      <w:bookmarkStart w:id="22" w:name="_Toc195010054"/>
      <w:r>
        <w:rPr>
          <w:rFonts w:asciiTheme="minorHAnsi" w:hAnsiTheme="minorHAnsi" w:cstheme="minorHAnsi"/>
          <w:b/>
          <w:color w:val="auto"/>
          <w:sz w:val="22"/>
          <w:szCs w:val="22"/>
          <w:lang w:eastAsia="es-EC"/>
        </w:rPr>
        <w:t>Identificación y caracterización de la población objetivo</w:t>
      </w:r>
      <w:bookmarkEnd w:id="21"/>
      <w:bookmarkEnd w:id="22"/>
    </w:p>
    <w:p w14:paraId="49B5E179" w14:textId="77777777" w:rsidR="007B3093" w:rsidRDefault="00000000">
      <w:pPr>
        <w:pStyle w:val="Prrafodelista"/>
        <w:spacing w:before="120" w:after="120" w:line="360" w:lineRule="auto"/>
        <w:ind w:left="142"/>
        <w:contextualSpacing w:val="0"/>
        <w:jc w:val="both"/>
        <w:rPr>
          <w:rFonts w:cstheme="minorHAnsi"/>
        </w:rPr>
      </w:pPr>
      <w:r>
        <w:rPr>
          <w:rFonts w:cstheme="minorHAnsi"/>
        </w:rPr>
        <w:t>La población objetivo que va a ser atendida por el proyecto corresponde al número de casos estimados como demanda efectiva, divididos por tipos de organismos y entidades que integran el sector público como se muestra en la Tabla 11:</w:t>
      </w:r>
    </w:p>
    <w:p w14:paraId="6197C682" w14:textId="77777777" w:rsidR="007B3093" w:rsidRDefault="00000000">
      <w:pPr>
        <w:autoSpaceDE w:val="0"/>
        <w:autoSpaceDN w:val="0"/>
        <w:adjustRightInd w:val="0"/>
        <w:spacing w:after="0" w:line="360" w:lineRule="auto"/>
        <w:jc w:val="center"/>
        <w:rPr>
          <w:rFonts w:cstheme="minorHAnsi"/>
          <w:b/>
          <w:bCs/>
          <w:lang w:eastAsia="es-EC"/>
        </w:rPr>
      </w:pPr>
      <w:r>
        <w:rPr>
          <w:rFonts w:cstheme="minorHAnsi"/>
          <w:b/>
          <w:bCs/>
          <w:lang w:eastAsia="es-EC"/>
        </w:rPr>
        <w:lastRenderedPageBreak/>
        <w:t>Tabla 11: Identificación y caracterización de la población objetivo.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276"/>
        <w:gridCol w:w="1269"/>
      </w:tblGrid>
      <w:tr w:rsidR="007B3093" w14:paraId="350635C6" w14:textId="77777777">
        <w:trPr>
          <w:trHeight w:val="315"/>
        </w:trPr>
        <w:tc>
          <w:tcPr>
            <w:tcW w:w="3502" w:type="pct"/>
            <w:shd w:val="clear" w:color="auto" w:fill="002060"/>
            <w:noWrap/>
            <w:vAlign w:val="center"/>
            <w:hideMark/>
          </w:tcPr>
          <w:p w14:paraId="16A7441E" w14:textId="77777777" w:rsidR="007B3093" w:rsidRDefault="00000000">
            <w:pPr>
              <w:spacing w:after="0" w:line="240" w:lineRule="auto"/>
              <w:jc w:val="center"/>
              <w:rPr>
                <w:rFonts w:eastAsia="Times New Roman" w:cs="Times New Roman"/>
                <w:b/>
                <w:bCs/>
                <w:color w:val="FFFFFF" w:themeColor="background1"/>
                <w:sz w:val="20"/>
                <w:szCs w:val="18"/>
                <w:lang w:eastAsia="es-EC"/>
              </w:rPr>
            </w:pPr>
            <w:r>
              <w:rPr>
                <w:rFonts w:eastAsia="Times New Roman" w:cs="Times New Roman"/>
                <w:b/>
                <w:bCs/>
                <w:color w:val="FFFFFF" w:themeColor="background1"/>
                <w:sz w:val="20"/>
                <w:szCs w:val="18"/>
                <w:lang w:eastAsia="es-EC"/>
              </w:rPr>
              <w:t>Organismos y entidades que integran el sector público</w:t>
            </w:r>
          </w:p>
        </w:tc>
        <w:tc>
          <w:tcPr>
            <w:tcW w:w="751" w:type="pct"/>
            <w:shd w:val="clear" w:color="auto" w:fill="002060"/>
            <w:noWrap/>
            <w:vAlign w:val="center"/>
            <w:hideMark/>
          </w:tcPr>
          <w:p w14:paraId="29ECF30A" w14:textId="77777777" w:rsidR="007B3093" w:rsidRDefault="00000000">
            <w:pPr>
              <w:spacing w:after="0" w:line="240" w:lineRule="auto"/>
              <w:jc w:val="center"/>
              <w:rPr>
                <w:rFonts w:eastAsia="Times New Roman" w:cs="Times New Roman"/>
                <w:b/>
                <w:bCs/>
                <w:color w:val="FFFFFF" w:themeColor="background1"/>
                <w:sz w:val="20"/>
                <w:szCs w:val="18"/>
                <w:lang w:eastAsia="es-EC"/>
              </w:rPr>
            </w:pPr>
            <w:r>
              <w:rPr>
                <w:rFonts w:eastAsia="Times New Roman" w:cs="Times New Roman"/>
                <w:b/>
                <w:bCs/>
                <w:color w:val="FFFFFF" w:themeColor="background1"/>
                <w:sz w:val="20"/>
                <w:szCs w:val="18"/>
                <w:lang w:eastAsia="es-EC"/>
              </w:rPr>
              <w:t>Total</w:t>
            </w:r>
          </w:p>
        </w:tc>
        <w:tc>
          <w:tcPr>
            <w:tcW w:w="747" w:type="pct"/>
            <w:shd w:val="clear" w:color="auto" w:fill="002060"/>
            <w:noWrap/>
            <w:vAlign w:val="bottom"/>
            <w:hideMark/>
          </w:tcPr>
          <w:p w14:paraId="02348CB2" w14:textId="77777777" w:rsidR="007B3093" w:rsidRDefault="00000000">
            <w:pPr>
              <w:spacing w:after="0" w:line="240" w:lineRule="auto"/>
              <w:jc w:val="center"/>
              <w:rPr>
                <w:rFonts w:eastAsia="Times New Roman" w:cs="Times New Roman"/>
                <w:b/>
                <w:bCs/>
                <w:color w:val="FFFFFF" w:themeColor="background1"/>
                <w:sz w:val="20"/>
                <w:szCs w:val="18"/>
                <w:lang w:eastAsia="es-EC"/>
              </w:rPr>
            </w:pPr>
            <w:r>
              <w:rPr>
                <w:rFonts w:eastAsia="Times New Roman" w:cs="Times New Roman"/>
                <w:b/>
                <w:bCs/>
                <w:color w:val="FFFFFF" w:themeColor="background1"/>
                <w:sz w:val="20"/>
                <w:szCs w:val="18"/>
                <w:lang w:eastAsia="es-EC"/>
              </w:rPr>
              <w:t>Población Objetivo (casos)</w:t>
            </w:r>
          </w:p>
        </w:tc>
      </w:tr>
      <w:tr w:rsidR="007B3093" w14:paraId="6E275E28" w14:textId="77777777">
        <w:trPr>
          <w:trHeight w:val="315"/>
        </w:trPr>
        <w:tc>
          <w:tcPr>
            <w:tcW w:w="3502" w:type="pct"/>
            <w:shd w:val="clear" w:color="auto" w:fill="auto"/>
            <w:noWrap/>
            <w:vAlign w:val="center"/>
            <w:hideMark/>
          </w:tcPr>
          <w:p w14:paraId="4A49ADBF" w14:textId="77777777" w:rsidR="007B3093" w:rsidRDefault="00000000">
            <w:pPr>
              <w:spacing w:after="0" w:line="240" w:lineRule="auto"/>
              <w:rPr>
                <w:rFonts w:eastAsia="Times New Roman" w:cs="Times New Roman"/>
                <w:color w:val="000000"/>
                <w:sz w:val="20"/>
                <w:szCs w:val="18"/>
                <w:lang w:eastAsia="es-EC"/>
              </w:rPr>
            </w:pPr>
            <w:r>
              <w:rPr>
                <w:rFonts w:eastAsia="Times New Roman" w:cs="Times New Roman"/>
                <w:color w:val="000000"/>
                <w:sz w:val="20"/>
                <w:szCs w:val="18"/>
                <w:lang w:eastAsia="es-EC"/>
              </w:rPr>
              <w:t>Actividades económicas asumidas por el estado</w:t>
            </w:r>
          </w:p>
        </w:tc>
        <w:tc>
          <w:tcPr>
            <w:tcW w:w="751" w:type="pct"/>
            <w:shd w:val="clear" w:color="auto" w:fill="auto"/>
            <w:noWrap/>
            <w:vAlign w:val="center"/>
            <w:hideMark/>
          </w:tcPr>
          <w:p w14:paraId="079B4771"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1</w:t>
            </w:r>
          </w:p>
        </w:tc>
        <w:tc>
          <w:tcPr>
            <w:tcW w:w="747" w:type="pct"/>
            <w:shd w:val="clear" w:color="auto" w:fill="auto"/>
            <w:noWrap/>
            <w:vAlign w:val="center"/>
            <w:hideMark/>
          </w:tcPr>
          <w:p w14:paraId="6B105F5D"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4</w:t>
            </w:r>
          </w:p>
        </w:tc>
      </w:tr>
      <w:tr w:rsidR="007B3093" w14:paraId="42D8B3B5" w14:textId="77777777">
        <w:trPr>
          <w:trHeight w:val="315"/>
        </w:trPr>
        <w:tc>
          <w:tcPr>
            <w:tcW w:w="3502" w:type="pct"/>
            <w:shd w:val="clear" w:color="auto" w:fill="auto"/>
            <w:noWrap/>
            <w:vAlign w:val="center"/>
            <w:hideMark/>
          </w:tcPr>
          <w:p w14:paraId="7754099B" w14:textId="77777777" w:rsidR="007B3093" w:rsidRDefault="00000000">
            <w:pPr>
              <w:spacing w:after="0" w:line="240" w:lineRule="auto"/>
              <w:rPr>
                <w:rFonts w:eastAsia="Times New Roman" w:cs="Times New Roman"/>
                <w:color w:val="000000"/>
                <w:sz w:val="20"/>
                <w:szCs w:val="18"/>
                <w:lang w:eastAsia="es-EC"/>
              </w:rPr>
            </w:pPr>
            <w:r>
              <w:rPr>
                <w:rFonts w:eastAsia="Times New Roman" w:cs="Times New Roman"/>
                <w:color w:val="000000"/>
                <w:sz w:val="20"/>
                <w:szCs w:val="18"/>
                <w:lang w:eastAsia="es-EC"/>
              </w:rPr>
              <w:t>Ejercicio de la potestad estatal</w:t>
            </w:r>
          </w:p>
        </w:tc>
        <w:tc>
          <w:tcPr>
            <w:tcW w:w="751" w:type="pct"/>
            <w:shd w:val="clear" w:color="auto" w:fill="auto"/>
            <w:noWrap/>
            <w:vAlign w:val="center"/>
            <w:hideMark/>
          </w:tcPr>
          <w:p w14:paraId="6E0180DB"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83</w:t>
            </w:r>
          </w:p>
        </w:tc>
        <w:tc>
          <w:tcPr>
            <w:tcW w:w="747" w:type="pct"/>
            <w:shd w:val="clear" w:color="auto" w:fill="auto"/>
            <w:noWrap/>
            <w:vAlign w:val="center"/>
            <w:hideMark/>
          </w:tcPr>
          <w:p w14:paraId="4AB95402"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317</w:t>
            </w:r>
          </w:p>
        </w:tc>
      </w:tr>
      <w:tr w:rsidR="007B3093" w14:paraId="3B1E893F" w14:textId="77777777">
        <w:trPr>
          <w:trHeight w:val="315"/>
        </w:trPr>
        <w:tc>
          <w:tcPr>
            <w:tcW w:w="3502" w:type="pct"/>
            <w:shd w:val="clear" w:color="auto" w:fill="auto"/>
            <w:noWrap/>
            <w:vAlign w:val="center"/>
            <w:hideMark/>
          </w:tcPr>
          <w:p w14:paraId="0E72FE93" w14:textId="77777777" w:rsidR="007B3093" w:rsidRDefault="00000000">
            <w:pPr>
              <w:spacing w:after="0" w:line="240" w:lineRule="auto"/>
              <w:rPr>
                <w:rFonts w:eastAsia="Times New Roman" w:cs="Times New Roman"/>
                <w:color w:val="000000"/>
                <w:sz w:val="20"/>
                <w:szCs w:val="18"/>
                <w:lang w:eastAsia="es-EC"/>
              </w:rPr>
            </w:pPr>
            <w:r>
              <w:rPr>
                <w:rFonts w:eastAsia="Times New Roman" w:cs="Times New Roman"/>
                <w:color w:val="000000"/>
                <w:sz w:val="20"/>
                <w:szCs w:val="18"/>
                <w:lang w:eastAsia="es-EC"/>
              </w:rPr>
              <w:t>Función ejecutiva</w:t>
            </w:r>
          </w:p>
        </w:tc>
        <w:tc>
          <w:tcPr>
            <w:tcW w:w="751" w:type="pct"/>
            <w:shd w:val="clear" w:color="auto" w:fill="auto"/>
            <w:noWrap/>
            <w:vAlign w:val="center"/>
            <w:hideMark/>
          </w:tcPr>
          <w:p w14:paraId="6C9CFC61"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2.730</w:t>
            </w:r>
          </w:p>
        </w:tc>
        <w:tc>
          <w:tcPr>
            <w:tcW w:w="747" w:type="pct"/>
            <w:shd w:val="clear" w:color="auto" w:fill="auto"/>
            <w:noWrap/>
            <w:vAlign w:val="center"/>
            <w:hideMark/>
          </w:tcPr>
          <w:p w14:paraId="5D8B112B"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10.440</w:t>
            </w:r>
          </w:p>
        </w:tc>
      </w:tr>
      <w:tr w:rsidR="007B3093" w14:paraId="4D2893B0" w14:textId="77777777">
        <w:trPr>
          <w:trHeight w:val="315"/>
        </w:trPr>
        <w:tc>
          <w:tcPr>
            <w:tcW w:w="3502" w:type="pct"/>
            <w:shd w:val="clear" w:color="auto" w:fill="auto"/>
            <w:noWrap/>
            <w:vAlign w:val="center"/>
            <w:hideMark/>
          </w:tcPr>
          <w:p w14:paraId="1D83FB93" w14:textId="77777777" w:rsidR="007B3093" w:rsidRDefault="00000000">
            <w:pPr>
              <w:spacing w:after="0" w:line="240" w:lineRule="auto"/>
              <w:rPr>
                <w:rFonts w:eastAsia="Times New Roman" w:cs="Times New Roman"/>
                <w:color w:val="000000"/>
                <w:sz w:val="20"/>
                <w:szCs w:val="18"/>
                <w:lang w:eastAsia="es-EC"/>
              </w:rPr>
            </w:pPr>
            <w:r>
              <w:rPr>
                <w:rFonts w:eastAsia="Times New Roman" w:cs="Times New Roman"/>
                <w:color w:val="000000"/>
                <w:sz w:val="20"/>
                <w:szCs w:val="18"/>
                <w:lang w:eastAsia="es-EC"/>
              </w:rPr>
              <w:t>Función judicial</w:t>
            </w:r>
          </w:p>
        </w:tc>
        <w:tc>
          <w:tcPr>
            <w:tcW w:w="751" w:type="pct"/>
            <w:shd w:val="clear" w:color="auto" w:fill="auto"/>
            <w:noWrap/>
            <w:vAlign w:val="center"/>
            <w:hideMark/>
          </w:tcPr>
          <w:p w14:paraId="6B56E707"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102</w:t>
            </w:r>
          </w:p>
        </w:tc>
        <w:tc>
          <w:tcPr>
            <w:tcW w:w="747" w:type="pct"/>
            <w:shd w:val="clear" w:color="auto" w:fill="auto"/>
            <w:noWrap/>
            <w:vAlign w:val="center"/>
            <w:hideMark/>
          </w:tcPr>
          <w:p w14:paraId="7FE9F352"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390</w:t>
            </w:r>
          </w:p>
        </w:tc>
      </w:tr>
      <w:tr w:rsidR="007B3093" w14:paraId="5173798E" w14:textId="77777777">
        <w:trPr>
          <w:trHeight w:val="315"/>
        </w:trPr>
        <w:tc>
          <w:tcPr>
            <w:tcW w:w="3502" w:type="pct"/>
            <w:shd w:val="clear" w:color="auto" w:fill="auto"/>
            <w:noWrap/>
            <w:vAlign w:val="center"/>
            <w:hideMark/>
          </w:tcPr>
          <w:p w14:paraId="28B6AD5E" w14:textId="77777777" w:rsidR="007B3093" w:rsidRDefault="00000000">
            <w:pPr>
              <w:spacing w:after="0" w:line="240" w:lineRule="auto"/>
              <w:rPr>
                <w:rFonts w:eastAsia="Times New Roman" w:cs="Times New Roman"/>
                <w:color w:val="000000"/>
                <w:sz w:val="20"/>
                <w:szCs w:val="18"/>
                <w:lang w:eastAsia="es-EC"/>
              </w:rPr>
            </w:pPr>
            <w:r>
              <w:rPr>
                <w:rFonts w:eastAsia="Times New Roman" w:cs="Times New Roman"/>
                <w:color w:val="000000"/>
                <w:sz w:val="20"/>
                <w:szCs w:val="18"/>
                <w:lang w:eastAsia="es-EC"/>
              </w:rPr>
              <w:t>Función legislativa</w:t>
            </w:r>
          </w:p>
        </w:tc>
        <w:tc>
          <w:tcPr>
            <w:tcW w:w="751" w:type="pct"/>
            <w:shd w:val="clear" w:color="auto" w:fill="auto"/>
            <w:noWrap/>
            <w:vAlign w:val="center"/>
            <w:hideMark/>
          </w:tcPr>
          <w:p w14:paraId="0325AE3E"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3</w:t>
            </w:r>
          </w:p>
        </w:tc>
        <w:tc>
          <w:tcPr>
            <w:tcW w:w="747" w:type="pct"/>
            <w:shd w:val="clear" w:color="auto" w:fill="auto"/>
            <w:noWrap/>
            <w:vAlign w:val="center"/>
            <w:hideMark/>
          </w:tcPr>
          <w:p w14:paraId="579A31C0"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11</w:t>
            </w:r>
          </w:p>
        </w:tc>
      </w:tr>
      <w:tr w:rsidR="007B3093" w14:paraId="05D67011" w14:textId="77777777">
        <w:trPr>
          <w:trHeight w:val="315"/>
        </w:trPr>
        <w:tc>
          <w:tcPr>
            <w:tcW w:w="3502" w:type="pct"/>
            <w:shd w:val="clear" w:color="auto" w:fill="auto"/>
            <w:noWrap/>
            <w:vAlign w:val="center"/>
            <w:hideMark/>
          </w:tcPr>
          <w:p w14:paraId="560B0F28" w14:textId="77777777" w:rsidR="007B3093" w:rsidRDefault="00000000">
            <w:pPr>
              <w:spacing w:after="0" w:line="240" w:lineRule="auto"/>
              <w:rPr>
                <w:rFonts w:eastAsia="Times New Roman" w:cs="Times New Roman"/>
                <w:color w:val="000000"/>
                <w:sz w:val="20"/>
                <w:szCs w:val="18"/>
                <w:lang w:eastAsia="es-EC"/>
              </w:rPr>
            </w:pPr>
            <w:r>
              <w:rPr>
                <w:rFonts w:eastAsia="Times New Roman" w:cs="Times New Roman"/>
                <w:color w:val="000000"/>
                <w:sz w:val="20"/>
                <w:szCs w:val="18"/>
                <w:lang w:eastAsia="es-EC"/>
              </w:rPr>
              <w:t>Organismos de control y regulación</w:t>
            </w:r>
          </w:p>
        </w:tc>
        <w:tc>
          <w:tcPr>
            <w:tcW w:w="751" w:type="pct"/>
            <w:shd w:val="clear" w:color="auto" w:fill="auto"/>
            <w:noWrap/>
            <w:vAlign w:val="center"/>
            <w:hideMark/>
          </w:tcPr>
          <w:p w14:paraId="015151D1"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18</w:t>
            </w:r>
          </w:p>
        </w:tc>
        <w:tc>
          <w:tcPr>
            <w:tcW w:w="747" w:type="pct"/>
            <w:shd w:val="clear" w:color="auto" w:fill="auto"/>
            <w:noWrap/>
            <w:vAlign w:val="center"/>
            <w:hideMark/>
          </w:tcPr>
          <w:p w14:paraId="27BC8210"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69</w:t>
            </w:r>
          </w:p>
        </w:tc>
      </w:tr>
      <w:tr w:rsidR="007B3093" w14:paraId="499638EE" w14:textId="77777777">
        <w:trPr>
          <w:trHeight w:val="315"/>
        </w:trPr>
        <w:tc>
          <w:tcPr>
            <w:tcW w:w="3502" w:type="pct"/>
            <w:shd w:val="clear" w:color="auto" w:fill="auto"/>
            <w:noWrap/>
            <w:vAlign w:val="center"/>
            <w:hideMark/>
          </w:tcPr>
          <w:p w14:paraId="0E95E966" w14:textId="77777777" w:rsidR="007B3093" w:rsidRDefault="00000000">
            <w:pPr>
              <w:spacing w:after="0" w:line="240" w:lineRule="auto"/>
              <w:rPr>
                <w:rFonts w:eastAsia="Times New Roman" w:cs="Times New Roman"/>
                <w:color w:val="000000"/>
                <w:sz w:val="20"/>
                <w:szCs w:val="18"/>
                <w:lang w:eastAsia="es-EC"/>
              </w:rPr>
            </w:pPr>
            <w:r>
              <w:rPr>
                <w:rFonts w:eastAsia="Times New Roman" w:cs="Times New Roman"/>
                <w:color w:val="000000"/>
                <w:sz w:val="20"/>
                <w:szCs w:val="18"/>
                <w:lang w:eastAsia="es-EC"/>
              </w:rPr>
              <w:t>Organismos electorales</w:t>
            </w:r>
          </w:p>
        </w:tc>
        <w:tc>
          <w:tcPr>
            <w:tcW w:w="751" w:type="pct"/>
            <w:shd w:val="clear" w:color="auto" w:fill="auto"/>
            <w:noWrap/>
            <w:vAlign w:val="center"/>
            <w:hideMark/>
          </w:tcPr>
          <w:p w14:paraId="2827A624"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23</w:t>
            </w:r>
          </w:p>
        </w:tc>
        <w:tc>
          <w:tcPr>
            <w:tcW w:w="747" w:type="pct"/>
            <w:shd w:val="clear" w:color="auto" w:fill="auto"/>
            <w:noWrap/>
            <w:vAlign w:val="center"/>
            <w:hideMark/>
          </w:tcPr>
          <w:p w14:paraId="141D7821"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88</w:t>
            </w:r>
          </w:p>
        </w:tc>
      </w:tr>
      <w:tr w:rsidR="007B3093" w14:paraId="70F14314" w14:textId="77777777">
        <w:trPr>
          <w:trHeight w:val="315"/>
        </w:trPr>
        <w:tc>
          <w:tcPr>
            <w:tcW w:w="3502" w:type="pct"/>
            <w:shd w:val="clear" w:color="auto" w:fill="auto"/>
            <w:noWrap/>
            <w:vAlign w:val="center"/>
            <w:hideMark/>
          </w:tcPr>
          <w:p w14:paraId="2312E7BB" w14:textId="77777777" w:rsidR="007B3093" w:rsidRDefault="00000000">
            <w:pPr>
              <w:spacing w:after="0" w:line="240" w:lineRule="auto"/>
              <w:rPr>
                <w:rFonts w:eastAsia="Times New Roman" w:cs="Times New Roman"/>
                <w:color w:val="000000"/>
                <w:sz w:val="20"/>
                <w:szCs w:val="18"/>
                <w:lang w:eastAsia="es-EC"/>
              </w:rPr>
            </w:pPr>
            <w:r>
              <w:rPr>
                <w:rFonts w:eastAsia="Times New Roman" w:cs="Times New Roman"/>
                <w:color w:val="000000"/>
                <w:sz w:val="20"/>
                <w:szCs w:val="18"/>
                <w:lang w:eastAsia="es-EC"/>
              </w:rPr>
              <w:t>Prestación de servicios públicos</w:t>
            </w:r>
          </w:p>
        </w:tc>
        <w:tc>
          <w:tcPr>
            <w:tcW w:w="751" w:type="pct"/>
            <w:shd w:val="clear" w:color="auto" w:fill="auto"/>
            <w:noWrap/>
            <w:vAlign w:val="center"/>
            <w:hideMark/>
          </w:tcPr>
          <w:p w14:paraId="2750A3E3"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4</w:t>
            </w:r>
          </w:p>
        </w:tc>
        <w:tc>
          <w:tcPr>
            <w:tcW w:w="747" w:type="pct"/>
            <w:shd w:val="clear" w:color="auto" w:fill="auto"/>
            <w:noWrap/>
            <w:vAlign w:val="center"/>
            <w:hideMark/>
          </w:tcPr>
          <w:p w14:paraId="5BAC02B8"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15</w:t>
            </w:r>
          </w:p>
        </w:tc>
      </w:tr>
      <w:tr w:rsidR="007B3093" w14:paraId="2F8D6F2E" w14:textId="77777777">
        <w:trPr>
          <w:trHeight w:val="315"/>
        </w:trPr>
        <w:tc>
          <w:tcPr>
            <w:tcW w:w="3502" w:type="pct"/>
            <w:shd w:val="clear" w:color="auto" w:fill="auto"/>
            <w:noWrap/>
            <w:vAlign w:val="center"/>
            <w:hideMark/>
          </w:tcPr>
          <w:p w14:paraId="72A7483B" w14:textId="77777777" w:rsidR="007B3093" w:rsidRDefault="00000000">
            <w:pPr>
              <w:spacing w:after="0" w:line="240" w:lineRule="auto"/>
              <w:rPr>
                <w:rFonts w:eastAsia="Times New Roman" w:cs="Times New Roman"/>
                <w:color w:val="000000"/>
                <w:sz w:val="20"/>
                <w:szCs w:val="18"/>
                <w:lang w:eastAsia="es-EC"/>
              </w:rPr>
            </w:pPr>
            <w:r>
              <w:rPr>
                <w:rFonts w:eastAsia="Times New Roman" w:cs="Times New Roman"/>
                <w:color w:val="000000"/>
                <w:sz w:val="20"/>
                <w:szCs w:val="18"/>
                <w:lang w:eastAsia="es-EC"/>
              </w:rPr>
              <w:t>Prestación de servicios públicos seccional</w:t>
            </w:r>
          </w:p>
        </w:tc>
        <w:tc>
          <w:tcPr>
            <w:tcW w:w="751" w:type="pct"/>
            <w:shd w:val="clear" w:color="auto" w:fill="auto"/>
            <w:noWrap/>
            <w:vAlign w:val="center"/>
            <w:hideMark/>
          </w:tcPr>
          <w:p w14:paraId="168AE3EA"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92</w:t>
            </w:r>
          </w:p>
        </w:tc>
        <w:tc>
          <w:tcPr>
            <w:tcW w:w="747" w:type="pct"/>
            <w:shd w:val="clear" w:color="auto" w:fill="auto"/>
            <w:noWrap/>
            <w:vAlign w:val="center"/>
            <w:hideMark/>
          </w:tcPr>
          <w:p w14:paraId="695651CF"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352</w:t>
            </w:r>
          </w:p>
        </w:tc>
      </w:tr>
      <w:tr w:rsidR="007B3093" w14:paraId="6731F8FE" w14:textId="77777777">
        <w:trPr>
          <w:trHeight w:val="315"/>
        </w:trPr>
        <w:tc>
          <w:tcPr>
            <w:tcW w:w="3502" w:type="pct"/>
            <w:shd w:val="clear" w:color="auto" w:fill="auto"/>
            <w:noWrap/>
            <w:vAlign w:val="center"/>
            <w:hideMark/>
          </w:tcPr>
          <w:p w14:paraId="5FEF10A6" w14:textId="77777777" w:rsidR="007B3093" w:rsidRDefault="00000000">
            <w:pPr>
              <w:spacing w:after="0" w:line="240" w:lineRule="auto"/>
              <w:rPr>
                <w:rFonts w:eastAsia="Times New Roman" w:cs="Times New Roman"/>
                <w:color w:val="000000"/>
                <w:sz w:val="20"/>
                <w:szCs w:val="18"/>
                <w:lang w:eastAsia="es-EC"/>
              </w:rPr>
            </w:pPr>
            <w:r>
              <w:rPr>
                <w:rFonts w:eastAsia="Times New Roman" w:cs="Times New Roman"/>
                <w:color w:val="000000"/>
                <w:sz w:val="20"/>
                <w:szCs w:val="18"/>
                <w:lang w:eastAsia="es-EC"/>
              </w:rPr>
              <w:t>Régimen seccional autónomo</w:t>
            </w:r>
          </w:p>
        </w:tc>
        <w:tc>
          <w:tcPr>
            <w:tcW w:w="751" w:type="pct"/>
            <w:shd w:val="clear" w:color="auto" w:fill="auto"/>
            <w:noWrap/>
            <w:vAlign w:val="center"/>
            <w:hideMark/>
          </w:tcPr>
          <w:p w14:paraId="715EA172"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1.043</w:t>
            </w:r>
          </w:p>
        </w:tc>
        <w:tc>
          <w:tcPr>
            <w:tcW w:w="747" w:type="pct"/>
            <w:shd w:val="clear" w:color="auto" w:fill="auto"/>
            <w:noWrap/>
            <w:vAlign w:val="center"/>
            <w:hideMark/>
          </w:tcPr>
          <w:p w14:paraId="566476E4" w14:textId="77777777" w:rsidR="007B3093" w:rsidRDefault="00000000">
            <w:pPr>
              <w:spacing w:after="0" w:line="240" w:lineRule="auto"/>
              <w:jc w:val="center"/>
              <w:rPr>
                <w:rFonts w:eastAsia="Times New Roman" w:cs="Times New Roman"/>
                <w:color w:val="000000"/>
                <w:sz w:val="20"/>
                <w:szCs w:val="18"/>
                <w:lang w:eastAsia="es-EC"/>
              </w:rPr>
            </w:pPr>
            <w:r>
              <w:rPr>
                <w:rFonts w:eastAsia="Times New Roman" w:cs="Times New Roman"/>
                <w:color w:val="000000"/>
                <w:sz w:val="20"/>
                <w:szCs w:val="18"/>
                <w:lang w:eastAsia="es-EC"/>
              </w:rPr>
              <w:t>3.989</w:t>
            </w:r>
          </w:p>
        </w:tc>
      </w:tr>
      <w:tr w:rsidR="007B3093" w14:paraId="5C5BF443" w14:textId="77777777">
        <w:trPr>
          <w:trHeight w:val="315"/>
        </w:trPr>
        <w:tc>
          <w:tcPr>
            <w:tcW w:w="3502" w:type="pct"/>
            <w:shd w:val="clear" w:color="auto" w:fill="auto"/>
            <w:noWrap/>
            <w:vAlign w:val="center"/>
            <w:hideMark/>
          </w:tcPr>
          <w:p w14:paraId="032A2542" w14:textId="77777777" w:rsidR="007B3093" w:rsidRDefault="00000000">
            <w:pPr>
              <w:spacing w:after="0" w:line="240" w:lineRule="auto"/>
              <w:jc w:val="center"/>
              <w:rPr>
                <w:rFonts w:eastAsia="Times New Roman" w:cs="Times New Roman"/>
                <w:b/>
                <w:bCs/>
                <w:color w:val="000000"/>
                <w:sz w:val="20"/>
                <w:szCs w:val="18"/>
                <w:lang w:eastAsia="es-EC"/>
              </w:rPr>
            </w:pPr>
            <w:r>
              <w:rPr>
                <w:rFonts w:eastAsia="Times New Roman" w:cs="Times New Roman"/>
                <w:b/>
                <w:bCs/>
                <w:color w:val="000000"/>
                <w:sz w:val="20"/>
                <w:szCs w:val="18"/>
                <w:lang w:eastAsia="es-EC"/>
              </w:rPr>
              <w:t>TOTAL GENERAL</w:t>
            </w:r>
          </w:p>
        </w:tc>
        <w:tc>
          <w:tcPr>
            <w:tcW w:w="751" w:type="pct"/>
            <w:shd w:val="clear" w:color="auto" w:fill="auto"/>
            <w:noWrap/>
            <w:vAlign w:val="center"/>
            <w:hideMark/>
          </w:tcPr>
          <w:p w14:paraId="02E4078F" w14:textId="77777777" w:rsidR="007B3093" w:rsidRDefault="00000000">
            <w:pPr>
              <w:spacing w:after="0" w:line="240" w:lineRule="auto"/>
              <w:jc w:val="center"/>
              <w:rPr>
                <w:rFonts w:eastAsia="Times New Roman" w:cs="Times New Roman"/>
                <w:b/>
                <w:bCs/>
                <w:color w:val="000000"/>
                <w:sz w:val="20"/>
                <w:szCs w:val="18"/>
                <w:lang w:eastAsia="es-EC"/>
              </w:rPr>
            </w:pPr>
            <w:r>
              <w:rPr>
                <w:rFonts w:eastAsia="Times New Roman" w:cs="Times New Roman"/>
                <w:b/>
                <w:bCs/>
                <w:color w:val="000000"/>
                <w:sz w:val="20"/>
                <w:szCs w:val="18"/>
                <w:lang w:eastAsia="es-EC"/>
              </w:rPr>
              <w:t>4.099</w:t>
            </w:r>
          </w:p>
        </w:tc>
        <w:tc>
          <w:tcPr>
            <w:tcW w:w="747" w:type="pct"/>
            <w:shd w:val="clear" w:color="auto" w:fill="auto"/>
            <w:noWrap/>
            <w:vAlign w:val="center"/>
            <w:hideMark/>
          </w:tcPr>
          <w:p w14:paraId="01029D5F" w14:textId="77777777" w:rsidR="007B3093" w:rsidRDefault="00000000">
            <w:pPr>
              <w:spacing w:after="0" w:line="240" w:lineRule="auto"/>
              <w:jc w:val="center"/>
              <w:rPr>
                <w:rFonts w:eastAsia="Times New Roman" w:cs="Times New Roman"/>
                <w:b/>
                <w:color w:val="000000"/>
                <w:sz w:val="20"/>
                <w:szCs w:val="18"/>
                <w:lang w:eastAsia="es-EC"/>
              </w:rPr>
            </w:pPr>
            <w:r>
              <w:rPr>
                <w:rFonts w:eastAsia="Times New Roman" w:cs="Times New Roman"/>
                <w:b/>
                <w:color w:val="000000"/>
                <w:sz w:val="20"/>
                <w:szCs w:val="18"/>
                <w:lang w:eastAsia="es-EC"/>
              </w:rPr>
              <w:t>15.676</w:t>
            </w:r>
          </w:p>
        </w:tc>
      </w:tr>
    </w:tbl>
    <w:p w14:paraId="4EB68DBD" w14:textId="77777777" w:rsidR="007B3093" w:rsidRDefault="00000000">
      <w:pPr>
        <w:autoSpaceDE w:val="0"/>
        <w:autoSpaceDN w:val="0"/>
        <w:adjustRightInd w:val="0"/>
        <w:spacing w:after="0" w:line="360" w:lineRule="auto"/>
        <w:jc w:val="center"/>
        <w:rPr>
          <w:rFonts w:cstheme="minorHAnsi"/>
          <w:b/>
          <w:bCs/>
          <w:sz w:val="18"/>
          <w:szCs w:val="20"/>
          <w:lang w:eastAsia="es-EC"/>
        </w:rPr>
      </w:pPr>
      <w:r>
        <w:rPr>
          <w:rFonts w:cstheme="minorHAnsi"/>
          <w:b/>
          <w:bCs/>
          <w:sz w:val="18"/>
          <w:szCs w:val="20"/>
          <w:lang w:eastAsia="es-EC"/>
        </w:rPr>
        <w:t>Fuente: Registro Único de Contribuyentes - RUC, bases de datos del Ministerio de Finanzas, de la Contraloría General del Estado.</w:t>
      </w:r>
    </w:p>
    <w:p w14:paraId="4C686A4B" w14:textId="77777777" w:rsidR="007B3093" w:rsidRDefault="00000000">
      <w:pPr>
        <w:spacing w:after="0" w:line="360" w:lineRule="auto"/>
        <w:jc w:val="center"/>
        <w:rPr>
          <w:rFonts w:cstheme="minorHAnsi"/>
          <w:b/>
          <w:sz w:val="18"/>
          <w:szCs w:val="20"/>
        </w:rPr>
      </w:pPr>
      <w:r>
        <w:rPr>
          <w:rFonts w:cstheme="minorHAnsi"/>
          <w:b/>
          <w:bCs/>
          <w:sz w:val="18"/>
          <w:szCs w:val="20"/>
          <w:lang w:eastAsia="es-EC"/>
        </w:rPr>
        <w:t xml:space="preserve">Elaboración: </w:t>
      </w:r>
      <w:r>
        <w:rPr>
          <w:rFonts w:cstheme="minorHAnsi"/>
          <w:b/>
          <w:sz w:val="18"/>
          <w:szCs w:val="20"/>
        </w:rPr>
        <w:t>Consultoría para el Fortalecimiento de la Gestión Institucional de la PGE</w:t>
      </w:r>
    </w:p>
    <w:p w14:paraId="5CC2A8E5" w14:textId="77777777" w:rsidR="007B3093" w:rsidRDefault="007B3093">
      <w:pPr>
        <w:pStyle w:val="Sinespaciado"/>
      </w:pPr>
      <w:bookmarkStart w:id="23" w:name="_Toc1089426"/>
    </w:p>
    <w:p w14:paraId="32D63761" w14:textId="77777777" w:rsidR="007B3093" w:rsidRDefault="007B3093">
      <w:pPr>
        <w:pStyle w:val="Sinespaciado"/>
      </w:pPr>
    </w:p>
    <w:p w14:paraId="5F174413" w14:textId="77777777" w:rsidR="007B3093" w:rsidRDefault="00000000">
      <w:pPr>
        <w:pStyle w:val="Ttulo2"/>
        <w:numPr>
          <w:ilvl w:val="2"/>
          <w:numId w:val="93"/>
        </w:numPr>
        <w:spacing w:before="0" w:line="360" w:lineRule="auto"/>
        <w:ind w:left="993"/>
        <w:rPr>
          <w:rFonts w:asciiTheme="minorHAnsi" w:hAnsiTheme="minorHAnsi" w:cstheme="minorHAnsi"/>
          <w:b/>
          <w:color w:val="auto"/>
          <w:sz w:val="22"/>
          <w:szCs w:val="22"/>
        </w:rPr>
      </w:pPr>
      <w:bookmarkStart w:id="24" w:name="_Toc195010055"/>
      <w:r>
        <w:rPr>
          <w:rFonts w:asciiTheme="minorHAnsi" w:hAnsiTheme="minorHAnsi" w:cstheme="minorHAnsi"/>
          <w:b/>
          <w:color w:val="auto"/>
          <w:sz w:val="22"/>
          <w:szCs w:val="22"/>
          <w:lang w:eastAsia="es-EC"/>
        </w:rPr>
        <w:t>Ubicación Geográfica e impacto territorial.</w:t>
      </w:r>
      <w:bookmarkEnd w:id="23"/>
      <w:bookmarkEnd w:id="24"/>
      <w:r>
        <w:rPr>
          <w:rFonts w:asciiTheme="minorHAnsi" w:hAnsiTheme="minorHAnsi" w:cstheme="minorHAnsi"/>
          <w:b/>
          <w:color w:val="auto"/>
          <w:sz w:val="22"/>
          <w:szCs w:val="22"/>
        </w:rPr>
        <w:t xml:space="preserve"> </w:t>
      </w:r>
    </w:p>
    <w:p w14:paraId="1A9B83D1" w14:textId="77777777" w:rsidR="007B3093" w:rsidRDefault="00000000">
      <w:pPr>
        <w:spacing w:after="120" w:line="360" w:lineRule="auto"/>
        <w:ind w:left="142"/>
        <w:jc w:val="both"/>
        <w:rPr>
          <w:rFonts w:cstheme="minorHAnsi"/>
        </w:rPr>
      </w:pPr>
      <w:r>
        <w:rPr>
          <w:rFonts w:cstheme="minorHAnsi"/>
        </w:rPr>
        <w:t>La ejecución del proyecto tiene cobertura nacional, puesto que los casos ingresados a la institución para ser revisados proceden de todo el país, de toda la población, aunque en la actualidad la distribución de sus oficinas en territorio está dada por: la Oficina Matriz ubicada en la ciudad de Quito, cinco Direcciones Regionales (Guayas, Azuay, Manabí, Chimborazo y Loja) y quince Oficinas Provinciales (Tungurahua, Santa Elena, El Oro, Los Ríos #2, Galápagos #2, Cañar, Morona Santiago, Zamora Chinchipe, Sucumbíos, Imbabura, Carchi, Esmeraldas y Santo Domingo de los Tsáchilas).</w:t>
      </w:r>
    </w:p>
    <w:p w14:paraId="5B1CA684" w14:textId="77777777" w:rsidR="007B3093" w:rsidRDefault="00000000">
      <w:pPr>
        <w:pStyle w:val="Prrafodelista"/>
        <w:spacing w:after="120" w:line="360" w:lineRule="auto"/>
        <w:ind w:left="142"/>
        <w:contextualSpacing w:val="0"/>
        <w:jc w:val="both"/>
        <w:rPr>
          <w:rFonts w:cstheme="minorHAnsi"/>
          <w:lang w:eastAsia="es-EC"/>
        </w:rPr>
      </w:pPr>
      <w:r>
        <w:rPr>
          <w:rFonts w:cstheme="minorHAnsi"/>
        </w:rPr>
        <w:t>Adicionalmente la cobertura nacional del proyecto se fundamente en que los cambios positivos del fortalecimiento institucional de la Procuraduría General del Estado en los diferentes ámbitos: modelo de gestión, talento humano, infraestructura física, tecnológica y comunicación, redundan como ya se ha expuesto a toda la población a nivel nacional, por medio del beneficio que significa la capacitación a todas las instituciones del Estado</w:t>
      </w:r>
      <w:r>
        <w:rPr>
          <w:rFonts w:cstheme="minorHAnsi"/>
          <w:lang w:eastAsia="es-EC"/>
        </w:rPr>
        <w:t xml:space="preserve"> y a la ciudadanía en general que demanden servicios de la entidad.</w:t>
      </w:r>
    </w:p>
    <w:p w14:paraId="752CFBA1" w14:textId="77777777" w:rsidR="007B3093" w:rsidRDefault="007B3093">
      <w:pPr>
        <w:autoSpaceDE w:val="0"/>
        <w:autoSpaceDN w:val="0"/>
        <w:adjustRightInd w:val="0"/>
        <w:spacing w:after="0" w:line="360" w:lineRule="auto"/>
        <w:ind w:firstLine="142"/>
        <w:contextualSpacing/>
        <w:rPr>
          <w:rFonts w:cstheme="minorHAnsi"/>
          <w:b/>
          <w:bCs/>
          <w:lang w:eastAsia="es-EC"/>
        </w:rPr>
      </w:pPr>
    </w:p>
    <w:p w14:paraId="59BE3BFC" w14:textId="77777777" w:rsidR="007B3093" w:rsidRDefault="00000000">
      <w:pPr>
        <w:autoSpaceDE w:val="0"/>
        <w:autoSpaceDN w:val="0"/>
        <w:adjustRightInd w:val="0"/>
        <w:spacing w:after="0" w:line="360" w:lineRule="auto"/>
        <w:ind w:firstLine="142"/>
        <w:contextualSpacing/>
        <w:rPr>
          <w:rFonts w:cstheme="minorHAnsi"/>
          <w:lang w:eastAsia="es-EC"/>
        </w:rPr>
      </w:pPr>
      <w:r>
        <w:rPr>
          <w:rFonts w:cstheme="minorHAnsi"/>
          <w:b/>
          <w:bCs/>
          <w:lang w:eastAsia="es-EC"/>
        </w:rPr>
        <w:t>Impacto Territorial</w:t>
      </w:r>
    </w:p>
    <w:p w14:paraId="72100CFC" w14:textId="77777777" w:rsidR="007B3093" w:rsidRDefault="00000000">
      <w:pPr>
        <w:pStyle w:val="Prrafodelista"/>
        <w:spacing w:after="120" w:line="360" w:lineRule="auto"/>
        <w:ind w:left="142"/>
        <w:contextualSpacing w:val="0"/>
        <w:jc w:val="both"/>
        <w:rPr>
          <w:rFonts w:cstheme="minorHAnsi"/>
        </w:rPr>
      </w:pPr>
      <w:r>
        <w:rPr>
          <w:rFonts w:cstheme="minorHAnsi"/>
        </w:rPr>
        <w:lastRenderedPageBreak/>
        <w:t>Los beneficiarios directos calculados en el apartado anterior y que representan 15.676 casos/individuos se corresponden con la geografía de todo el país.</w:t>
      </w:r>
    </w:p>
    <w:p w14:paraId="6CCF029A" w14:textId="77777777" w:rsidR="007B3093" w:rsidRDefault="00000000">
      <w:pPr>
        <w:pStyle w:val="Prrafodelista"/>
        <w:spacing w:after="120" w:line="360" w:lineRule="auto"/>
        <w:ind w:left="142"/>
        <w:contextualSpacing w:val="0"/>
        <w:jc w:val="both"/>
        <w:rPr>
          <w:rFonts w:cstheme="minorHAnsi"/>
          <w:bCs/>
          <w:lang w:eastAsia="es-EC"/>
        </w:rPr>
      </w:pPr>
      <w:r>
        <w:rPr>
          <w:rFonts w:cstheme="minorHAnsi"/>
        </w:rPr>
        <w:t>Con esta base se ha procedido a dividir el monto total de inversión del presente proyecto que asciende a USD</w:t>
      </w:r>
      <w:r>
        <w:rPr>
          <w:rFonts w:cstheme="minorHAnsi"/>
          <w:lang w:eastAsia="es-EC"/>
        </w:rPr>
        <w:t>5.174.795,49</w:t>
      </w:r>
      <w:r>
        <w:rPr>
          <w:rFonts w:cstheme="minorHAnsi"/>
        </w:rPr>
        <w:t>, y distribuirlo entre las 24</w:t>
      </w:r>
      <w:r>
        <w:rPr>
          <w:rFonts w:cstheme="minorHAnsi"/>
          <w:bCs/>
          <w:lang w:eastAsia="es-EC"/>
        </w:rPr>
        <w:t xml:space="preserve"> provincias aplicando el porcentaje de población como se presenta en el siguiente gráfico:</w:t>
      </w:r>
    </w:p>
    <w:p w14:paraId="5CA3ACE1" w14:textId="77777777" w:rsidR="007B3093" w:rsidRDefault="00000000">
      <w:pPr>
        <w:autoSpaceDE w:val="0"/>
        <w:autoSpaceDN w:val="0"/>
        <w:adjustRightInd w:val="0"/>
        <w:spacing w:after="0" w:line="360" w:lineRule="auto"/>
        <w:ind w:left="-502" w:right="-1"/>
        <w:jc w:val="center"/>
        <w:rPr>
          <w:rFonts w:cstheme="minorHAnsi"/>
          <w:b/>
        </w:rPr>
      </w:pPr>
      <w:r>
        <w:rPr>
          <w:rFonts w:cstheme="minorHAnsi"/>
          <w:b/>
        </w:rPr>
        <w:t>Gráfico 2: Población de Ecuador por provincias</w:t>
      </w:r>
    </w:p>
    <w:p w14:paraId="0E2C12FA" w14:textId="77777777" w:rsidR="007B3093" w:rsidRDefault="00000000">
      <w:pPr>
        <w:pStyle w:val="Prrafodelista"/>
        <w:spacing w:after="120" w:line="360" w:lineRule="auto"/>
        <w:ind w:left="142"/>
        <w:contextualSpacing w:val="0"/>
        <w:jc w:val="both"/>
        <w:rPr>
          <w:lang w:eastAsia="es-EC"/>
        </w:rPr>
      </w:pPr>
      <w:r>
        <w:rPr>
          <w:noProof/>
          <w:lang w:val="en-US"/>
        </w:rPr>
        <w:drawing>
          <wp:inline distT="0" distB="0" distL="0" distR="0" wp14:anchorId="2C5DF791" wp14:editId="2BEF51C4">
            <wp:extent cx="4772891" cy="2412382"/>
            <wp:effectExtent l="0" t="0" r="8890" b="6985"/>
            <wp:docPr id="1520176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5"/>
                    <a:srcRect l="23795" t="18752" r="14777" b="7801"/>
                    <a:stretch/>
                  </pic:blipFill>
                  <pic:spPr>
                    <a:xfrm>
                      <a:off x="0" y="0"/>
                      <a:ext cx="4803530" cy="2427868"/>
                    </a:xfrm>
                    <a:prstGeom prst="rect">
                      <a:avLst/>
                    </a:prstGeom>
                  </pic:spPr>
                </pic:pic>
              </a:graphicData>
            </a:graphic>
          </wp:inline>
        </w:drawing>
      </w:r>
    </w:p>
    <w:p w14:paraId="4BE0AF20" w14:textId="77777777" w:rsidR="007B3093" w:rsidRDefault="00000000">
      <w:pPr>
        <w:pStyle w:val="Prrafodelista"/>
        <w:spacing w:after="120" w:line="360" w:lineRule="auto"/>
        <w:ind w:left="142"/>
        <w:contextualSpacing w:val="0"/>
        <w:jc w:val="both"/>
        <w:rPr>
          <w:lang w:eastAsia="es-EC"/>
        </w:rPr>
      </w:pPr>
      <w:r>
        <w:rPr>
          <w:lang w:eastAsia="es-EC"/>
        </w:rPr>
        <w:t>Fuente INEC-CENSO 2022</w:t>
      </w:r>
    </w:p>
    <w:tbl>
      <w:tblPr>
        <w:tblpPr w:leftFromText="141" w:rightFromText="141" w:vertAnchor="text" w:horzAnchor="margin" w:tblpY="307"/>
        <w:tblW w:w="8765" w:type="dxa"/>
        <w:tblCellMar>
          <w:left w:w="70" w:type="dxa"/>
          <w:right w:w="70" w:type="dxa"/>
        </w:tblCellMar>
        <w:tblLook w:val="04A0" w:firstRow="1" w:lastRow="0" w:firstColumn="1" w:lastColumn="0" w:noHBand="0" w:noVBand="1"/>
      </w:tblPr>
      <w:tblGrid>
        <w:gridCol w:w="967"/>
        <w:gridCol w:w="3494"/>
        <w:gridCol w:w="1595"/>
        <w:gridCol w:w="1434"/>
        <w:gridCol w:w="1275"/>
      </w:tblGrid>
      <w:tr w:rsidR="007B3093" w14:paraId="36269903" w14:textId="77777777">
        <w:trPr>
          <w:trHeight w:val="74"/>
          <w:tblHeader/>
        </w:trPr>
        <w:tc>
          <w:tcPr>
            <w:tcW w:w="967" w:type="dxa"/>
            <w:tcBorders>
              <w:top w:val="single" w:sz="4" w:space="0" w:color="auto"/>
              <w:left w:val="single" w:sz="4" w:space="0" w:color="auto"/>
              <w:bottom w:val="single" w:sz="4" w:space="0" w:color="auto"/>
              <w:right w:val="single" w:sz="4" w:space="0" w:color="auto"/>
            </w:tcBorders>
            <w:shd w:val="clear" w:color="000000" w:fill="104861"/>
            <w:noWrap/>
            <w:vAlign w:val="bottom"/>
            <w:hideMark/>
          </w:tcPr>
          <w:p w14:paraId="05AB4235" w14:textId="77777777" w:rsidR="007B3093" w:rsidRDefault="00000000">
            <w:pPr>
              <w:spacing w:after="0" w:line="240" w:lineRule="auto"/>
              <w:jc w:val="center"/>
              <w:rPr>
                <w:rFonts w:ascii="Aptos Narrow" w:eastAsia="Times New Roman" w:hAnsi="Aptos Narrow" w:cs="Times New Roman"/>
                <w:b/>
                <w:bCs/>
                <w:color w:val="FFFFFF"/>
                <w:sz w:val="18"/>
                <w:szCs w:val="20"/>
                <w:lang w:eastAsia="es-EC"/>
              </w:rPr>
            </w:pPr>
            <w:r>
              <w:rPr>
                <w:rFonts w:ascii="Aptos Narrow" w:eastAsia="Times New Roman" w:hAnsi="Aptos Narrow" w:cs="Times New Roman"/>
                <w:b/>
                <w:bCs/>
                <w:color w:val="FFFFFF"/>
                <w:sz w:val="18"/>
                <w:szCs w:val="20"/>
                <w:lang w:eastAsia="es-EC"/>
              </w:rPr>
              <w:t>#</w:t>
            </w:r>
          </w:p>
        </w:tc>
        <w:tc>
          <w:tcPr>
            <w:tcW w:w="3494" w:type="dxa"/>
            <w:tcBorders>
              <w:top w:val="single" w:sz="4" w:space="0" w:color="auto"/>
              <w:left w:val="nil"/>
              <w:bottom w:val="single" w:sz="4" w:space="0" w:color="auto"/>
              <w:right w:val="single" w:sz="4" w:space="0" w:color="auto"/>
            </w:tcBorders>
            <w:shd w:val="clear" w:color="000000" w:fill="104861"/>
            <w:noWrap/>
            <w:vAlign w:val="bottom"/>
            <w:hideMark/>
          </w:tcPr>
          <w:p w14:paraId="1617AE18" w14:textId="77777777" w:rsidR="007B3093" w:rsidRDefault="00000000">
            <w:pPr>
              <w:spacing w:after="0" w:line="240" w:lineRule="auto"/>
              <w:jc w:val="center"/>
              <w:rPr>
                <w:rFonts w:ascii="Aptos Narrow" w:eastAsia="Times New Roman" w:hAnsi="Aptos Narrow" w:cs="Times New Roman"/>
                <w:b/>
                <w:bCs/>
                <w:color w:val="FFFFFF"/>
                <w:sz w:val="18"/>
                <w:szCs w:val="20"/>
                <w:lang w:eastAsia="es-EC"/>
              </w:rPr>
            </w:pPr>
            <w:r>
              <w:rPr>
                <w:rFonts w:ascii="Aptos Narrow" w:eastAsia="Times New Roman" w:hAnsi="Aptos Narrow" w:cs="Times New Roman"/>
                <w:b/>
                <w:bCs/>
                <w:color w:val="FFFFFF"/>
                <w:sz w:val="18"/>
                <w:szCs w:val="20"/>
                <w:lang w:eastAsia="es-EC"/>
              </w:rPr>
              <w:t>PROVINCIA</w:t>
            </w:r>
          </w:p>
        </w:tc>
        <w:tc>
          <w:tcPr>
            <w:tcW w:w="1595" w:type="dxa"/>
            <w:tcBorders>
              <w:top w:val="single" w:sz="4" w:space="0" w:color="auto"/>
              <w:left w:val="nil"/>
              <w:bottom w:val="single" w:sz="4" w:space="0" w:color="auto"/>
              <w:right w:val="single" w:sz="4" w:space="0" w:color="auto"/>
            </w:tcBorders>
            <w:shd w:val="clear" w:color="000000" w:fill="104861"/>
            <w:noWrap/>
            <w:vAlign w:val="bottom"/>
            <w:hideMark/>
          </w:tcPr>
          <w:p w14:paraId="257E8318" w14:textId="77777777" w:rsidR="007B3093" w:rsidRDefault="00000000">
            <w:pPr>
              <w:spacing w:after="0" w:line="240" w:lineRule="auto"/>
              <w:jc w:val="center"/>
              <w:rPr>
                <w:rFonts w:ascii="Aptos Narrow" w:eastAsia="Times New Roman" w:hAnsi="Aptos Narrow" w:cs="Times New Roman"/>
                <w:b/>
                <w:bCs/>
                <w:color w:val="FFFFFF"/>
                <w:sz w:val="14"/>
                <w:szCs w:val="20"/>
                <w:lang w:eastAsia="es-EC"/>
              </w:rPr>
            </w:pPr>
            <w:r>
              <w:rPr>
                <w:rFonts w:ascii="Aptos Narrow" w:eastAsia="Times New Roman" w:hAnsi="Aptos Narrow" w:cs="Times New Roman"/>
                <w:b/>
                <w:bCs/>
                <w:color w:val="FFFFFF"/>
                <w:sz w:val="14"/>
                <w:szCs w:val="20"/>
                <w:lang w:eastAsia="es-EC"/>
              </w:rPr>
              <w:t xml:space="preserve"> HABITANTES </w:t>
            </w:r>
          </w:p>
        </w:tc>
        <w:tc>
          <w:tcPr>
            <w:tcW w:w="1434" w:type="dxa"/>
            <w:tcBorders>
              <w:top w:val="single" w:sz="4" w:space="0" w:color="auto"/>
              <w:left w:val="nil"/>
              <w:bottom w:val="single" w:sz="4" w:space="0" w:color="auto"/>
              <w:right w:val="single" w:sz="4" w:space="0" w:color="auto"/>
            </w:tcBorders>
            <w:shd w:val="clear" w:color="000000" w:fill="104861"/>
            <w:noWrap/>
            <w:vAlign w:val="bottom"/>
            <w:hideMark/>
          </w:tcPr>
          <w:p w14:paraId="0178084A" w14:textId="77777777" w:rsidR="007B3093" w:rsidRDefault="00000000">
            <w:pPr>
              <w:spacing w:after="0" w:line="240" w:lineRule="auto"/>
              <w:jc w:val="center"/>
              <w:rPr>
                <w:rFonts w:ascii="Aptos Narrow" w:eastAsia="Times New Roman" w:hAnsi="Aptos Narrow" w:cs="Times New Roman"/>
                <w:b/>
                <w:bCs/>
                <w:color w:val="FFFFFF"/>
                <w:sz w:val="14"/>
                <w:szCs w:val="20"/>
                <w:lang w:eastAsia="es-EC"/>
              </w:rPr>
            </w:pPr>
            <w:r>
              <w:rPr>
                <w:rFonts w:ascii="Aptos Narrow" w:eastAsia="Times New Roman" w:hAnsi="Aptos Narrow" w:cs="Times New Roman"/>
                <w:b/>
                <w:bCs/>
                <w:color w:val="FFFFFF"/>
                <w:sz w:val="14"/>
                <w:szCs w:val="20"/>
                <w:lang w:eastAsia="es-EC"/>
              </w:rPr>
              <w:t>INVERSIÓN</w:t>
            </w:r>
          </w:p>
        </w:tc>
        <w:tc>
          <w:tcPr>
            <w:tcW w:w="1275" w:type="dxa"/>
            <w:tcBorders>
              <w:top w:val="single" w:sz="4" w:space="0" w:color="auto"/>
              <w:left w:val="nil"/>
              <w:bottom w:val="single" w:sz="4" w:space="0" w:color="auto"/>
              <w:right w:val="single" w:sz="4" w:space="0" w:color="auto"/>
            </w:tcBorders>
            <w:shd w:val="clear" w:color="000000" w:fill="104861"/>
            <w:noWrap/>
            <w:vAlign w:val="bottom"/>
            <w:hideMark/>
          </w:tcPr>
          <w:p w14:paraId="74E2A6D1" w14:textId="77777777" w:rsidR="007B3093" w:rsidRDefault="00000000">
            <w:pPr>
              <w:spacing w:after="0" w:line="240" w:lineRule="auto"/>
              <w:jc w:val="center"/>
              <w:rPr>
                <w:rFonts w:ascii="Aptos Narrow" w:eastAsia="Times New Roman" w:hAnsi="Aptos Narrow" w:cs="Times New Roman"/>
                <w:b/>
                <w:bCs/>
                <w:color w:val="FFFFFF"/>
                <w:sz w:val="14"/>
                <w:szCs w:val="20"/>
                <w:lang w:eastAsia="es-EC"/>
              </w:rPr>
            </w:pPr>
            <w:r>
              <w:rPr>
                <w:rFonts w:ascii="Aptos Narrow" w:eastAsia="Times New Roman" w:hAnsi="Aptos Narrow" w:cs="Times New Roman"/>
                <w:b/>
                <w:bCs/>
                <w:color w:val="FFFFFF"/>
                <w:sz w:val="14"/>
                <w:szCs w:val="20"/>
                <w:lang w:eastAsia="es-EC"/>
              </w:rPr>
              <w:t>BENEFICIARIOS</w:t>
            </w:r>
          </w:p>
        </w:tc>
      </w:tr>
      <w:tr w:rsidR="007B3093" w14:paraId="741A68D1" w14:textId="77777777">
        <w:trPr>
          <w:trHeight w:val="78"/>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01C8DB7D"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1</w:t>
            </w:r>
          </w:p>
        </w:tc>
        <w:tc>
          <w:tcPr>
            <w:tcW w:w="3494" w:type="dxa"/>
            <w:tcBorders>
              <w:top w:val="nil"/>
              <w:left w:val="nil"/>
              <w:bottom w:val="single" w:sz="4" w:space="0" w:color="auto"/>
              <w:right w:val="single" w:sz="4" w:space="0" w:color="auto"/>
            </w:tcBorders>
            <w:shd w:val="clear" w:color="auto" w:fill="auto"/>
            <w:noWrap/>
            <w:vAlign w:val="bottom"/>
            <w:hideMark/>
          </w:tcPr>
          <w:p w14:paraId="11990442"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CARCHI</w:t>
            </w:r>
          </w:p>
        </w:tc>
        <w:tc>
          <w:tcPr>
            <w:tcW w:w="1595" w:type="dxa"/>
            <w:tcBorders>
              <w:top w:val="nil"/>
              <w:left w:val="nil"/>
              <w:bottom w:val="single" w:sz="4" w:space="0" w:color="auto"/>
              <w:right w:val="single" w:sz="4" w:space="0" w:color="auto"/>
            </w:tcBorders>
            <w:shd w:val="clear" w:color="auto" w:fill="auto"/>
            <w:noWrap/>
            <w:vAlign w:val="bottom"/>
            <w:hideMark/>
          </w:tcPr>
          <w:p w14:paraId="36451426"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172.828,00 </w:t>
            </w:r>
          </w:p>
        </w:tc>
        <w:tc>
          <w:tcPr>
            <w:tcW w:w="1434" w:type="dxa"/>
            <w:tcBorders>
              <w:top w:val="nil"/>
              <w:left w:val="nil"/>
              <w:bottom w:val="single" w:sz="4" w:space="0" w:color="auto"/>
              <w:right w:val="single" w:sz="4" w:space="0" w:color="auto"/>
            </w:tcBorders>
            <w:shd w:val="clear" w:color="auto" w:fill="auto"/>
            <w:noWrap/>
            <w:vAlign w:val="bottom"/>
            <w:hideMark/>
          </w:tcPr>
          <w:p w14:paraId="1322BAD1"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52.798,29 </w:t>
            </w:r>
          </w:p>
        </w:tc>
        <w:tc>
          <w:tcPr>
            <w:tcW w:w="1275" w:type="dxa"/>
            <w:tcBorders>
              <w:top w:val="nil"/>
              <w:left w:val="nil"/>
              <w:bottom w:val="single" w:sz="4" w:space="0" w:color="auto"/>
              <w:right w:val="single" w:sz="4" w:space="0" w:color="auto"/>
            </w:tcBorders>
            <w:shd w:val="clear" w:color="auto" w:fill="auto"/>
            <w:noWrap/>
            <w:vAlign w:val="bottom"/>
            <w:hideMark/>
          </w:tcPr>
          <w:p w14:paraId="3665A291"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160 </w:t>
            </w:r>
          </w:p>
        </w:tc>
      </w:tr>
      <w:tr w:rsidR="007B3093" w14:paraId="19DFB623" w14:textId="77777777">
        <w:trPr>
          <w:trHeight w:val="42"/>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34341974"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2</w:t>
            </w:r>
          </w:p>
        </w:tc>
        <w:tc>
          <w:tcPr>
            <w:tcW w:w="3494" w:type="dxa"/>
            <w:tcBorders>
              <w:top w:val="nil"/>
              <w:left w:val="nil"/>
              <w:bottom w:val="single" w:sz="4" w:space="0" w:color="auto"/>
              <w:right w:val="single" w:sz="4" w:space="0" w:color="auto"/>
            </w:tcBorders>
            <w:shd w:val="clear" w:color="auto" w:fill="auto"/>
            <w:noWrap/>
            <w:vAlign w:val="bottom"/>
            <w:hideMark/>
          </w:tcPr>
          <w:p w14:paraId="4DC156F9"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ESMERALDAS</w:t>
            </w:r>
          </w:p>
        </w:tc>
        <w:tc>
          <w:tcPr>
            <w:tcW w:w="1595" w:type="dxa"/>
            <w:tcBorders>
              <w:top w:val="nil"/>
              <w:left w:val="nil"/>
              <w:bottom w:val="single" w:sz="4" w:space="0" w:color="auto"/>
              <w:right w:val="single" w:sz="4" w:space="0" w:color="auto"/>
            </w:tcBorders>
            <w:shd w:val="clear" w:color="auto" w:fill="auto"/>
            <w:noWrap/>
            <w:vAlign w:val="bottom"/>
            <w:hideMark/>
          </w:tcPr>
          <w:p w14:paraId="0D327483"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553.900,00 </w:t>
            </w:r>
          </w:p>
        </w:tc>
        <w:tc>
          <w:tcPr>
            <w:tcW w:w="1434" w:type="dxa"/>
            <w:tcBorders>
              <w:top w:val="nil"/>
              <w:left w:val="nil"/>
              <w:bottom w:val="single" w:sz="4" w:space="0" w:color="auto"/>
              <w:right w:val="single" w:sz="4" w:space="0" w:color="auto"/>
            </w:tcBorders>
            <w:shd w:val="clear" w:color="auto" w:fill="auto"/>
            <w:noWrap/>
            <w:vAlign w:val="bottom"/>
            <w:hideMark/>
          </w:tcPr>
          <w:p w14:paraId="63AC8833"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169.214,33 </w:t>
            </w:r>
          </w:p>
        </w:tc>
        <w:tc>
          <w:tcPr>
            <w:tcW w:w="1275" w:type="dxa"/>
            <w:tcBorders>
              <w:top w:val="nil"/>
              <w:left w:val="nil"/>
              <w:bottom w:val="single" w:sz="4" w:space="0" w:color="auto"/>
              <w:right w:val="single" w:sz="4" w:space="0" w:color="auto"/>
            </w:tcBorders>
            <w:shd w:val="clear" w:color="auto" w:fill="auto"/>
            <w:noWrap/>
            <w:vAlign w:val="bottom"/>
            <w:hideMark/>
          </w:tcPr>
          <w:p w14:paraId="6CF1F8B9"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513 </w:t>
            </w:r>
          </w:p>
        </w:tc>
      </w:tr>
      <w:tr w:rsidR="007B3093" w14:paraId="4B45D62F" w14:textId="77777777">
        <w:trPr>
          <w:trHeight w:val="81"/>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365B29F8"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3</w:t>
            </w:r>
          </w:p>
        </w:tc>
        <w:tc>
          <w:tcPr>
            <w:tcW w:w="3494" w:type="dxa"/>
            <w:tcBorders>
              <w:top w:val="nil"/>
              <w:left w:val="nil"/>
              <w:bottom w:val="single" w:sz="4" w:space="0" w:color="auto"/>
              <w:right w:val="single" w:sz="4" w:space="0" w:color="auto"/>
            </w:tcBorders>
            <w:shd w:val="clear" w:color="auto" w:fill="auto"/>
            <w:noWrap/>
            <w:vAlign w:val="bottom"/>
            <w:hideMark/>
          </w:tcPr>
          <w:p w14:paraId="6265CCFC"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IMBABURA</w:t>
            </w:r>
          </w:p>
        </w:tc>
        <w:tc>
          <w:tcPr>
            <w:tcW w:w="1595" w:type="dxa"/>
            <w:tcBorders>
              <w:top w:val="nil"/>
              <w:left w:val="nil"/>
              <w:bottom w:val="single" w:sz="4" w:space="0" w:color="auto"/>
              <w:right w:val="single" w:sz="4" w:space="0" w:color="auto"/>
            </w:tcBorders>
            <w:shd w:val="clear" w:color="auto" w:fill="auto"/>
            <w:noWrap/>
            <w:vAlign w:val="bottom"/>
            <w:hideMark/>
          </w:tcPr>
          <w:p w14:paraId="7675BABB"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469.879,00 </w:t>
            </w:r>
          </w:p>
        </w:tc>
        <w:tc>
          <w:tcPr>
            <w:tcW w:w="1434" w:type="dxa"/>
            <w:tcBorders>
              <w:top w:val="nil"/>
              <w:left w:val="nil"/>
              <w:bottom w:val="single" w:sz="4" w:space="0" w:color="auto"/>
              <w:right w:val="single" w:sz="4" w:space="0" w:color="auto"/>
            </w:tcBorders>
            <w:shd w:val="clear" w:color="auto" w:fill="auto"/>
            <w:noWrap/>
            <w:vAlign w:val="bottom"/>
            <w:hideMark/>
          </w:tcPr>
          <w:p w14:paraId="1D899A50"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143.546,24 </w:t>
            </w:r>
          </w:p>
        </w:tc>
        <w:tc>
          <w:tcPr>
            <w:tcW w:w="1275" w:type="dxa"/>
            <w:tcBorders>
              <w:top w:val="nil"/>
              <w:left w:val="nil"/>
              <w:bottom w:val="single" w:sz="4" w:space="0" w:color="auto"/>
              <w:right w:val="single" w:sz="4" w:space="0" w:color="auto"/>
            </w:tcBorders>
            <w:shd w:val="clear" w:color="auto" w:fill="auto"/>
            <w:noWrap/>
            <w:vAlign w:val="bottom"/>
            <w:hideMark/>
          </w:tcPr>
          <w:p w14:paraId="42F1A4A3"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435 </w:t>
            </w:r>
          </w:p>
        </w:tc>
      </w:tr>
      <w:tr w:rsidR="007B3093" w14:paraId="7DA20292" w14:textId="77777777">
        <w:trPr>
          <w:trHeight w:val="78"/>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5136A22A"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4</w:t>
            </w:r>
          </w:p>
        </w:tc>
        <w:tc>
          <w:tcPr>
            <w:tcW w:w="3494" w:type="dxa"/>
            <w:tcBorders>
              <w:top w:val="nil"/>
              <w:left w:val="nil"/>
              <w:bottom w:val="single" w:sz="4" w:space="0" w:color="auto"/>
              <w:right w:val="single" w:sz="4" w:space="0" w:color="auto"/>
            </w:tcBorders>
            <w:shd w:val="clear" w:color="auto" w:fill="auto"/>
            <w:noWrap/>
            <w:vAlign w:val="bottom"/>
            <w:hideMark/>
          </w:tcPr>
          <w:p w14:paraId="37F7FDF9"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PICHINCHA</w:t>
            </w:r>
          </w:p>
        </w:tc>
        <w:tc>
          <w:tcPr>
            <w:tcW w:w="1595" w:type="dxa"/>
            <w:tcBorders>
              <w:top w:val="nil"/>
              <w:left w:val="nil"/>
              <w:bottom w:val="single" w:sz="4" w:space="0" w:color="auto"/>
              <w:right w:val="single" w:sz="4" w:space="0" w:color="auto"/>
            </w:tcBorders>
            <w:shd w:val="clear" w:color="auto" w:fill="auto"/>
            <w:noWrap/>
            <w:vAlign w:val="bottom"/>
            <w:hideMark/>
          </w:tcPr>
          <w:p w14:paraId="3FD715B2"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3.089.473,00 </w:t>
            </w:r>
          </w:p>
        </w:tc>
        <w:tc>
          <w:tcPr>
            <w:tcW w:w="1434" w:type="dxa"/>
            <w:tcBorders>
              <w:top w:val="nil"/>
              <w:left w:val="nil"/>
              <w:bottom w:val="single" w:sz="4" w:space="0" w:color="auto"/>
              <w:right w:val="single" w:sz="4" w:space="0" w:color="auto"/>
            </w:tcBorders>
            <w:shd w:val="clear" w:color="auto" w:fill="auto"/>
            <w:noWrap/>
            <w:vAlign w:val="bottom"/>
            <w:hideMark/>
          </w:tcPr>
          <w:p w14:paraId="39681825"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943.822,19 </w:t>
            </w:r>
          </w:p>
        </w:tc>
        <w:tc>
          <w:tcPr>
            <w:tcW w:w="1275" w:type="dxa"/>
            <w:tcBorders>
              <w:top w:val="nil"/>
              <w:left w:val="nil"/>
              <w:bottom w:val="single" w:sz="4" w:space="0" w:color="auto"/>
              <w:right w:val="single" w:sz="4" w:space="0" w:color="auto"/>
            </w:tcBorders>
            <w:shd w:val="clear" w:color="auto" w:fill="auto"/>
            <w:noWrap/>
            <w:vAlign w:val="bottom"/>
            <w:hideMark/>
          </w:tcPr>
          <w:p w14:paraId="69730C0B"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2.859 </w:t>
            </w:r>
          </w:p>
        </w:tc>
      </w:tr>
      <w:tr w:rsidR="007B3093" w14:paraId="48F6475E" w14:textId="77777777">
        <w:trPr>
          <w:trHeight w:val="39"/>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4B498F8D"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5</w:t>
            </w:r>
          </w:p>
        </w:tc>
        <w:tc>
          <w:tcPr>
            <w:tcW w:w="3494" w:type="dxa"/>
            <w:tcBorders>
              <w:top w:val="nil"/>
              <w:left w:val="nil"/>
              <w:bottom w:val="single" w:sz="4" w:space="0" w:color="auto"/>
              <w:right w:val="single" w:sz="4" w:space="0" w:color="auto"/>
            </w:tcBorders>
            <w:shd w:val="clear" w:color="auto" w:fill="auto"/>
            <w:noWrap/>
            <w:vAlign w:val="bottom"/>
            <w:hideMark/>
          </w:tcPr>
          <w:p w14:paraId="6014FF72"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SUCUMBIOS</w:t>
            </w:r>
          </w:p>
        </w:tc>
        <w:tc>
          <w:tcPr>
            <w:tcW w:w="1595" w:type="dxa"/>
            <w:tcBorders>
              <w:top w:val="nil"/>
              <w:left w:val="nil"/>
              <w:bottom w:val="single" w:sz="4" w:space="0" w:color="auto"/>
              <w:right w:val="single" w:sz="4" w:space="0" w:color="auto"/>
            </w:tcBorders>
            <w:shd w:val="clear" w:color="auto" w:fill="auto"/>
            <w:noWrap/>
            <w:vAlign w:val="bottom"/>
            <w:hideMark/>
          </w:tcPr>
          <w:p w14:paraId="20988F7C"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199.014,00 </w:t>
            </w:r>
          </w:p>
        </w:tc>
        <w:tc>
          <w:tcPr>
            <w:tcW w:w="1434" w:type="dxa"/>
            <w:tcBorders>
              <w:top w:val="nil"/>
              <w:left w:val="nil"/>
              <w:bottom w:val="single" w:sz="4" w:space="0" w:color="auto"/>
              <w:right w:val="single" w:sz="4" w:space="0" w:color="auto"/>
            </w:tcBorders>
            <w:shd w:val="clear" w:color="auto" w:fill="auto"/>
            <w:noWrap/>
            <w:vAlign w:val="bottom"/>
            <w:hideMark/>
          </w:tcPr>
          <w:p w14:paraId="17C53E13"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60.798,02 </w:t>
            </w:r>
          </w:p>
        </w:tc>
        <w:tc>
          <w:tcPr>
            <w:tcW w:w="1275" w:type="dxa"/>
            <w:tcBorders>
              <w:top w:val="nil"/>
              <w:left w:val="nil"/>
              <w:bottom w:val="single" w:sz="4" w:space="0" w:color="auto"/>
              <w:right w:val="single" w:sz="4" w:space="0" w:color="auto"/>
            </w:tcBorders>
            <w:shd w:val="clear" w:color="auto" w:fill="auto"/>
            <w:noWrap/>
            <w:vAlign w:val="bottom"/>
            <w:hideMark/>
          </w:tcPr>
          <w:p w14:paraId="04EB10F5"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184 </w:t>
            </w:r>
          </w:p>
        </w:tc>
      </w:tr>
      <w:tr w:rsidR="007B3093" w14:paraId="733AC8D2" w14:textId="77777777">
        <w:trPr>
          <w:trHeight w:val="40"/>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2B1CBC1D"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6</w:t>
            </w:r>
          </w:p>
        </w:tc>
        <w:tc>
          <w:tcPr>
            <w:tcW w:w="3494" w:type="dxa"/>
            <w:tcBorders>
              <w:top w:val="nil"/>
              <w:left w:val="nil"/>
              <w:bottom w:val="single" w:sz="4" w:space="0" w:color="auto"/>
              <w:right w:val="single" w:sz="4" w:space="0" w:color="auto"/>
            </w:tcBorders>
            <w:shd w:val="clear" w:color="auto" w:fill="auto"/>
            <w:noWrap/>
            <w:vAlign w:val="bottom"/>
            <w:hideMark/>
          </w:tcPr>
          <w:p w14:paraId="08696BA5"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SANTO DOMINGO DE LOS TSACHILAS</w:t>
            </w:r>
          </w:p>
        </w:tc>
        <w:tc>
          <w:tcPr>
            <w:tcW w:w="1595" w:type="dxa"/>
            <w:tcBorders>
              <w:top w:val="nil"/>
              <w:left w:val="nil"/>
              <w:bottom w:val="single" w:sz="4" w:space="0" w:color="auto"/>
              <w:right w:val="single" w:sz="4" w:space="0" w:color="auto"/>
            </w:tcBorders>
            <w:shd w:val="clear" w:color="auto" w:fill="auto"/>
            <w:noWrap/>
            <w:vAlign w:val="bottom"/>
            <w:hideMark/>
          </w:tcPr>
          <w:p w14:paraId="4F535AE1"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492.969,00 </w:t>
            </w:r>
          </w:p>
        </w:tc>
        <w:tc>
          <w:tcPr>
            <w:tcW w:w="1434" w:type="dxa"/>
            <w:tcBorders>
              <w:top w:val="nil"/>
              <w:left w:val="nil"/>
              <w:bottom w:val="single" w:sz="4" w:space="0" w:color="auto"/>
              <w:right w:val="single" w:sz="4" w:space="0" w:color="auto"/>
            </w:tcBorders>
            <w:shd w:val="clear" w:color="auto" w:fill="auto"/>
            <w:noWrap/>
            <w:vAlign w:val="bottom"/>
            <w:hideMark/>
          </w:tcPr>
          <w:p w14:paraId="4BD23D95"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150.600,15 </w:t>
            </w:r>
          </w:p>
        </w:tc>
        <w:tc>
          <w:tcPr>
            <w:tcW w:w="1275" w:type="dxa"/>
            <w:tcBorders>
              <w:top w:val="nil"/>
              <w:left w:val="nil"/>
              <w:bottom w:val="single" w:sz="4" w:space="0" w:color="auto"/>
              <w:right w:val="single" w:sz="4" w:space="0" w:color="auto"/>
            </w:tcBorders>
            <w:shd w:val="clear" w:color="auto" w:fill="auto"/>
            <w:noWrap/>
            <w:vAlign w:val="bottom"/>
            <w:hideMark/>
          </w:tcPr>
          <w:p w14:paraId="5B9160C8"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456 </w:t>
            </w:r>
          </w:p>
        </w:tc>
      </w:tr>
      <w:tr w:rsidR="007B3093" w14:paraId="53B854AD" w14:textId="77777777">
        <w:trPr>
          <w:trHeight w:val="45"/>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31371D45"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7</w:t>
            </w:r>
          </w:p>
        </w:tc>
        <w:tc>
          <w:tcPr>
            <w:tcW w:w="3494" w:type="dxa"/>
            <w:tcBorders>
              <w:top w:val="nil"/>
              <w:left w:val="nil"/>
              <w:bottom w:val="single" w:sz="4" w:space="0" w:color="auto"/>
              <w:right w:val="single" w:sz="4" w:space="0" w:color="auto"/>
            </w:tcBorders>
            <w:shd w:val="clear" w:color="auto" w:fill="auto"/>
            <w:noWrap/>
            <w:vAlign w:val="bottom"/>
            <w:hideMark/>
          </w:tcPr>
          <w:p w14:paraId="2A6AB902"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MANABI</w:t>
            </w:r>
          </w:p>
        </w:tc>
        <w:tc>
          <w:tcPr>
            <w:tcW w:w="1595" w:type="dxa"/>
            <w:tcBorders>
              <w:top w:val="nil"/>
              <w:left w:val="nil"/>
              <w:bottom w:val="single" w:sz="4" w:space="0" w:color="auto"/>
              <w:right w:val="single" w:sz="4" w:space="0" w:color="auto"/>
            </w:tcBorders>
            <w:shd w:val="clear" w:color="auto" w:fill="auto"/>
            <w:noWrap/>
            <w:vAlign w:val="bottom"/>
            <w:hideMark/>
          </w:tcPr>
          <w:p w14:paraId="5B484C81"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1.592.840,00 </w:t>
            </w:r>
          </w:p>
        </w:tc>
        <w:tc>
          <w:tcPr>
            <w:tcW w:w="1434" w:type="dxa"/>
            <w:tcBorders>
              <w:top w:val="nil"/>
              <w:left w:val="nil"/>
              <w:bottom w:val="single" w:sz="4" w:space="0" w:color="auto"/>
              <w:right w:val="single" w:sz="4" w:space="0" w:color="auto"/>
            </w:tcBorders>
            <w:shd w:val="clear" w:color="auto" w:fill="auto"/>
            <w:noWrap/>
            <w:vAlign w:val="bottom"/>
            <w:hideMark/>
          </w:tcPr>
          <w:p w14:paraId="7FABD557"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486.606,53 </w:t>
            </w:r>
          </w:p>
        </w:tc>
        <w:tc>
          <w:tcPr>
            <w:tcW w:w="1275" w:type="dxa"/>
            <w:tcBorders>
              <w:top w:val="nil"/>
              <w:left w:val="nil"/>
              <w:bottom w:val="single" w:sz="4" w:space="0" w:color="auto"/>
              <w:right w:val="single" w:sz="4" w:space="0" w:color="auto"/>
            </w:tcBorders>
            <w:shd w:val="clear" w:color="auto" w:fill="auto"/>
            <w:noWrap/>
            <w:vAlign w:val="bottom"/>
            <w:hideMark/>
          </w:tcPr>
          <w:p w14:paraId="7E245AB2"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1.474 </w:t>
            </w:r>
          </w:p>
        </w:tc>
      </w:tr>
      <w:tr w:rsidR="007B3093" w14:paraId="3C9ED9D3"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61954DFB"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8</w:t>
            </w:r>
          </w:p>
        </w:tc>
        <w:tc>
          <w:tcPr>
            <w:tcW w:w="3494" w:type="dxa"/>
            <w:tcBorders>
              <w:top w:val="nil"/>
              <w:left w:val="nil"/>
              <w:bottom w:val="single" w:sz="4" w:space="0" w:color="auto"/>
              <w:right w:val="single" w:sz="4" w:space="0" w:color="auto"/>
            </w:tcBorders>
            <w:shd w:val="clear" w:color="auto" w:fill="auto"/>
            <w:noWrap/>
            <w:vAlign w:val="bottom"/>
            <w:hideMark/>
          </w:tcPr>
          <w:p w14:paraId="37DD8DEB"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COTOPAXI</w:t>
            </w:r>
          </w:p>
        </w:tc>
        <w:tc>
          <w:tcPr>
            <w:tcW w:w="1595" w:type="dxa"/>
            <w:tcBorders>
              <w:top w:val="nil"/>
              <w:left w:val="nil"/>
              <w:bottom w:val="single" w:sz="4" w:space="0" w:color="auto"/>
              <w:right w:val="single" w:sz="4" w:space="0" w:color="auto"/>
            </w:tcBorders>
            <w:shd w:val="clear" w:color="auto" w:fill="auto"/>
            <w:noWrap/>
            <w:vAlign w:val="bottom"/>
            <w:hideMark/>
          </w:tcPr>
          <w:p w14:paraId="499A5440"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470.210,00 </w:t>
            </w:r>
          </w:p>
        </w:tc>
        <w:tc>
          <w:tcPr>
            <w:tcW w:w="1434" w:type="dxa"/>
            <w:tcBorders>
              <w:top w:val="nil"/>
              <w:left w:val="nil"/>
              <w:bottom w:val="single" w:sz="4" w:space="0" w:color="auto"/>
              <w:right w:val="single" w:sz="4" w:space="0" w:color="auto"/>
            </w:tcBorders>
            <w:shd w:val="clear" w:color="auto" w:fill="auto"/>
            <w:noWrap/>
            <w:vAlign w:val="bottom"/>
            <w:hideMark/>
          </w:tcPr>
          <w:p w14:paraId="409EF9F6"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143.647,36 </w:t>
            </w:r>
          </w:p>
        </w:tc>
        <w:tc>
          <w:tcPr>
            <w:tcW w:w="1275" w:type="dxa"/>
            <w:tcBorders>
              <w:top w:val="nil"/>
              <w:left w:val="nil"/>
              <w:bottom w:val="single" w:sz="4" w:space="0" w:color="auto"/>
              <w:right w:val="single" w:sz="4" w:space="0" w:color="auto"/>
            </w:tcBorders>
            <w:shd w:val="clear" w:color="auto" w:fill="auto"/>
            <w:noWrap/>
            <w:vAlign w:val="bottom"/>
            <w:hideMark/>
          </w:tcPr>
          <w:p w14:paraId="2DE81C9F"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435 </w:t>
            </w:r>
          </w:p>
        </w:tc>
      </w:tr>
      <w:tr w:rsidR="007B3093" w14:paraId="5E63A8BF"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35175A3B"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9</w:t>
            </w:r>
          </w:p>
        </w:tc>
        <w:tc>
          <w:tcPr>
            <w:tcW w:w="3494" w:type="dxa"/>
            <w:tcBorders>
              <w:top w:val="nil"/>
              <w:left w:val="nil"/>
              <w:bottom w:val="single" w:sz="4" w:space="0" w:color="auto"/>
              <w:right w:val="single" w:sz="4" w:space="0" w:color="auto"/>
            </w:tcBorders>
            <w:shd w:val="clear" w:color="auto" w:fill="auto"/>
            <w:noWrap/>
            <w:vAlign w:val="bottom"/>
            <w:hideMark/>
          </w:tcPr>
          <w:p w14:paraId="5BED5675"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NAPO</w:t>
            </w:r>
          </w:p>
        </w:tc>
        <w:tc>
          <w:tcPr>
            <w:tcW w:w="1595" w:type="dxa"/>
            <w:tcBorders>
              <w:top w:val="nil"/>
              <w:left w:val="nil"/>
              <w:bottom w:val="single" w:sz="4" w:space="0" w:color="auto"/>
              <w:right w:val="single" w:sz="4" w:space="0" w:color="auto"/>
            </w:tcBorders>
            <w:shd w:val="clear" w:color="auto" w:fill="auto"/>
            <w:noWrap/>
            <w:vAlign w:val="bottom"/>
            <w:hideMark/>
          </w:tcPr>
          <w:p w14:paraId="3B1ABC38"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131.675,00 </w:t>
            </w:r>
          </w:p>
        </w:tc>
        <w:tc>
          <w:tcPr>
            <w:tcW w:w="1434" w:type="dxa"/>
            <w:tcBorders>
              <w:top w:val="nil"/>
              <w:left w:val="nil"/>
              <w:bottom w:val="single" w:sz="4" w:space="0" w:color="auto"/>
              <w:right w:val="single" w:sz="4" w:space="0" w:color="auto"/>
            </w:tcBorders>
            <w:shd w:val="clear" w:color="auto" w:fill="auto"/>
            <w:noWrap/>
            <w:vAlign w:val="bottom"/>
            <w:hideMark/>
          </w:tcPr>
          <w:p w14:paraId="0BB37189"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40.226,21 </w:t>
            </w:r>
          </w:p>
        </w:tc>
        <w:tc>
          <w:tcPr>
            <w:tcW w:w="1275" w:type="dxa"/>
            <w:tcBorders>
              <w:top w:val="nil"/>
              <w:left w:val="nil"/>
              <w:bottom w:val="single" w:sz="4" w:space="0" w:color="auto"/>
              <w:right w:val="single" w:sz="4" w:space="0" w:color="auto"/>
            </w:tcBorders>
            <w:shd w:val="clear" w:color="auto" w:fill="auto"/>
            <w:noWrap/>
            <w:vAlign w:val="bottom"/>
            <w:hideMark/>
          </w:tcPr>
          <w:p w14:paraId="7E17494A"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122 </w:t>
            </w:r>
          </w:p>
        </w:tc>
      </w:tr>
      <w:tr w:rsidR="007B3093" w14:paraId="32800080"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304D93CF"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10</w:t>
            </w:r>
          </w:p>
        </w:tc>
        <w:tc>
          <w:tcPr>
            <w:tcW w:w="3494" w:type="dxa"/>
            <w:tcBorders>
              <w:top w:val="nil"/>
              <w:left w:val="nil"/>
              <w:bottom w:val="single" w:sz="4" w:space="0" w:color="auto"/>
              <w:right w:val="single" w:sz="4" w:space="0" w:color="auto"/>
            </w:tcBorders>
            <w:shd w:val="clear" w:color="auto" w:fill="auto"/>
            <w:noWrap/>
            <w:vAlign w:val="bottom"/>
            <w:hideMark/>
          </w:tcPr>
          <w:p w14:paraId="2B2C3FAC"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ORELLANA</w:t>
            </w:r>
          </w:p>
        </w:tc>
        <w:tc>
          <w:tcPr>
            <w:tcW w:w="1595" w:type="dxa"/>
            <w:tcBorders>
              <w:top w:val="nil"/>
              <w:left w:val="nil"/>
              <w:bottom w:val="single" w:sz="4" w:space="0" w:color="auto"/>
              <w:right w:val="single" w:sz="4" w:space="0" w:color="auto"/>
            </w:tcBorders>
            <w:shd w:val="clear" w:color="auto" w:fill="auto"/>
            <w:noWrap/>
            <w:vAlign w:val="bottom"/>
            <w:hideMark/>
          </w:tcPr>
          <w:p w14:paraId="5B936A4C"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182.166,00 </w:t>
            </w:r>
          </w:p>
        </w:tc>
        <w:tc>
          <w:tcPr>
            <w:tcW w:w="1434" w:type="dxa"/>
            <w:tcBorders>
              <w:top w:val="nil"/>
              <w:left w:val="nil"/>
              <w:bottom w:val="single" w:sz="4" w:space="0" w:color="auto"/>
              <w:right w:val="single" w:sz="4" w:space="0" w:color="auto"/>
            </w:tcBorders>
            <w:shd w:val="clear" w:color="auto" w:fill="auto"/>
            <w:noWrap/>
            <w:vAlign w:val="bottom"/>
            <w:hideMark/>
          </w:tcPr>
          <w:p w14:paraId="4161C405"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55.651,02 </w:t>
            </w:r>
          </w:p>
        </w:tc>
        <w:tc>
          <w:tcPr>
            <w:tcW w:w="1275" w:type="dxa"/>
            <w:tcBorders>
              <w:top w:val="nil"/>
              <w:left w:val="nil"/>
              <w:bottom w:val="single" w:sz="4" w:space="0" w:color="auto"/>
              <w:right w:val="single" w:sz="4" w:space="0" w:color="auto"/>
            </w:tcBorders>
            <w:shd w:val="clear" w:color="auto" w:fill="auto"/>
            <w:noWrap/>
            <w:vAlign w:val="bottom"/>
            <w:hideMark/>
          </w:tcPr>
          <w:p w14:paraId="5EA9C88F"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169 </w:t>
            </w:r>
          </w:p>
        </w:tc>
      </w:tr>
      <w:tr w:rsidR="007B3093" w14:paraId="502AF56A"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739FED36"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11</w:t>
            </w:r>
          </w:p>
        </w:tc>
        <w:tc>
          <w:tcPr>
            <w:tcW w:w="3494" w:type="dxa"/>
            <w:tcBorders>
              <w:top w:val="nil"/>
              <w:left w:val="nil"/>
              <w:bottom w:val="single" w:sz="4" w:space="0" w:color="auto"/>
              <w:right w:val="single" w:sz="4" w:space="0" w:color="auto"/>
            </w:tcBorders>
            <w:shd w:val="clear" w:color="auto" w:fill="auto"/>
            <w:noWrap/>
            <w:vAlign w:val="bottom"/>
            <w:hideMark/>
          </w:tcPr>
          <w:p w14:paraId="595C3218"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LOS RIOS</w:t>
            </w:r>
          </w:p>
        </w:tc>
        <w:tc>
          <w:tcPr>
            <w:tcW w:w="1595" w:type="dxa"/>
            <w:tcBorders>
              <w:top w:val="nil"/>
              <w:left w:val="nil"/>
              <w:bottom w:val="single" w:sz="4" w:space="0" w:color="auto"/>
              <w:right w:val="single" w:sz="4" w:space="0" w:color="auto"/>
            </w:tcBorders>
            <w:shd w:val="clear" w:color="auto" w:fill="auto"/>
            <w:noWrap/>
            <w:vAlign w:val="bottom"/>
            <w:hideMark/>
          </w:tcPr>
          <w:p w14:paraId="40FA97C3"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898.652,00 </w:t>
            </w:r>
          </w:p>
        </w:tc>
        <w:tc>
          <w:tcPr>
            <w:tcW w:w="1434" w:type="dxa"/>
            <w:tcBorders>
              <w:top w:val="nil"/>
              <w:left w:val="nil"/>
              <w:bottom w:val="single" w:sz="4" w:space="0" w:color="auto"/>
              <w:right w:val="single" w:sz="4" w:space="0" w:color="auto"/>
            </w:tcBorders>
            <w:shd w:val="clear" w:color="auto" w:fill="auto"/>
            <w:noWrap/>
            <w:vAlign w:val="bottom"/>
            <w:hideMark/>
          </w:tcPr>
          <w:p w14:paraId="689CF3E5"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274.534,75 </w:t>
            </w:r>
          </w:p>
        </w:tc>
        <w:tc>
          <w:tcPr>
            <w:tcW w:w="1275" w:type="dxa"/>
            <w:tcBorders>
              <w:top w:val="nil"/>
              <w:left w:val="nil"/>
              <w:bottom w:val="single" w:sz="4" w:space="0" w:color="auto"/>
              <w:right w:val="single" w:sz="4" w:space="0" w:color="auto"/>
            </w:tcBorders>
            <w:shd w:val="clear" w:color="auto" w:fill="auto"/>
            <w:noWrap/>
            <w:vAlign w:val="bottom"/>
            <w:hideMark/>
          </w:tcPr>
          <w:p w14:paraId="68459326"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832 </w:t>
            </w:r>
          </w:p>
        </w:tc>
      </w:tr>
      <w:tr w:rsidR="007B3093" w14:paraId="3AE39026"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1B15D0D5"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12</w:t>
            </w:r>
          </w:p>
        </w:tc>
        <w:tc>
          <w:tcPr>
            <w:tcW w:w="3494" w:type="dxa"/>
            <w:tcBorders>
              <w:top w:val="nil"/>
              <w:left w:val="nil"/>
              <w:bottom w:val="single" w:sz="4" w:space="0" w:color="auto"/>
              <w:right w:val="single" w:sz="4" w:space="0" w:color="auto"/>
            </w:tcBorders>
            <w:shd w:val="clear" w:color="auto" w:fill="auto"/>
            <w:noWrap/>
            <w:vAlign w:val="bottom"/>
            <w:hideMark/>
          </w:tcPr>
          <w:p w14:paraId="2EF92F61"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TUNGURAHUA</w:t>
            </w:r>
          </w:p>
        </w:tc>
        <w:tc>
          <w:tcPr>
            <w:tcW w:w="1595" w:type="dxa"/>
            <w:tcBorders>
              <w:top w:val="nil"/>
              <w:left w:val="nil"/>
              <w:bottom w:val="single" w:sz="4" w:space="0" w:color="auto"/>
              <w:right w:val="single" w:sz="4" w:space="0" w:color="auto"/>
            </w:tcBorders>
            <w:shd w:val="clear" w:color="auto" w:fill="auto"/>
            <w:noWrap/>
            <w:vAlign w:val="bottom"/>
            <w:hideMark/>
          </w:tcPr>
          <w:p w14:paraId="289B7854"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563.532,00 </w:t>
            </w:r>
          </w:p>
        </w:tc>
        <w:tc>
          <w:tcPr>
            <w:tcW w:w="1434" w:type="dxa"/>
            <w:tcBorders>
              <w:top w:val="nil"/>
              <w:left w:val="nil"/>
              <w:bottom w:val="single" w:sz="4" w:space="0" w:color="auto"/>
              <w:right w:val="single" w:sz="4" w:space="0" w:color="auto"/>
            </w:tcBorders>
            <w:shd w:val="clear" w:color="auto" w:fill="auto"/>
            <w:noWrap/>
            <w:vAlign w:val="bottom"/>
            <w:hideMark/>
          </w:tcPr>
          <w:p w14:paraId="6F63EB0E"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172.156,87 </w:t>
            </w:r>
          </w:p>
        </w:tc>
        <w:tc>
          <w:tcPr>
            <w:tcW w:w="1275" w:type="dxa"/>
            <w:tcBorders>
              <w:top w:val="nil"/>
              <w:left w:val="nil"/>
              <w:bottom w:val="single" w:sz="4" w:space="0" w:color="auto"/>
              <w:right w:val="single" w:sz="4" w:space="0" w:color="auto"/>
            </w:tcBorders>
            <w:shd w:val="clear" w:color="auto" w:fill="auto"/>
            <w:noWrap/>
            <w:vAlign w:val="bottom"/>
            <w:hideMark/>
          </w:tcPr>
          <w:p w14:paraId="673D6F4B"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522 </w:t>
            </w:r>
          </w:p>
        </w:tc>
      </w:tr>
      <w:tr w:rsidR="007B3093" w14:paraId="14D592DC"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471DDDF7"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13</w:t>
            </w:r>
          </w:p>
        </w:tc>
        <w:tc>
          <w:tcPr>
            <w:tcW w:w="3494" w:type="dxa"/>
            <w:tcBorders>
              <w:top w:val="nil"/>
              <w:left w:val="nil"/>
              <w:bottom w:val="single" w:sz="4" w:space="0" w:color="auto"/>
              <w:right w:val="single" w:sz="4" w:space="0" w:color="auto"/>
            </w:tcBorders>
            <w:shd w:val="clear" w:color="auto" w:fill="auto"/>
            <w:noWrap/>
            <w:vAlign w:val="bottom"/>
            <w:hideMark/>
          </w:tcPr>
          <w:p w14:paraId="5FD9369A"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PASTAZA</w:t>
            </w:r>
          </w:p>
        </w:tc>
        <w:tc>
          <w:tcPr>
            <w:tcW w:w="1595" w:type="dxa"/>
            <w:tcBorders>
              <w:top w:val="nil"/>
              <w:left w:val="nil"/>
              <w:bottom w:val="single" w:sz="4" w:space="0" w:color="auto"/>
              <w:right w:val="single" w:sz="4" w:space="0" w:color="auto"/>
            </w:tcBorders>
            <w:shd w:val="clear" w:color="auto" w:fill="auto"/>
            <w:noWrap/>
            <w:vAlign w:val="bottom"/>
            <w:hideMark/>
          </w:tcPr>
          <w:p w14:paraId="2B10A509"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111.915,00 </w:t>
            </w:r>
          </w:p>
        </w:tc>
        <w:tc>
          <w:tcPr>
            <w:tcW w:w="1434" w:type="dxa"/>
            <w:tcBorders>
              <w:top w:val="nil"/>
              <w:left w:val="nil"/>
              <w:bottom w:val="single" w:sz="4" w:space="0" w:color="auto"/>
              <w:right w:val="single" w:sz="4" w:space="0" w:color="auto"/>
            </w:tcBorders>
            <w:shd w:val="clear" w:color="auto" w:fill="auto"/>
            <w:noWrap/>
            <w:vAlign w:val="bottom"/>
            <w:hideMark/>
          </w:tcPr>
          <w:p w14:paraId="3898241C"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34.189,60 </w:t>
            </w:r>
          </w:p>
        </w:tc>
        <w:tc>
          <w:tcPr>
            <w:tcW w:w="1275" w:type="dxa"/>
            <w:tcBorders>
              <w:top w:val="nil"/>
              <w:left w:val="nil"/>
              <w:bottom w:val="single" w:sz="4" w:space="0" w:color="auto"/>
              <w:right w:val="single" w:sz="4" w:space="0" w:color="auto"/>
            </w:tcBorders>
            <w:shd w:val="clear" w:color="auto" w:fill="auto"/>
            <w:noWrap/>
            <w:vAlign w:val="bottom"/>
            <w:hideMark/>
          </w:tcPr>
          <w:p w14:paraId="3FAE17D8"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104 </w:t>
            </w:r>
          </w:p>
        </w:tc>
      </w:tr>
      <w:tr w:rsidR="007B3093" w14:paraId="55ED1A08"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606FD025"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14</w:t>
            </w:r>
          </w:p>
        </w:tc>
        <w:tc>
          <w:tcPr>
            <w:tcW w:w="3494" w:type="dxa"/>
            <w:tcBorders>
              <w:top w:val="nil"/>
              <w:left w:val="nil"/>
              <w:bottom w:val="single" w:sz="4" w:space="0" w:color="auto"/>
              <w:right w:val="single" w:sz="4" w:space="0" w:color="auto"/>
            </w:tcBorders>
            <w:shd w:val="clear" w:color="auto" w:fill="auto"/>
            <w:noWrap/>
            <w:vAlign w:val="bottom"/>
            <w:hideMark/>
          </w:tcPr>
          <w:p w14:paraId="3C910D8F"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BOLIVAR</w:t>
            </w:r>
          </w:p>
        </w:tc>
        <w:tc>
          <w:tcPr>
            <w:tcW w:w="1595" w:type="dxa"/>
            <w:tcBorders>
              <w:top w:val="nil"/>
              <w:left w:val="nil"/>
              <w:bottom w:val="single" w:sz="4" w:space="0" w:color="auto"/>
              <w:right w:val="single" w:sz="4" w:space="0" w:color="auto"/>
            </w:tcBorders>
            <w:shd w:val="clear" w:color="auto" w:fill="auto"/>
            <w:noWrap/>
            <w:vAlign w:val="bottom"/>
            <w:hideMark/>
          </w:tcPr>
          <w:p w14:paraId="23C1F2EE"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199.078,00 </w:t>
            </w:r>
          </w:p>
        </w:tc>
        <w:tc>
          <w:tcPr>
            <w:tcW w:w="1434" w:type="dxa"/>
            <w:tcBorders>
              <w:top w:val="nil"/>
              <w:left w:val="nil"/>
              <w:bottom w:val="single" w:sz="4" w:space="0" w:color="auto"/>
              <w:right w:val="single" w:sz="4" w:space="0" w:color="auto"/>
            </w:tcBorders>
            <w:shd w:val="clear" w:color="auto" w:fill="auto"/>
            <w:noWrap/>
            <w:vAlign w:val="bottom"/>
            <w:hideMark/>
          </w:tcPr>
          <w:p w14:paraId="62914EFA"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60.817,57 </w:t>
            </w:r>
          </w:p>
        </w:tc>
        <w:tc>
          <w:tcPr>
            <w:tcW w:w="1275" w:type="dxa"/>
            <w:tcBorders>
              <w:top w:val="nil"/>
              <w:left w:val="nil"/>
              <w:bottom w:val="single" w:sz="4" w:space="0" w:color="auto"/>
              <w:right w:val="single" w:sz="4" w:space="0" w:color="auto"/>
            </w:tcBorders>
            <w:shd w:val="clear" w:color="auto" w:fill="auto"/>
            <w:noWrap/>
            <w:vAlign w:val="bottom"/>
            <w:hideMark/>
          </w:tcPr>
          <w:p w14:paraId="7B8FC7B3"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184 </w:t>
            </w:r>
          </w:p>
        </w:tc>
      </w:tr>
      <w:tr w:rsidR="007B3093" w14:paraId="3B549028"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040C966D"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15</w:t>
            </w:r>
          </w:p>
        </w:tc>
        <w:tc>
          <w:tcPr>
            <w:tcW w:w="3494" w:type="dxa"/>
            <w:tcBorders>
              <w:top w:val="nil"/>
              <w:left w:val="nil"/>
              <w:bottom w:val="single" w:sz="4" w:space="0" w:color="auto"/>
              <w:right w:val="single" w:sz="4" w:space="0" w:color="auto"/>
            </w:tcBorders>
            <w:shd w:val="clear" w:color="auto" w:fill="auto"/>
            <w:noWrap/>
            <w:vAlign w:val="bottom"/>
            <w:hideMark/>
          </w:tcPr>
          <w:p w14:paraId="71F38E30"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SANTA ELENA</w:t>
            </w:r>
          </w:p>
        </w:tc>
        <w:tc>
          <w:tcPr>
            <w:tcW w:w="1595" w:type="dxa"/>
            <w:tcBorders>
              <w:top w:val="nil"/>
              <w:left w:val="nil"/>
              <w:bottom w:val="single" w:sz="4" w:space="0" w:color="auto"/>
              <w:right w:val="single" w:sz="4" w:space="0" w:color="auto"/>
            </w:tcBorders>
            <w:shd w:val="clear" w:color="auto" w:fill="auto"/>
            <w:noWrap/>
            <w:vAlign w:val="bottom"/>
            <w:hideMark/>
          </w:tcPr>
          <w:p w14:paraId="27A2C94A"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385.735,00 </w:t>
            </w:r>
          </w:p>
        </w:tc>
        <w:tc>
          <w:tcPr>
            <w:tcW w:w="1434" w:type="dxa"/>
            <w:tcBorders>
              <w:top w:val="nil"/>
              <w:left w:val="nil"/>
              <w:bottom w:val="single" w:sz="4" w:space="0" w:color="auto"/>
              <w:right w:val="single" w:sz="4" w:space="0" w:color="auto"/>
            </w:tcBorders>
            <w:shd w:val="clear" w:color="auto" w:fill="auto"/>
            <w:noWrap/>
            <w:vAlign w:val="bottom"/>
            <w:hideMark/>
          </w:tcPr>
          <w:p w14:paraId="2B10ED7B"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117.840,57 </w:t>
            </w:r>
          </w:p>
        </w:tc>
        <w:tc>
          <w:tcPr>
            <w:tcW w:w="1275" w:type="dxa"/>
            <w:tcBorders>
              <w:top w:val="nil"/>
              <w:left w:val="nil"/>
              <w:bottom w:val="single" w:sz="4" w:space="0" w:color="auto"/>
              <w:right w:val="single" w:sz="4" w:space="0" w:color="auto"/>
            </w:tcBorders>
            <w:shd w:val="clear" w:color="auto" w:fill="auto"/>
            <w:noWrap/>
            <w:vAlign w:val="bottom"/>
            <w:hideMark/>
          </w:tcPr>
          <w:p w14:paraId="43735A1B"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357 </w:t>
            </w:r>
          </w:p>
        </w:tc>
      </w:tr>
      <w:tr w:rsidR="007B3093" w14:paraId="2F6FA803"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362B19E9"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16</w:t>
            </w:r>
          </w:p>
        </w:tc>
        <w:tc>
          <w:tcPr>
            <w:tcW w:w="3494" w:type="dxa"/>
            <w:tcBorders>
              <w:top w:val="nil"/>
              <w:left w:val="nil"/>
              <w:bottom w:val="single" w:sz="4" w:space="0" w:color="auto"/>
              <w:right w:val="single" w:sz="4" w:space="0" w:color="auto"/>
            </w:tcBorders>
            <w:shd w:val="clear" w:color="auto" w:fill="auto"/>
            <w:noWrap/>
            <w:vAlign w:val="bottom"/>
            <w:hideMark/>
          </w:tcPr>
          <w:p w14:paraId="2E8DCF25"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GUAYAS</w:t>
            </w:r>
          </w:p>
        </w:tc>
        <w:tc>
          <w:tcPr>
            <w:tcW w:w="1595" w:type="dxa"/>
            <w:tcBorders>
              <w:top w:val="nil"/>
              <w:left w:val="nil"/>
              <w:bottom w:val="single" w:sz="4" w:space="0" w:color="auto"/>
              <w:right w:val="single" w:sz="4" w:space="0" w:color="auto"/>
            </w:tcBorders>
            <w:shd w:val="clear" w:color="auto" w:fill="auto"/>
            <w:noWrap/>
            <w:vAlign w:val="bottom"/>
            <w:hideMark/>
          </w:tcPr>
          <w:p w14:paraId="11508D92"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4.391.923,00 </w:t>
            </w:r>
          </w:p>
        </w:tc>
        <w:tc>
          <w:tcPr>
            <w:tcW w:w="1434" w:type="dxa"/>
            <w:tcBorders>
              <w:top w:val="nil"/>
              <w:left w:val="nil"/>
              <w:bottom w:val="single" w:sz="4" w:space="0" w:color="auto"/>
              <w:right w:val="single" w:sz="4" w:space="0" w:color="auto"/>
            </w:tcBorders>
            <w:shd w:val="clear" w:color="auto" w:fill="auto"/>
            <w:noWrap/>
            <w:vAlign w:val="bottom"/>
            <w:hideMark/>
          </w:tcPr>
          <w:p w14:paraId="5A53C652"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1.341.715,69 </w:t>
            </w:r>
          </w:p>
        </w:tc>
        <w:tc>
          <w:tcPr>
            <w:tcW w:w="1275" w:type="dxa"/>
            <w:tcBorders>
              <w:top w:val="nil"/>
              <w:left w:val="nil"/>
              <w:bottom w:val="single" w:sz="4" w:space="0" w:color="auto"/>
              <w:right w:val="single" w:sz="4" w:space="0" w:color="auto"/>
            </w:tcBorders>
            <w:shd w:val="clear" w:color="auto" w:fill="auto"/>
            <w:noWrap/>
            <w:vAlign w:val="bottom"/>
            <w:hideMark/>
          </w:tcPr>
          <w:p w14:paraId="5AEC1F0A"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4.064 </w:t>
            </w:r>
          </w:p>
        </w:tc>
      </w:tr>
      <w:tr w:rsidR="007B3093" w14:paraId="1AC10BA2"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698D4BB6"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17</w:t>
            </w:r>
          </w:p>
        </w:tc>
        <w:tc>
          <w:tcPr>
            <w:tcW w:w="3494" w:type="dxa"/>
            <w:tcBorders>
              <w:top w:val="nil"/>
              <w:left w:val="nil"/>
              <w:bottom w:val="single" w:sz="4" w:space="0" w:color="auto"/>
              <w:right w:val="single" w:sz="4" w:space="0" w:color="auto"/>
            </w:tcBorders>
            <w:shd w:val="clear" w:color="auto" w:fill="auto"/>
            <w:noWrap/>
            <w:vAlign w:val="bottom"/>
            <w:hideMark/>
          </w:tcPr>
          <w:p w14:paraId="6C9E700A"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CHIMBORAZO</w:t>
            </w:r>
          </w:p>
        </w:tc>
        <w:tc>
          <w:tcPr>
            <w:tcW w:w="1595" w:type="dxa"/>
            <w:tcBorders>
              <w:top w:val="nil"/>
              <w:left w:val="nil"/>
              <w:bottom w:val="single" w:sz="4" w:space="0" w:color="auto"/>
              <w:right w:val="single" w:sz="4" w:space="0" w:color="auto"/>
            </w:tcBorders>
            <w:shd w:val="clear" w:color="auto" w:fill="auto"/>
            <w:noWrap/>
            <w:vAlign w:val="bottom"/>
            <w:hideMark/>
          </w:tcPr>
          <w:p w14:paraId="153D1131"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471.933,00 </w:t>
            </w:r>
          </w:p>
        </w:tc>
        <w:tc>
          <w:tcPr>
            <w:tcW w:w="1434" w:type="dxa"/>
            <w:tcBorders>
              <w:top w:val="nil"/>
              <w:left w:val="nil"/>
              <w:bottom w:val="single" w:sz="4" w:space="0" w:color="auto"/>
              <w:right w:val="single" w:sz="4" w:space="0" w:color="auto"/>
            </w:tcBorders>
            <w:shd w:val="clear" w:color="auto" w:fill="auto"/>
            <w:noWrap/>
            <w:vAlign w:val="bottom"/>
            <w:hideMark/>
          </w:tcPr>
          <w:p w14:paraId="62C94B75"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144.173,73 </w:t>
            </w:r>
          </w:p>
        </w:tc>
        <w:tc>
          <w:tcPr>
            <w:tcW w:w="1275" w:type="dxa"/>
            <w:tcBorders>
              <w:top w:val="nil"/>
              <w:left w:val="nil"/>
              <w:bottom w:val="single" w:sz="4" w:space="0" w:color="auto"/>
              <w:right w:val="single" w:sz="4" w:space="0" w:color="auto"/>
            </w:tcBorders>
            <w:shd w:val="clear" w:color="auto" w:fill="auto"/>
            <w:noWrap/>
            <w:vAlign w:val="bottom"/>
            <w:hideMark/>
          </w:tcPr>
          <w:p w14:paraId="5F60AC5B"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437 </w:t>
            </w:r>
          </w:p>
        </w:tc>
      </w:tr>
      <w:tr w:rsidR="007B3093" w14:paraId="5FF42D86"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7AE800E4"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18</w:t>
            </w:r>
          </w:p>
        </w:tc>
        <w:tc>
          <w:tcPr>
            <w:tcW w:w="3494" w:type="dxa"/>
            <w:tcBorders>
              <w:top w:val="nil"/>
              <w:left w:val="nil"/>
              <w:bottom w:val="single" w:sz="4" w:space="0" w:color="auto"/>
              <w:right w:val="single" w:sz="4" w:space="0" w:color="auto"/>
            </w:tcBorders>
            <w:shd w:val="clear" w:color="auto" w:fill="auto"/>
            <w:noWrap/>
            <w:vAlign w:val="bottom"/>
            <w:hideMark/>
          </w:tcPr>
          <w:p w14:paraId="31773020"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CAÑAR</w:t>
            </w:r>
          </w:p>
        </w:tc>
        <w:tc>
          <w:tcPr>
            <w:tcW w:w="1595" w:type="dxa"/>
            <w:tcBorders>
              <w:top w:val="nil"/>
              <w:left w:val="nil"/>
              <w:bottom w:val="single" w:sz="4" w:space="0" w:color="auto"/>
              <w:right w:val="single" w:sz="4" w:space="0" w:color="auto"/>
            </w:tcBorders>
            <w:shd w:val="clear" w:color="auto" w:fill="auto"/>
            <w:noWrap/>
            <w:vAlign w:val="bottom"/>
            <w:hideMark/>
          </w:tcPr>
          <w:p w14:paraId="447E1ADC"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227.578,00 </w:t>
            </w:r>
          </w:p>
        </w:tc>
        <w:tc>
          <w:tcPr>
            <w:tcW w:w="1434" w:type="dxa"/>
            <w:tcBorders>
              <w:top w:val="nil"/>
              <w:left w:val="nil"/>
              <w:bottom w:val="single" w:sz="4" w:space="0" w:color="auto"/>
              <w:right w:val="single" w:sz="4" w:space="0" w:color="auto"/>
            </w:tcBorders>
            <w:shd w:val="clear" w:color="auto" w:fill="auto"/>
            <w:noWrap/>
            <w:vAlign w:val="bottom"/>
            <w:hideMark/>
          </w:tcPr>
          <w:p w14:paraId="34D93E98"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69.524,21 </w:t>
            </w:r>
          </w:p>
        </w:tc>
        <w:tc>
          <w:tcPr>
            <w:tcW w:w="1275" w:type="dxa"/>
            <w:tcBorders>
              <w:top w:val="nil"/>
              <w:left w:val="nil"/>
              <w:bottom w:val="single" w:sz="4" w:space="0" w:color="auto"/>
              <w:right w:val="single" w:sz="4" w:space="0" w:color="auto"/>
            </w:tcBorders>
            <w:shd w:val="clear" w:color="auto" w:fill="auto"/>
            <w:noWrap/>
            <w:vAlign w:val="bottom"/>
            <w:hideMark/>
          </w:tcPr>
          <w:p w14:paraId="0D430A70"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211 </w:t>
            </w:r>
          </w:p>
        </w:tc>
      </w:tr>
      <w:tr w:rsidR="007B3093" w14:paraId="169BFA04"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3583486B"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19</w:t>
            </w:r>
          </w:p>
        </w:tc>
        <w:tc>
          <w:tcPr>
            <w:tcW w:w="3494" w:type="dxa"/>
            <w:tcBorders>
              <w:top w:val="nil"/>
              <w:left w:val="nil"/>
              <w:bottom w:val="single" w:sz="4" w:space="0" w:color="auto"/>
              <w:right w:val="single" w:sz="4" w:space="0" w:color="auto"/>
            </w:tcBorders>
            <w:shd w:val="clear" w:color="auto" w:fill="auto"/>
            <w:noWrap/>
            <w:vAlign w:val="bottom"/>
            <w:hideMark/>
          </w:tcPr>
          <w:p w14:paraId="087E0971"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MORONA SANTIAGO</w:t>
            </w:r>
          </w:p>
        </w:tc>
        <w:tc>
          <w:tcPr>
            <w:tcW w:w="1595" w:type="dxa"/>
            <w:tcBorders>
              <w:top w:val="nil"/>
              <w:left w:val="nil"/>
              <w:bottom w:val="single" w:sz="4" w:space="0" w:color="auto"/>
              <w:right w:val="single" w:sz="4" w:space="0" w:color="auto"/>
            </w:tcBorders>
            <w:shd w:val="clear" w:color="auto" w:fill="auto"/>
            <w:noWrap/>
            <w:vAlign w:val="bottom"/>
            <w:hideMark/>
          </w:tcPr>
          <w:p w14:paraId="663CDBFC"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192.508,00 </w:t>
            </w:r>
          </w:p>
        </w:tc>
        <w:tc>
          <w:tcPr>
            <w:tcW w:w="1434" w:type="dxa"/>
            <w:tcBorders>
              <w:top w:val="nil"/>
              <w:left w:val="nil"/>
              <w:bottom w:val="single" w:sz="4" w:space="0" w:color="auto"/>
              <w:right w:val="single" w:sz="4" w:space="0" w:color="auto"/>
            </w:tcBorders>
            <w:shd w:val="clear" w:color="auto" w:fill="auto"/>
            <w:noWrap/>
            <w:vAlign w:val="bottom"/>
            <w:hideMark/>
          </w:tcPr>
          <w:p w14:paraId="47D04BA1"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58.810,46 </w:t>
            </w:r>
          </w:p>
        </w:tc>
        <w:tc>
          <w:tcPr>
            <w:tcW w:w="1275" w:type="dxa"/>
            <w:tcBorders>
              <w:top w:val="nil"/>
              <w:left w:val="nil"/>
              <w:bottom w:val="single" w:sz="4" w:space="0" w:color="auto"/>
              <w:right w:val="single" w:sz="4" w:space="0" w:color="auto"/>
            </w:tcBorders>
            <w:shd w:val="clear" w:color="auto" w:fill="auto"/>
            <w:noWrap/>
            <w:vAlign w:val="bottom"/>
            <w:hideMark/>
          </w:tcPr>
          <w:p w14:paraId="1CF24DB6"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178 </w:t>
            </w:r>
          </w:p>
        </w:tc>
      </w:tr>
      <w:tr w:rsidR="007B3093" w14:paraId="582D481F"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78D31616"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20</w:t>
            </w:r>
          </w:p>
        </w:tc>
        <w:tc>
          <w:tcPr>
            <w:tcW w:w="3494" w:type="dxa"/>
            <w:tcBorders>
              <w:top w:val="nil"/>
              <w:left w:val="nil"/>
              <w:bottom w:val="single" w:sz="4" w:space="0" w:color="auto"/>
              <w:right w:val="single" w:sz="4" w:space="0" w:color="auto"/>
            </w:tcBorders>
            <w:shd w:val="clear" w:color="auto" w:fill="auto"/>
            <w:noWrap/>
            <w:vAlign w:val="bottom"/>
            <w:hideMark/>
          </w:tcPr>
          <w:p w14:paraId="55033164"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AZUAY</w:t>
            </w:r>
          </w:p>
        </w:tc>
        <w:tc>
          <w:tcPr>
            <w:tcW w:w="1595" w:type="dxa"/>
            <w:tcBorders>
              <w:top w:val="nil"/>
              <w:left w:val="nil"/>
              <w:bottom w:val="single" w:sz="4" w:space="0" w:color="auto"/>
              <w:right w:val="single" w:sz="4" w:space="0" w:color="auto"/>
            </w:tcBorders>
            <w:shd w:val="clear" w:color="auto" w:fill="auto"/>
            <w:noWrap/>
            <w:vAlign w:val="bottom"/>
            <w:hideMark/>
          </w:tcPr>
          <w:p w14:paraId="768ABCA4"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801.609,00 </w:t>
            </w:r>
          </w:p>
        </w:tc>
        <w:tc>
          <w:tcPr>
            <w:tcW w:w="1434" w:type="dxa"/>
            <w:tcBorders>
              <w:top w:val="nil"/>
              <w:left w:val="nil"/>
              <w:bottom w:val="single" w:sz="4" w:space="0" w:color="auto"/>
              <w:right w:val="single" w:sz="4" w:space="0" w:color="auto"/>
            </w:tcBorders>
            <w:shd w:val="clear" w:color="auto" w:fill="auto"/>
            <w:noWrap/>
            <w:vAlign w:val="bottom"/>
            <w:hideMark/>
          </w:tcPr>
          <w:p w14:paraId="4373CE53"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244.888,49 </w:t>
            </w:r>
          </w:p>
        </w:tc>
        <w:tc>
          <w:tcPr>
            <w:tcW w:w="1275" w:type="dxa"/>
            <w:tcBorders>
              <w:top w:val="nil"/>
              <w:left w:val="nil"/>
              <w:bottom w:val="single" w:sz="4" w:space="0" w:color="auto"/>
              <w:right w:val="single" w:sz="4" w:space="0" w:color="auto"/>
            </w:tcBorders>
            <w:shd w:val="clear" w:color="auto" w:fill="auto"/>
            <w:noWrap/>
            <w:vAlign w:val="bottom"/>
            <w:hideMark/>
          </w:tcPr>
          <w:p w14:paraId="4CBF0B9C"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742 </w:t>
            </w:r>
          </w:p>
        </w:tc>
      </w:tr>
      <w:tr w:rsidR="007B3093" w14:paraId="7B1EBDEA"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5C34AF0B"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21</w:t>
            </w:r>
          </w:p>
        </w:tc>
        <w:tc>
          <w:tcPr>
            <w:tcW w:w="3494" w:type="dxa"/>
            <w:tcBorders>
              <w:top w:val="nil"/>
              <w:left w:val="nil"/>
              <w:bottom w:val="single" w:sz="4" w:space="0" w:color="auto"/>
              <w:right w:val="single" w:sz="4" w:space="0" w:color="auto"/>
            </w:tcBorders>
            <w:shd w:val="clear" w:color="auto" w:fill="auto"/>
            <w:noWrap/>
            <w:vAlign w:val="bottom"/>
            <w:hideMark/>
          </w:tcPr>
          <w:p w14:paraId="6C2C1468"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EL ORO</w:t>
            </w:r>
          </w:p>
        </w:tc>
        <w:tc>
          <w:tcPr>
            <w:tcW w:w="1595" w:type="dxa"/>
            <w:tcBorders>
              <w:top w:val="nil"/>
              <w:left w:val="nil"/>
              <w:bottom w:val="single" w:sz="4" w:space="0" w:color="auto"/>
              <w:right w:val="single" w:sz="4" w:space="0" w:color="auto"/>
            </w:tcBorders>
            <w:shd w:val="clear" w:color="auto" w:fill="auto"/>
            <w:noWrap/>
            <w:vAlign w:val="bottom"/>
            <w:hideMark/>
          </w:tcPr>
          <w:p w14:paraId="7217CAB2"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714.592,00 </w:t>
            </w:r>
          </w:p>
        </w:tc>
        <w:tc>
          <w:tcPr>
            <w:tcW w:w="1434" w:type="dxa"/>
            <w:tcBorders>
              <w:top w:val="nil"/>
              <w:left w:val="nil"/>
              <w:bottom w:val="single" w:sz="4" w:space="0" w:color="auto"/>
              <w:right w:val="single" w:sz="4" w:space="0" w:color="auto"/>
            </w:tcBorders>
            <w:shd w:val="clear" w:color="auto" w:fill="auto"/>
            <w:noWrap/>
            <w:vAlign w:val="bottom"/>
            <w:hideMark/>
          </w:tcPr>
          <w:p w14:paraId="15C804AE"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218.305,13 </w:t>
            </w:r>
          </w:p>
        </w:tc>
        <w:tc>
          <w:tcPr>
            <w:tcW w:w="1275" w:type="dxa"/>
            <w:tcBorders>
              <w:top w:val="nil"/>
              <w:left w:val="nil"/>
              <w:bottom w:val="single" w:sz="4" w:space="0" w:color="auto"/>
              <w:right w:val="single" w:sz="4" w:space="0" w:color="auto"/>
            </w:tcBorders>
            <w:shd w:val="clear" w:color="auto" w:fill="auto"/>
            <w:noWrap/>
            <w:vAlign w:val="bottom"/>
            <w:hideMark/>
          </w:tcPr>
          <w:p w14:paraId="35683DFC"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661 </w:t>
            </w:r>
          </w:p>
        </w:tc>
      </w:tr>
      <w:tr w:rsidR="007B3093" w14:paraId="5AEEBDB3"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6568C440"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22</w:t>
            </w:r>
          </w:p>
        </w:tc>
        <w:tc>
          <w:tcPr>
            <w:tcW w:w="3494" w:type="dxa"/>
            <w:tcBorders>
              <w:top w:val="nil"/>
              <w:left w:val="nil"/>
              <w:bottom w:val="single" w:sz="4" w:space="0" w:color="auto"/>
              <w:right w:val="single" w:sz="4" w:space="0" w:color="auto"/>
            </w:tcBorders>
            <w:shd w:val="clear" w:color="auto" w:fill="auto"/>
            <w:noWrap/>
            <w:vAlign w:val="bottom"/>
            <w:hideMark/>
          </w:tcPr>
          <w:p w14:paraId="7F3DAA08"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LOJA</w:t>
            </w:r>
          </w:p>
        </w:tc>
        <w:tc>
          <w:tcPr>
            <w:tcW w:w="1595" w:type="dxa"/>
            <w:tcBorders>
              <w:top w:val="nil"/>
              <w:left w:val="nil"/>
              <w:bottom w:val="single" w:sz="4" w:space="0" w:color="auto"/>
              <w:right w:val="single" w:sz="4" w:space="0" w:color="auto"/>
            </w:tcBorders>
            <w:shd w:val="clear" w:color="auto" w:fill="auto"/>
            <w:noWrap/>
            <w:vAlign w:val="bottom"/>
            <w:hideMark/>
          </w:tcPr>
          <w:p w14:paraId="7BB0EC7D"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485.421,00 </w:t>
            </w:r>
          </w:p>
        </w:tc>
        <w:tc>
          <w:tcPr>
            <w:tcW w:w="1434" w:type="dxa"/>
            <w:tcBorders>
              <w:top w:val="nil"/>
              <w:left w:val="nil"/>
              <w:bottom w:val="single" w:sz="4" w:space="0" w:color="auto"/>
              <w:right w:val="single" w:sz="4" w:space="0" w:color="auto"/>
            </w:tcBorders>
            <w:shd w:val="clear" w:color="auto" w:fill="auto"/>
            <w:noWrap/>
            <w:vAlign w:val="bottom"/>
            <w:hideMark/>
          </w:tcPr>
          <w:p w14:paraId="4D6D73B7"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148.294,26 </w:t>
            </w:r>
          </w:p>
        </w:tc>
        <w:tc>
          <w:tcPr>
            <w:tcW w:w="1275" w:type="dxa"/>
            <w:tcBorders>
              <w:top w:val="nil"/>
              <w:left w:val="nil"/>
              <w:bottom w:val="single" w:sz="4" w:space="0" w:color="auto"/>
              <w:right w:val="single" w:sz="4" w:space="0" w:color="auto"/>
            </w:tcBorders>
            <w:shd w:val="clear" w:color="auto" w:fill="auto"/>
            <w:noWrap/>
            <w:vAlign w:val="bottom"/>
            <w:hideMark/>
          </w:tcPr>
          <w:p w14:paraId="7AFD1A81"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449 </w:t>
            </w:r>
          </w:p>
        </w:tc>
      </w:tr>
      <w:tr w:rsidR="007B3093" w14:paraId="7E61FB68"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13F0592B"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23</w:t>
            </w:r>
          </w:p>
        </w:tc>
        <w:tc>
          <w:tcPr>
            <w:tcW w:w="3494" w:type="dxa"/>
            <w:tcBorders>
              <w:top w:val="nil"/>
              <w:left w:val="nil"/>
              <w:bottom w:val="single" w:sz="4" w:space="0" w:color="auto"/>
              <w:right w:val="single" w:sz="4" w:space="0" w:color="auto"/>
            </w:tcBorders>
            <w:shd w:val="clear" w:color="auto" w:fill="auto"/>
            <w:noWrap/>
            <w:vAlign w:val="bottom"/>
            <w:hideMark/>
          </w:tcPr>
          <w:p w14:paraId="069971A2"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ZAMORA CHINCHIPE</w:t>
            </w:r>
          </w:p>
        </w:tc>
        <w:tc>
          <w:tcPr>
            <w:tcW w:w="1595" w:type="dxa"/>
            <w:tcBorders>
              <w:top w:val="nil"/>
              <w:left w:val="nil"/>
              <w:bottom w:val="single" w:sz="4" w:space="0" w:color="auto"/>
              <w:right w:val="single" w:sz="4" w:space="0" w:color="auto"/>
            </w:tcBorders>
            <w:shd w:val="clear" w:color="auto" w:fill="auto"/>
            <w:noWrap/>
            <w:vAlign w:val="bottom"/>
            <w:hideMark/>
          </w:tcPr>
          <w:p w14:paraId="47A9115E"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110.973,00 </w:t>
            </w:r>
          </w:p>
        </w:tc>
        <w:tc>
          <w:tcPr>
            <w:tcW w:w="1434" w:type="dxa"/>
            <w:tcBorders>
              <w:top w:val="nil"/>
              <w:left w:val="nil"/>
              <w:bottom w:val="single" w:sz="4" w:space="0" w:color="auto"/>
              <w:right w:val="single" w:sz="4" w:space="0" w:color="auto"/>
            </w:tcBorders>
            <w:shd w:val="clear" w:color="auto" w:fill="auto"/>
            <w:noWrap/>
            <w:vAlign w:val="bottom"/>
            <w:hideMark/>
          </w:tcPr>
          <w:p w14:paraId="3C0C21DC"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33.901,83 </w:t>
            </w:r>
          </w:p>
        </w:tc>
        <w:tc>
          <w:tcPr>
            <w:tcW w:w="1275" w:type="dxa"/>
            <w:tcBorders>
              <w:top w:val="nil"/>
              <w:left w:val="nil"/>
              <w:bottom w:val="single" w:sz="4" w:space="0" w:color="auto"/>
              <w:right w:val="single" w:sz="4" w:space="0" w:color="auto"/>
            </w:tcBorders>
            <w:shd w:val="clear" w:color="auto" w:fill="auto"/>
            <w:noWrap/>
            <w:vAlign w:val="bottom"/>
            <w:hideMark/>
          </w:tcPr>
          <w:p w14:paraId="387BBF2D"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103 </w:t>
            </w:r>
          </w:p>
        </w:tc>
      </w:tr>
      <w:tr w:rsidR="007B3093" w14:paraId="574AA7C4" w14:textId="77777777">
        <w:trPr>
          <w:trHeight w:val="74"/>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0FF6D1BA" w14:textId="77777777" w:rsidR="007B3093" w:rsidRDefault="00000000">
            <w:pPr>
              <w:spacing w:after="0" w:line="240" w:lineRule="auto"/>
              <w:jc w:val="center"/>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24</w:t>
            </w:r>
          </w:p>
        </w:tc>
        <w:tc>
          <w:tcPr>
            <w:tcW w:w="3494" w:type="dxa"/>
            <w:tcBorders>
              <w:top w:val="nil"/>
              <w:left w:val="nil"/>
              <w:bottom w:val="single" w:sz="4" w:space="0" w:color="auto"/>
              <w:right w:val="single" w:sz="4" w:space="0" w:color="auto"/>
            </w:tcBorders>
            <w:shd w:val="clear" w:color="auto" w:fill="auto"/>
            <w:noWrap/>
            <w:vAlign w:val="bottom"/>
            <w:hideMark/>
          </w:tcPr>
          <w:p w14:paraId="0AD87350" w14:textId="77777777" w:rsidR="007B3093" w:rsidRDefault="00000000">
            <w:pPr>
              <w:spacing w:after="0" w:line="240" w:lineRule="auto"/>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GALAPAGOS</w:t>
            </w:r>
          </w:p>
        </w:tc>
        <w:tc>
          <w:tcPr>
            <w:tcW w:w="1595" w:type="dxa"/>
            <w:tcBorders>
              <w:top w:val="nil"/>
              <w:left w:val="nil"/>
              <w:bottom w:val="single" w:sz="4" w:space="0" w:color="auto"/>
              <w:right w:val="single" w:sz="4" w:space="0" w:color="auto"/>
            </w:tcBorders>
            <w:shd w:val="clear" w:color="auto" w:fill="auto"/>
            <w:noWrap/>
            <w:vAlign w:val="bottom"/>
            <w:hideMark/>
          </w:tcPr>
          <w:p w14:paraId="2CCC7405"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28.583,00 </w:t>
            </w:r>
          </w:p>
        </w:tc>
        <w:tc>
          <w:tcPr>
            <w:tcW w:w="1434" w:type="dxa"/>
            <w:tcBorders>
              <w:top w:val="nil"/>
              <w:left w:val="nil"/>
              <w:bottom w:val="single" w:sz="4" w:space="0" w:color="auto"/>
              <w:right w:val="single" w:sz="4" w:space="0" w:color="auto"/>
            </w:tcBorders>
            <w:shd w:val="clear" w:color="auto" w:fill="auto"/>
            <w:noWrap/>
            <w:vAlign w:val="bottom"/>
            <w:hideMark/>
          </w:tcPr>
          <w:p w14:paraId="3A8BA0E2"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8.732,00 </w:t>
            </w:r>
          </w:p>
        </w:tc>
        <w:tc>
          <w:tcPr>
            <w:tcW w:w="1275" w:type="dxa"/>
            <w:tcBorders>
              <w:top w:val="nil"/>
              <w:left w:val="nil"/>
              <w:bottom w:val="single" w:sz="4" w:space="0" w:color="auto"/>
              <w:right w:val="single" w:sz="4" w:space="0" w:color="auto"/>
            </w:tcBorders>
            <w:shd w:val="clear" w:color="auto" w:fill="auto"/>
            <w:noWrap/>
            <w:vAlign w:val="bottom"/>
            <w:hideMark/>
          </w:tcPr>
          <w:p w14:paraId="19A7D95E" w14:textId="77777777" w:rsidR="007B3093" w:rsidRDefault="00000000">
            <w:pPr>
              <w:spacing w:after="0" w:line="240" w:lineRule="auto"/>
              <w:jc w:val="right"/>
              <w:rPr>
                <w:rFonts w:ascii="Aptos Narrow" w:eastAsia="Times New Roman" w:hAnsi="Aptos Narrow" w:cs="Times New Roman"/>
                <w:color w:val="000000"/>
                <w:sz w:val="18"/>
                <w:szCs w:val="20"/>
                <w:lang w:eastAsia="es-EC"/>
              </w:rPr>
            </w:pPr>
            <w:r>
              <w:rPr>
                <w:rFonts w:ascii="Aptos Narrow" w:eastAsia="Times New Roman" w:hAnsi="Aptos Narrow" w:cs="Times New Roman"/>
                <w:color w:val="000000"/>
                <w:sz w:val="18"/>
                <w:szCs w:val="20"/>
                <w:lang w:eastAsia="es-EC"/>
              </w:rPr>
              <w:t xml:space="preserve">                         26 </w:t>
            </w:r>
          </w:p>
        </w:tc>
      </w:tr>
      <w:tr w:rsidR="007B3093" w14:paraId="6B6FF174" w14:textId="77777777">
        <w:trPr>
          <w:trHeight w:val="105"/>
        </w:trPr>
        <w:tc>
          <w:tcPr>
            <w:tcW w:w="4461" w:type="dxa"/>
            <w:gridSpan w:val="2"/>
            <w:tcBorders>
              <w:top w:val="single" w:sz="4" w:space="0" w:color="auto"/>
              <w:left w:val="single" w:sz="4" w:space="0" w:color="auto"/>
              <w:bottom w:val="single" w:sz="4" w:space="0" w:color="auto"/>
              <w:right w:val="single" w:sz="4" w:space="0" w:color="000000"/>
            </w:tcBorders>
            <w:shd w:val="clear" w:color="000000" w:fill="104861"/>
            <w:noWrap/>
            <w:vAlign w:val="bottom"/>
            <w:hideMark/>
          </w:tcPr>
          <w:p w14:paraId="6612E204" w14:textId="77777777" w:rsidR="007B3093" w:rsidRDefault="00000000">
            <w:pPr>
              <w:spacing w:after="0" w:line="240" w:lineRule="auto"/>
              <w:jc w:val="center"/>
              <w:rPr>
                <w:rFonts w:ascii="Aptos Narrow" w:eastAsia="Times New Roman" w:hAnsi="Aptos Narrow" w:cs="Times New Roman"/>
                <w:b/>
                <w:bCs/>
                <w:color w:val="FFFFFF"/>
                <w:sz w:val="18"/>
                <w:szCs w:val="20"/>
                <w:lang w:eastAsia="es-EC"/>
              </w:rPr>
            </w:pPr>
            <w:r>
              <w:rPr>
                <w:rFonts w:ascii="Aptos Narrow" w:eastAsia="Times New Roman" w:hAnsi="Aptos Narrow" w:cs="Times New Roman"/>
                <w:b/>
                <w:bCs/>
                <w:color w:val="FFFFFF"/>
                <w:sz w:val="18"/>
                <w:szCs w:val="20"/>
                <w:lang w:eastAsia="es-EC"/>
              </w:rPr>
              <w:t>TOTALES:</w:t>
            </w:r>
          </w:p>
        </w:tc>
        <w:tc>
          <w:tcPr>
            <w:tcW w:w="1595" w:type="dxa"/>
            <w:tcBorders>
              <w:top w:val="nil"/>
              <w:left w:val="nil"/>
              <w:bottom w:val="single" w:sz="4" w:space="0" w:color="auto"/>
              <w:right w:val="single" w:sz="4" w:space="0" w:color="auto"/>
            </w:tcBorders>
            <w:shd w:val="clear" w:color="000000" w:fill="104861"/>
            <w:noWrap/>
            <w:vAlign w:val="bottom"/>
            <w:hideMark/>
          </w:tcPr>
          <w:p w14:paraId="7D75AF28" w14:textId="77777777" w:rsidR="007B3093" w:rsidRDefault="00000000">
            <w:pPr>
              <w:spacing w:after="0" w:line="240" w:lineRule="auto"/>
              <w:jc w:val="right"/>
              <w:rPr>
                <w:rFonts w:ascii="Aptos Narrow" w:eastAsia="Times New Roman" w:hAnsi="Aptos Narrow" w:cs="Times New Roman"/>
                <w:b/>
                <w:bCs/>
                <w:color w:val="FFFFFF"/>
                <w:sz w:val="18"/>
                <w:szCs w:val="20"/>
                <w:lang w:eastAsia="es-EC"/>
              </w:rPr>
            </w:pPr>
            <w:r>
              <w:rPr>
                <w:rFonts w:ascii="Aptos Narrow" w:eastAsia="Times New Roman" w:hAnsi="Aptos Narrow" w:cs="Times New Roman"/>
                <w:b/>
                <w:bCs/>
                <w:color w:val="FFFFFF"/>
                <w:sz w:val="18"/>
                <w:szCs w:val="20"/>
                <w:lang w:eastAsia="es-EC"/>
              </w:rPr>
              <w:t xml:space="preserve">   16.938.986,00 </w:t>
            </w:r>
          </w:p>
        </w:tc>
        <w:tc>
          <w:tcPr>
            <w:tcW w:w="1434" w:type="dxa"/>
            <w:tcBorders>
              <w:top w:val="nil"/>
              <w:left w:val="nil"/>
              <w:bottom w:val="single" w:sz="4" w:space="0" w:color="auto"/>
              <w:right w:val="single" w:sz="4" w:space="0" w:color="auto"/>
            </w:tcBorders>
            <w:shd w:val="clear" w:color="000000" w:fill="104861"/>
            <w:noWrap/>
            <w:vAlign w:val="bottom"/>
            <w:hideMark/>
          </w:tcPr>
          <w:p w14:paraId="26CD8D77" w14:textId="77777777" w:rsidR="007B3093" w:rsidRDefault="00000000">
            <w:pPr>
              <w:spacing w:after="0" w:line="240" w:lineRule="auto"/>
              <w:jc w:val="right"/>
              <w:rPr>
                <w:rFonts w:ascii="Aptos Narrow" w:eastAsia="Times New Roman" w:hAnsi="Aptos Narrow" w:cs="Times New Roman"/>
                <w:b/>
                <w:bCs/>
                <w:color w:val="FFFFFF"/>
                <w:sz w:val="18"/>
                <w:szCs w:val="20"/>
                <w:lang w:eastAsia="es-EC"/>
              </w:rPr>
            </w:pPr>
            <w:r>
              <w:rPr>
                <w:rFonts w:ascii="Aptos Narrow" w:eastAsia="Times New Roman" w:hAnsi="Aptos Narrow" w:cs="Times New Roman"/>
                <w:b/>
                <w:bCs/>
                <w:color w:val="FFFFFF"/>
                <w:sz w:val="18"/>
                <w:szCs w:val="20"/>
                <w:lang w:eastAsia="es-EC"/>
              </w:rPr>
              <w:t xml:space="preserve"> 5.174.795,49 </w:t>
            </w:r>
          </w:p>
        </w:tc>
        <w:tc>
          <w:tcPr>
            <w:tcW w:w="1275" w:type="dxa"/>
            <w:tcBorders>
              <w:top w:val="nil"/>
              <w:left w:val="nil"/>
              <w:bottom w:val="single" w:sz="4" w:space="0" w:color="auto"/>
              <w:right w:val="single" w:sz="4" w:space="0" w:color="auto"/>
            </w:tcBorders>
            <w:shd w:val="clear" w:color="000000" w:fill="104861"/>
            <w:noWrap/>
            <w:vAlign w:val="bottom"/>
            <w:hideMark/>
          </w:tcPr>
          <w:p w14:paraId="36B8D27E" w14:textId="77777777" w:rsidR="007B3093" w:rsidRDefault="00000000">
            <w:pPr>
              <w:spacing w:after="0" w:line="240" w:lineRule="auto"/>
              <w:jc w:val="right"/>
              <w:rPr>
                <w:rFonts w:ascii="Aptos Narrow" w:eastAsia="Times New Roman" w:hAnsi="Aptos Narrow" w:cs="Times New Roman"/>
                <w:b/>
                <w:bCs/>
                <w:color w:val="FFFFFF"/>
                <w:sz w:val="18"/>
                <w:szCs w:val="20"/>
                <w:lang w:eastAsia="es-EC"/>
              </w:rPr>
            </w:pPr>
            <w:r>
              <w:rPr>
                <w:rFonts w:ascii="Aptos Narrow" w:eastAsia="Times New Roman" w:hAnsi="Aptos Narrow" w:cs="Times New Roman"/>
                <w:b/>
                <w:bCs/>
                <w:color w:val="FFFFFF"/>
                <w:sz w:val="18"/>
                <w:szCs w:val="20"/>
                <w:lang w:eastAsia="es-EC"/>
              </w:rPr>
              <w:t xml:space="preserve">               15.676 </w:t>
            </w:r>
          </w:p>
        </w:tc>
      </w:tr>
    </w:tbl>
    <w:p w14:paraId="408EEC7F" w14:textId="77777777" w:rsidR="007B3093" w:rsidRDefault="00000000">
      <w:pPr>
        <w:autoSpaceDE w:val="0"/>
        <w:autoSpaceDN w:val="0"/>
        <w:adjustRightInd w:val="0"/>
        <w:spacing w:after="0" w:line="360" w:lineRule="auto"/>
        <w:jc w:val="center"/>
        <w:rPr>
          <w:rFonts w:cstheme="minorHAnsi"/>
          <w:b/>
          <w:bCs/>
          <w:lang w:eastAsia="es-EC"/>
        </w:rPr>
      </w:pPr>
      <w:r>
        <w:rPr>
          <w:rFonts w:cstheme="minorHAnsi"/>
          <w:b/>
          <w:bCs/>
          <w:lang w:eastAsia="es-EC"/>
        </w:rPr>
        <w:t>Tabla 12: Inversión a nivel de territorio.</w:t>
      </w:r>
    </w:p>
    <w:p w14:paraId="461399A1" w14:textId="77777777" w:rsidR="007B3093" w:rsidRDefault="00000000">
      <w:pPr>
        <w:autoSpaceDE w:val="0"/>
        <w:autoSpaceDN w:val="0"/>
        <w:adjustRightInd w:val="0"/>
        <w:spacing w:after="0" w:line="360" w:lineRule="auto"/>
        <w:ind w:firstLine="708"/>
        <w:rPr>
          <w:rFonts w:cstheme="minorHAnsi"/>
          <w:sz w:val="18"/>
          <w:szCs w:val="18"/>
          <w:lang w:eastAsia="es-EC"/>
        </w:rPr>
      </w:pPr>
      <w:r>
        <w:rPr>
          <w:rFonts w:cstheme="minorHAnsi"/>
          <w:sz w:val="18"/>
          <w:szCs w:val="18"/>
          <w:lang w:eastAsia="es-EC"/>
        </w:rPr>
        <w:lastRenderedPageBreak/>
        <w:t xml:space="preserve">     Fuente: INEC - CENSO 2022.</w:t>
      </w:r>
    </w:p>
    <w:p w14:paraId="78F998FD" w14:textId="77777777" w:rsidR="007B3093" w:rsidRDefault="00000000">
      <w:pPr>
        <w:autoSpaceDE w:val="0"/>
        <w:autoSpaceDN w:val="0"/>
        <w:adjustRightInd w:val="0"/>
        <w:spacing w:after="0" w:line="360" w:lineRule="auto"/>
        <w:ind w:firstLine="708"/>
        <w:rPr>
          <w:rFonts w:cstheme="minorHAnsi"/>
          <w:sz w:val="18"/>
          <w:szCs w:val="18"/>
          <w:lang w:eastAsia="es-EC"/>
        </w:rPr>
      </w:pPr>
      <w:r>
        <w:rPr>
          <w:rFonts w:cstheme="minorHAnsi"/>
          <w:sz w:val="18"/>
          <w:szCs w:val="18"/>
          <w:lang w:eastAsia="es-EC"/>
        </w:rPr>
        <w:t xml:space="preserve">     Elaboración: EDG PROFIP</w:t>
      </w:r>
    </w:p>
    <w:p w14:paraId="1A6F2A82" w14:textId="77777777" w:rsidR="007B3093" w:rsidRDefault="007B3093">
      <w:pPr>
        <w:spacing w:after="0" w:line="360" w:lineRule="auto"/>
        <w:jc w:val="center"/>
        <w:rPr>
          <w:rFonts w:cstheme="minorHAnsi"/>
          <w:b/>
        </w:rPr>
      </w:pPr>
    </w:p>
    <w:p w14:paraId="35BE75CC" w14:textId="77777777" w:rsidR="007B3093" w:rsidRDefault="00000000">
      <w:pPr>
        <w:pStyle w:val="Ttulo2"/>
        <w:numPr>
          <w:ilvl w:val="0"/>
          <w:numId w:val="93"/>
        </w:numPr>
        <w:spacing w:before="0" w:line="360" w:lineRule="auto"/>
        <w:rPr>
          <w:rFonts w:asciiTheme="minorHAnsi" w:hAnsiTheme="minorHAnsi" w:cstheme="minorHAnsi"/>
          <w:b/>
          <w:color w:val="auto"/>
          <w:sz w:val="22"/>
          <w:szCs w:val="22"/>
          <w:lang w:eastAsia="es-EC"/>
        </w:rPr>
      </w:pPr>
      <w:bookmarkStart w:id="25" w:name="_Toc195010056"/>
      <w:r>
        <w:rPr>
          <w:rFonts w:asciiTheme="minorHAnsi" w:hAnsiTheme="minorHAnsi" w:cstheme="minorHAnsi"/>
          <w:b/>
          <w:color w:val="auto"/>
          <w:sz w:val="22"/>
          <w:szCs w:val="22"/>
          <w:lang w:eastAsia="es-EC"/>
        </w:rPr>
        <w:t>ARTICULACIÓN CON LA PLANIFICACIÓN</w:t>
      </w:r>
      <w:bookmarkEnd w:id="25"/>
    </w:p>
    <w:p w14:paraId="66B9F244" w14:textId="77777777" w:rsidR="007B3093" w:rsidRDefault="00000000">
      <w:pPr>
        <w:pStyle w:val="Ttulo2"/>
        <w:numPr>
          <w:ilvl w:val="1"/>
          <w:numId w:val="93"/>
        </w:numPr>
        <w:spacing w:before="0" w:line="360" w:lineRule="auto"/>
        <w:ind w:left="709" w:hanging="556"/>
        <w:rPr>
          <w:rFonts w:asciiTheme="minorHAnsi" w:hAnsiTheme="minorHAnsi" w:cstheme="minorHAnsi"/>
          <w:b/>
          <w:color w:val="auto"/>
          <w:sz w:val="22"/>
          <w:szCs w:val="22"/>
          <w:lang w:eastAsia="es-EC"/>
        </w:rPr>
      </w:pPr>
      <w:bookmarkStart w:id="26" w:name="_Toc195010057"/>
      <w:r>
        <w:rPr>
          <w:rFonts w:asciiTheme="minorHAnsi" w:hAnsiTheme="minorHAnsi" w:cstheme="minorHAnsi"/>
          <w:b/>
          <w:color w:val="auto"/>
          <w:sz w:val="22"/>
          <w:szCs w:val="22"/>
          <w:lang w:eastAsia="es-EC"/>
        </w:rPr>
        <w:t>Alineación objetivo estratégico institucional.</w:t>
      </w:r>
      <w:bookmarkEnd w:id="26"/>
    </w:p>
    <w:p w14:paraId="06900EC5" w14:textId="77777777" w:rsidR="007B3093" w:rsidRDefault="00000000">
      <w:pPr>
        <w:pStyle w:val="Prrafodelista"/>
        <w:spacing w:before="120" w:after="120" w:line="360" w:lineRule="auto"/>
        <w:ind w:left="142"/>
        <w:contextualSpacing w:val="0"/>
        <w:jc w:val="both"/>
      </w:pPr>
      <w:r>
        <w:rPr>
          <w:rFonts w:cstheme="minorHAnsi"/>
        </w:rPr>
        <w:t>La articulación que el presente proyecto de inversión tiene a la planificación institucional de la Procuraduría General del Estado se presenta a continuación:</w:t>
      </w:r>
    </w:p>
    <w:p w14:paraId="5F935CE7" w14:textId="77777777" w:rsidR="007B3093" w:rsidRDefault="00000000">
      <w:pPr>
        <w:tabs>
          <w:tab w:val="left" w:pos="-1440"/>
        </w:tabs>
        <w:spacing w:after="0" w:line="360" w:lineRule="auto"/>
        <w:jc w:val="center"/>
        <w:rPr>
          <w:rFonts w:cstheme="minorHAnsi"/>
          <w:b/>
        </w:rPr>
      </w:pPr>
      <w:r>
        <w:rPr>
          <w:rFonts w:cstheme="minorHAnsi"/>
          <w:b/>
        </w:rPr>
        <w:t>Tabla 13: Articulación del proyecto con la Política Pública y el PND</w:t>
      </w:r>
    </w:p>
    <w:tbl>
      <w:tblPr>
        <w:tblpPr w:leftFromText="180" w:rightFromText="180" w:vertAnchor="text" w:horzAnchor="margin" w:tblpXSpec="center" w:tblpY="84"/>
        <w:tblW w:w="6132" w:type="pct"/>
        <w:tblLook w:val="04A0" w:firstRow="1" w:lastRow="0" w:firstColumn="1" w:lastColumn="0" w:noHBand="0" w:noVBand="1"/>
      </w:tblPr>
      <w:tblGrid>
        <w:gridCol w:w="452"/>
        <w:gridCol w:w="1190"/>
        <w:gridCol w:w="1462"/>
        <w:gridCol w:w="1477"/>
        <w:gridCol w:w="290"/>
        <w:gridCol w:w="222"/>
        <w:gridCol w:w="2553"/>
        <w:gridCol w:w="1381"/>
        <w:gridCol w:w="1402"/>
      </w:tblGrid>
      <w:tr w:rsidR="007B3093" w14:paraId="2580E6F2" w14:textId="77777777">
        <w:trPr>
          <w:trHeight w:val="99"/>
        </w:trPr>
        <w:tc>
          <w:tcPr>
            <w:tcW w:w="2198" w:type="pct"/>
            <w:gridSpan w:val="4"/>
            <w:tcBorders>
              <w:top w:val="single" w:sz="8" w:space="0" w:color="4472C4"/>
              <w:left w:val="nil"/>
              <w:bottom w:val="single" w:sz="8" w:space="0" w:color="4472C4"/>
              <w:right w:val="nil"/>
            </w:tcBorders>
            <w:shd w:val="clear" w:color="auto" w:fill="auto"/>
            <w:vAlign w:val="center"/>
            <w:hideMark/>
          </w:tcPr>
          <w:p w14:paraId="335FF2BE" w14:textId="77777777" w:rsidR="007B3093" w:rsidRDefault="00000000">
            <w:pPr>
              <w:spacing w:after="0" w:line="240" w:lineRule="auto"/>
              <w:jc w:val="center"/>
              <w:rPr>
                <w:rFonts w:eastAsia="Times New Roman" w:cs="Calibri"/>
                <w:b/>
                <w:bCs/>
                <w:color w:val="1F497D"/>
                <w:sz w:val="18"/>
                <w:szCs w:val="18"/>
                <w:lang w:val="en-US"/>
              </w:rPr>
            </w:pPr>
            <w:r>
              <w:rPr>
                <w:rFonts w:eastAsia="Times New Roman" w:cs="Calibri"/>
                <w:b/>
                <w:bCs/>
                <w:color w:val="1F497D"/>
                <w:sz w:val="18"/>
                <w:szCs w:val="18"/>
                <w:lang w:val="en-US"/>
              </w:rPr>
              <w:t>PND 2024-2025</w:t>
            </w:r>
          </w:p>
        </w:tc>
        <w:tc>
          <w:tcPr>
            <w:tcW w:w="2130" w:type="pct"/>
            <w:gridSpan w:val="4"/>
            <w:tcBorders>
              <w:top w:val="single" w:sz="8" w:space="0" w:color="4472C4"/>
              <w:left w:val="nil"/>
              <w:bottom w:val="single" w:sz="8" w:space="0" w:color="4472C4"/>
              <w:right w:val="nil"/>
            </w:tcBorders>
            <w:shd w:val="clear" w:color="auto" w:fill="auto"/>
            <w:vAlign w:val="center"/>
            <w:hideMark/>
          </w:tcPr>
          <w:p w14:paraId="02F0414A" w14:textId="77777777" w:rsidR="007B3093" w:rsidRDefault="00000000">
            <w:pPr>
              <w:spacing w:after="0" w:line="240" w:lineRule="auto"/>
              <w:jc w:val="center"/>
              <w:rPr>
                <w:rFonts w:eastAsia="Times New Roman" w:cs="Calibri"/>
                <w:b/>
                <w:bCs/>
                <w:color w:val="1F497D"/>
                <w:sz w:val="18"/>
                <w:szCs w:val="18"/>
                <w:lang w:val="en-US"/>
              </w:rPr>
            </w:pPr>
            <w:r>
              <w:rPr>
                <w:rFonts w:eastAsia="Times New Roman" w:cs="Calibri"/>
                <w:b/>
                <w:bCs/>
                <w:color w:val="1F497D"/>
                <w:sz w:val="18"/>
                <w:szCs w:val="18"/>
                <w:lang w:val="en-US"/>
              </w:rPr>
              <w:t>PEI PGE 2021-2025</w:t>
            </w:r>
          </w:p>
        </w:tc>
        <w:tc>
          <w:tcPr>
            <w:tcW w:w="672" w:type="pct"/>
            <w:tcBorders>
              <w:top w:val="single" w:sz="8" w:space="0" w:color="4472C4"/>
              <w:left w:val="nil"/>
              <w:bottom w:val="single" w:sz="8" w:space="0" w:color="4472C4"/>
              <w:right w:val="nil"/>
            </w:tcBorders>
          </w:tcPr>
          <w:p w14:paraId="56055453" w14:textId="77777777" w:rsidR="007B3093" w:rsidRDefault="007B3093">
            <w:pPr>
              <w:spacing w:after="0" w:line="240" w:lineRule="auto"/>
              <w:jc w:val="center"/>
              <w:rPr>
                <w:rFonts w:eastAsia="Times New Roman" w:cs="Calibri"/>
                <w:b/>
                <w:bCs/>
                <w:color w:val="1F497D"/>
                <w:sz w:val="18"/>
                <w:szCs w:val="18"/>
                <w:lang w:val="en-US"/>
              </w:rPr>
            </w:pPr>
          </w:p>
        </w:tc>
      </w:tr>
      <w:tr w:rsidR="007B3093" w14:paraId="41AD1F50" w14:textId="77777777">
        <w:trPr>
          <w:trHeight w:val="95"/>
        </w:trPr>
        <w:tc>
          <w:tcPr>
            <w:tcW w:w="217" w:type="pct"/>
            <w:tcBorders>
              <w:top w:val="nil"/>
              <w:left w:val="nil"/>
              <w:bottom w:val="nil"/>
              <w:right w:val="nil"/>
            </w:tcBorders>
            <w:shd w:val="clear" w:color="auto" w:fill="auto"/>
            <w:noWrap/>
            <w:vAlign w:val="bottom"/>
            <w:hideMark/>
          </w:tcPr>
          <w:p w14:paraId="5D28A6E2" w14:textId="77777777" w:rsidR="007B3093" w:rsidRDefault="007B3093">
            <w:pPr>
              <w:spacing w:after="0" w:line="240" w:lineRule="auto"/>
              <w:rPr>
                <w:rFonts w:eastAsia="Times New Roman" w:cs="Calibri"/>
                <w:b/>
                <w:bCs/>
                <w:color w:val="FFFFFF"/>
                <w:sz w:val="18"/>
                <w:szCs w:val="18"/>
                <w:lang w:val="es-MX"/>
              </w:rPr>
            </w:pPr>
          </w:p>
        </w:tc>
        <w:tc>
          <w:tcPr>
            <w:tcW w:w="571" w:type="pct"/>
            <w:tcBorders>
              <w:top w:val="nil"/>
              <w:left w:val="nil"/>
              <w:bottom w:val="nil"/>
              <w:right w:val="nil"/>
            </w:tcBorders>
            <w:shd w:val="clear" w:color="auto" w:fill="auto"/>
            <w:noWrap/>
            <w:vAlign w:val="bottom"/>
            <w:hideMark/>
          </w:tcPr>
          <w:p w14:paraId="7B970530" w14:textId="77777777" w:rsidR="007B3093" w:rsidRDefault="007B3093">
            <w:pPr>
              <w:spacing w:after="0" w:line="240" w:lineRule="auto"/>
              <w:rPr>
                <w:rFonts w:ascii="Times New Roman" w:eastAsia="Times New Roman" w:hAnsi="Times New Roman"/>
                <w:sz w:val="18"/>
                <w:szCs w:val="18"/>
                <w:lang w:val="es-MX"/>
              </w:rPr>
            </w:pPr>
          </w:p>
        </w:tc>
        <w:tc>
          <w:tcPr>
            <w:tcW w:w="701" w:type="pct"/>
            <w:tcBorders>
              <w:top w:val="nil"/>
              <w:left w:val="nil"/>
              <w:bottom w:val="nil"/>
              <w:right w:val="nil"/>
            </w:tcBorders>
            <w:shd w:val="clear" w:color="auto" w:fill="auto"/>
            <w:noWrap/>
            <w:vAlign w:val="bottom"/>
            <w:hideMark/>
          </w:tcPr>
          <w:p w14:paraId="6BAF0183" w14:textId="77777777" w:rsidR="007B3093" w:rsidRDefault="007B3093">
            <w:pPr>
              <w:spacing w:after="0" w:line="240" w:lineRule="auto"/>
              <w:rPr>
                <w:rFonts w:ascii="Times New Roman" w:eastAsia="Times New Roman" w:hAnsi="Times New Roman"/>
                <w:sz w:val="18"/>
                <w:szCs w:val="18"/>
                <w:lang w:val="es-MX"/>
              </w:rPr>
            </w:pPr>
          </w:p>
        </w:tc>
        <w:tc>
          <w:tcPr>
            <w:tcW w:w="850" w:type="pct"/>
            <w:gridSpan w:val="2"/>
            <w:tcBorders>
              <w:top w:val="nil"/>
              <w:left w:val="nil"/>
              <w:bottom w:val="nil"/>
              <w:right w:val="nil"/>
            </w:tcBorders>
            <w:shd w:val="clear" w:color="auto" w:fill="auto"/>
            <w:noWrap/>
            <w:vAlign w:val="bottom"/>
            <w:hideMark/>
          </w:tcPr>
          <w:p w14:paraId="33DA0131" w14:textId="77777777" w:rsidR="007B3093" w:rsidRDefault="007B3093">
            <w:pPr>
              <w:spacing w:after="0" w:line="240" w:lineRule="auto"/>
              <w:rPr>
                <w:rFonts w:ascii="Times New Roman" w:eastAsia="Times New Roman" w:hAnsi="Times New Roman"/>
                <w:sz w:val="18"/>
                <w:szCs w:val="18"/>
                <w:lang w:val="es-MX"/>
              </w:rPr>
            </w:pPr>
          </w:p>
        </w:tc>
        <w:tc>
          <w:tcPr>
            <w:tcW w:w="107" w:type="pct"/>
            <w:tcBorders>
              <w:top w:val="nil"/>
              <w:left w:val="nil"/>
              <w:bottom w:val="nil"/>
              <w:right w:val="nil"/>
            </w:tcBorders>
            <w:shd w:val="clear" w:color="auto" w:fill="auto"/>
            <w:noWrap/>
            <w:vAlign w:val="bottom"/>
            <w:hideMark/>
          </w:tcPr>
          <w:p w14:paraId="4D6C7F5B" w14:textId="77777777" w:rsidR="007B3093" w:rsidRDefault="007B3093">
            <w:pPr>
              <w:spacing w:after="0" w:line="240" w:lineRule="auto"/>
              <w:rPr>
                <w:rFonts w:ascii="Times New Roman" w:eastAsia="Times New Roman" w:hAnsi="Times New Roman"/>
                <w:sz w:val="18"/>
                <w:szCs w:val="18"/>
                <w:lang w:val="es-MX"/>
              </w:rPr>
            </w:pPr>
          </w:p>
        </w:tc>
        <w:tc>
          <w:tcPr>
            <w:tcW w:w="1225" w:type="pct"/>
            <w:tcBorders>
              <w:top w:val="nil"/>
              <w:left w:val="nil"/>
              <w:bottom w:val="nil"/>
              <w:right w:val="nil"/>
            </w:tcBorders>
            <w:shd w:val="clear" w:color="auto" w:fill="auto"/>
            <w:noWrap/>
            <w:vAlign w:val="bottom"/>
            <w:hideMark/>
          </w:tcPr>
          <w:p w14:paraId="565E95A2" w14:textId="77777777" w:rsidR="007B3093" w:rsidRDefault="007B3093">
            <w:pPr>
              <w:spacing w:after="0" w:line="240" w:lineRule="auto"/>
              <w:rPr>
                <w:rFonts w:ascii="Times New Roman" w:eastAsia="Times New Roman" w:hAnsi="Times New Roman"/>
                <w:sz w:val="18"/>
                <w:szCs w:val="18"/>
                <w:lang w:val="es-MX"/>
              </w:rPr>
            </w:pPr>
          </w:p>
        </w:tc>
        <w:tc>
          <w:tcPr>
            <w:tcW w:w="658" w:type="pct"/>
            <w:tcBorders>
              <w:top w:val="nil"/>
              <w:left w:val="nil"/>
              <w:bottom w:val="nil"/>
              <w:right w:val="nil"/>
            </w:tcBorders>
            <w:shd w:val="clear" w:color="auto" w:fill="auto"/>
            <w:noWrap/>
            <w:vAlign w:val="bottom"/>
            <w:hideMark/>
          </w:tcPr>
          <w:p w14:paraId="059F3DF3" w14:textId="77777777" w:rsidR="007B3093" w:rsidRDefault="007B3093">
            <w:pPr>
              <w:spacing w:after="0" w:line="240" w:lineRule="auto"/>
              <w:rPr>
                <w:rFonts w:ascii="Times New Roman" w:eastAsia="Times New Roman" w:hAnsi="Times New Roman"/>
                <w:sz w:val="18"/>
                <w:szCs w:val="18"/>
                <w:lang w:val="es-MX"/>
              </w:rPr>
            </w:pPr>
          </w:p>
        </w:tc>
        <w:tc>
          <w:tcPr>
            <w:tcW w:w="672" w:type="pct"/>
            <w:tcBorders>
              <w:top w:val="nil"/>
              <w:left w:val="nil"/>
              <w:bottom w:val="nil"/>
              <w:right w:val="nil"/>
            </w:tcBorders>
          </w:tcPr>
          <w:p w14:paraId="49183B70" w14:textId="77777777" w:rsidR="007B3093" w:rsidRDefault="007B3093">
            <w:pPr>
              <w:spacing w:after="0" w:line="240" w:lineRule="auto"/>
              <w:rPr>
                <w:rFonts w:ascii="Times New Roman" w:eastAsia="Times New Roman" w:hAnsi="Times New Roman"/>
                <w:sz w:val="18"/>
                <w:szCs w:val="18"/>
                <w:lang w:val="es-MX"/>
              </w:rPr>
            </w:pPr>
          </w:p>
        </w:tc>
      </w:tr>
      <w:tr w:rsidR="007B3093" w14:paraId="203DAE39" w14:textId="77777777">
        <w:trPr>
          <w:trHeight w:val="95"/>
        </w:trPr>
        <w:tc>
          <w:tcPr>
            <w:tcW w:w="217" w:type="pct"/>
            <w:tcBorders>
              <w:top w:val="nil"/>
              <w:left w:val="nil"/>
              <w:bottom w:val="nil"/>
              <w:right w:val="nil"/>
            </w:tcBorders>
            <w:shd w:val="clear" w:color="000000" w:fill="D0DBF0"/>
            <w:vAlign w:val="center"/>
            <w:hideMark/>
          </w:tcPr>
          <w:p w14:paraId="299721EC" w14:textId="77777777" w:rsidR="007B3093" w:rsidRDefault="00000000">
            <w:pPr>
              <w:spacing w:after="0" w:line="240" w:lineRule="auto"/>
              <w:jc w:val="center"/>
              <w:rPr>
                <w:rFonts w:eastAsia="Times New Roman" w:cs="Calibri"/>
                <w:b/>
                <w:bCs/>
                <w:color w:val="2F5496"/>
                <w:sz w:val="18"/>
                <w:szCs w:val="18"/>
                <w:lang w:val="en-US"/>
              </w:rPr>
            </w:pPr>
            <w:r>
              <w:rPr>
                <w:rFonts w:eastAsia="Times New Roman" w:cs="Calibri"/>
                <w:b/>
                <w:bCs/>
                <w:color w:val="2F5496"/>
                <w:sz w:val="18"/>
                <w:szCs w:val="18"/>
                <w:lang w:val="en-US"/>
              </w:rPr>
              <w:t>EJE</w:t>
            </w:r>
          </w:p>
        </w:tc>
        <w:tc>
          <w:tcPr>
            <w:tcW w:w="571" w:type="pct"/>
            <w:tcBorders>
              <w:top w:val="nil"/>
              <w:left w:val="nil"/>
              <w:bottom w:val="nil"/>
              <w:right w:val="nil"/>
            </w:tcBorders>
            <w:shd w:val="clear" w:color="000000" w:fill="D0DBF0"/>
            <w:vAlign w:val="center"/>
            <w:hideMark/>
          </w:tcPr>
          <w:p w14:paraId="25FD16C1" w14:textId="77777777" w:rsidR="007B3093" w:rsidRDefault="00000000">
            <w:pPr>
              <w:spacing w:after="0" w:line="240" w:lineRule="auto"/>
              <w:jc w:val="center"/>
              <w:rPr>
                <w:rFonts w:eastAsia="Times New Roman" w:cs="Calibri"/>
                <w:b/>
                <w:bCs/>
                <w:color w:val="2F5496"/>
                <w:sz w:val="18"/>
                <w:szCs w:val="18"/>
                <w:lang w:val="en-US"/>
              </w:rPr>
            </w:pPr>
            <w:r>
              <w:rPr>
                <w:rFonts w:eastAsia="Times New Roman" w:cs="Calibri"/>
                <w:b/>
                <w:bCs/>
                <w:color w:val="2F5496"/>
                <w:sz w:val="18"/>
                <w:szCs w:val="18"/>
                <w:lang w:val="en-US"/>
              </w:rPr>
              <w:t>OBJETIVO</w:t>
            </w:r>
          </w:p>
        </w:tc>
        <w:tc>
          <w:tcPr>
            <w:tcW w:w="701" w:type="pct"/>
            <w:tcBorders>
              <w:top w:val="nil"/>
              <w:left w:val="nil"/>
              <w:bottom w:val="nil"/>
              <w:right w:val="nil"/>
            </w:tcBorders>
            <w:shd w:val="clear" w:color="000000" w:fill="D0DBF0"/>
            <w:vAlign w:val="center"/>
            <w:hideMark/>
          </w:tcPr>
          <w:p w14:paraId="795EB08B" w14:textId="77777777" w:rsidR="007B3093" w:rsidRDefault="00000000">
            <w:pPr>
              <w:spacing w:after="0" w:line="240" w:lineRule="auto"/>
              <w:jc w:val="center"/>
              <w:rPr>
                <w:rFonts w:eastAsia="Times New Roman" w:cs="Calibri"/>
                <w:b/>
                <w:bCs/>
                <w:color w:val="2F5496"/>
                <w:sz w:val="18"/>
                <w:szCs w:val="18"/>
                <w:lang w:val="en-US"/>
              </w:rPr>
            </w:pPr>
            <w:r>
              <w:rPr>
                <w:rFonts w:eastAsia="Times New Roman" w:cs="Calibri"/>
                <w:b/>
                <w:bCs/>
                <w:color w:val="2F5496"/>
                <w:sz w:val="18"/>
                <w:szCs w:val="18"/>
                <w:lang w:val="en-US"/>
              </w:rPr>
              <w:t>POLÍTICA</w:t>
            </w:r>
          </w:p>
        </w:tc>
        <w:tc>
          <w:tcPr>
            <w:tcW w:w="850" w:type="pct"/>
            <w:gridSpan w:val="2"/>
            <w:tcBorders>
              <w:top w:val="nil"/>
              <w:left w:val="nil"/>
              <w:bottom w:val="nil"/>
              <w:right w:val="nil"/>
            </w:tcBorders>
            <w:shd w:val="clear" w:color="000000" w:fill="D0DBF0"/>
            <w:vAlign w:val="center"/>
            <w:hideMark/>
          </w:tcPr>
          <w:p w14:paraId="40A7BACF" w14:textId="77777777" w:rsidR="007B3093" w:rsidRDefault="00000000">
            <w:pPr>
              <w:spacing w:after="0" w:line="240" w:lineRule="auto"/>
              <w:jc w:val="center"/>
              <w:rPr>
                <w:rFonts w:eastAsia="Times New Roman" w:cs="Calibri"/>
                <w:b/>
                <w:bCs/>
                <w:color w:val="2F5496"/>
                <w:sz w:val="18"/>
                <w:szCs w:val="18"/>
                <w:lang w:val="en-US"/>
              </w:rPr>
            </w:pPr>
            <w:r>
              <w:rPr>
                <w:rFonts w:eastAsia="Times New Roman" w:cs="Calibri"/>
                <w:b/>
                <w:bCs/>
                <w:color w:val="2F5496"/>
                <w:sz w:val="18"/>
                <w:szCs w:val="18"/>
                <w:lang w:val="en-US"/>
              </w:rPr>
              <w:t>META PRINCIPAL</w:t>
            </w:r>
          </w:p>
        </w:tc>
        <w:tc>
          <w:tcPr>
            <w:tcW w:w="107" w:type="pct"/>
            <w:tcBorders>
              <w:top w:val="nil"/>
              <w:left w:val="nil"/>
              <w:bottom w:val="nil"/>
              <w:right w:val="nil"/>
            </w:tcBorders>
            <w:shd w:val="clear" w:color="000000" w:fill="D0DBF0"/>
            <w:vAlign w:val="center"/>
            <w:hideMark/>
          </w:tcPr>
          <w:p w14:paraId="7DB669D7" w14:textId="77777777" w:rsidR="007B3093" w:rsidRDefault="007B3093">
            <w:pPr>
              <w:spacing w:after="0" w:line="240" w:lineRule="auto"/>
              <w:jc w:val="center"/>
              <w:rPr>
                <w:rFonts w:eastAsia="Times New Roman" w:cs="Calibri"/>
                <w:b/>
                <w:bCs/>
                <w:color w:val="2F5496"/>
                <w:sz w:val="18"/>
                <w:szCs w:val="18"/>
                <w:lang w:val="en-US"/>
              </w:rPr>
            </w:pPr>
          </w:p>
        </w:tc>
        <w:tc>
          <w:tcPr>
            <w:tcW w:w="1225" w:type="pct"/>
            <w:tcBorders>
              <w:top w:val="nil"/>
              <w:left w:val="nil"/>
              <w:bottom w:val="nil"/>
              <w:right w:val="nil"/>
            </w:tcBorders>
            <w:shd w:val="clear" w:color="000000" w:fill="D0DBF0"/>
            <w:vAlign w:val="center"/>
            <w:hideMark/>
          </w:tcPr>
          <w:p w14:paraId="5A076AB8" w14:textId="77777777" w:rsidR="007B3093" w:rsidRDefault="00000000">
            <w:pPr>
              <w:spacing w:after="0" w:line="240" w:lineRule="auto"/>
              <w:jc w:val="center"/>
              <w:rPr>
                <w:rFonts w:eastAsia="Times New Roman" w:cs="Calibri"/>
                <w:b/>
                <w:bCs/>
                <w:color w:val="2F5496"/>
                <w:sz w:val="18"/>
                <w:szCs w:val="18"/>
                <w:lang w:val="en-US"/>
              </w:rPr>
            </w:pPr>
            <w:r>
              <w:rPr>
                <w:rFonts w:eastAsia="Times New Roman" w:cs="Calibri"/>
                <w:b/>
                <w:bCs/>
                <w:color w:val="2F5496"/>
                <w:sz w:val="18"/>
                <w:szCs w:val="18"/>
                <w:lang w:val="en-US"/>
              </w:rPr>
              <w:t>OEI</w:t>
            </w:r>
          </w:p>
        </w:tc>
        <w:tc>
          <w:tcPr>
            <w:tcW w:w="658" w:type="pct"/>
            <w:tcBorders>
              <w:top w:val="nil"/>
              <w:left w:val="nil"/>
              <w:bottom w:val="nil"/>
              <w:right w:val="nil"/>
            </w:tcBorders>
            <w:shd w:val="clear" w:color="000000" w:fill="D0DBF0"/>
            <w:vAlign w:val="center"/>
            <w:hideMark/>
          </w:tcPr>
          <w:p w14:paraId="6995FA5F" w14:textId="77777777" w:rsidR="007B3093" w:rsidRDefault="00000000">
            <w:pPr>
              <w:spacing w:after="0" w:line="240" w:lineRule="auto"/>
              <w:jc w:val="center"/>
              <w:rPr>
                <w:rFonts w:eastAsia="Times New Roman" w:cs="Calibri"/>
                <w:b/>
                <w:bCs/>
                <w:color w:val="2F5496"/>
                <w:sz w:val="18"/>
                <w:szCs w:val="18"/>
                <w:lang w:val="en-US"/>
              </w:rPr>
            </w:pPr>
            <w:r>
              <w:rPr>
                <w:rFonts w:eastAsia="Times New Roman" w:cs="Calibri"/>
                <w:b/>
                <w:bCs/>
                <w:color w:val="2F5496"/>
                <w:sz w:val="18"/>
                <w:szCs w:val="18"/>
                <w:lang w:val="en-US"/>
              </w:rPr>
              <w:t>PROGRAMA INSTITUCIONAL</w:t>
            </w:r>
          </w:p>
        </w:tc>
        <w:tc>
          <w:tcPr>
            <w:tcW w:w="672" w:type="pct"/>
            <w:tcBorders>
              <w:top w:val="nil"/>
              <w:left w:val="nil"/>
              <w:bottom w:val="nil"/>
              <w:right w:val="nil"/>
            </w:tcBorders>
            <w:shd w:val="clear" w:color="000000" w:fill="D0DBF0"/>
          </w:tcPr>
          <w:p w14:paraId="39B2ED12" w14:textId="77777777" w:rsidR="007B3093" w:rsidRDefault="00000000">
            <w:pPr>
              <w:spacing w:after="0" w:line="240" w:lineRule="auto"/>
              <w:jc w:val="center"/>
              <w:rPr>
                <w:rFonts w:eastAsia="Times New Roman" w:cs="Calibri"/>
                <w:b/>
                <w:bCs/>
                <w:color w:val="2F5496"/>
                <w:sz w:val="18"/>
                <w:szCs w:val="18"/>
                <w:lang w:val="en-US"/>
              </w:rPr>
            </w:pPr>
            <w:r>
              <w:rPr>
                <w:rFonts w:eastAsia="Times New Roman" w:cs="Calibri"/>
                <w:b/>
                <w:bCs/>
                <w:color w:val="2F5496"/>
                <w:sz w:val="18"/>
                <w:szCs w:val="18"/>
                <w:lang w:val="en-US"/>
              </w:rPr>
              <w:t>PROYECTOS</w:t>
            </w:r>
          </w:p>
        </w:tc>
      </w:tr>
      <w:tr w:rsidR="007B3093" w14:paraId="755A9DB9" w14:textId="77777777">
        <w:trPr>
          <w:trHeight w:val="778"/>
        </w:trPr>
        <w:tc>
          <w:tcPr>
            <w:tcW w:w="217" w:type="pct"/>
            <w:vMerge w:val="restart"/>
            <w:tcBorders>
              <w:top w:val="single" w:sz="4" w:space="0" w:color="8EA9DB"/>
              <w:left w:val="single" w:sz="4" w:space="0" w:color="8EA9DB"/>
              <w:bottom w:val="single" w:sz="4" w:space="0" w:color="8EA9DB"/>
              <w:right w:val="single" w:sz="4" w:space="0" w:color="8EA9DB"/>
            </w:tcBorders>
            <w:shd w:val="clear" w:color="auto" w:fill="auto"/>
            <w:textDirection w:val="btLr"/>
            <w:vAlign w:val="center"/>
            <w:hideMark/>
          </w:tcPr>
          <w:p w14:paraId="79517CA6" w14:textId="77777777" w:rsidR="007B3093" w:rsidRDefault="00000000">
            <w:pPr>
              <w:spacing w:after="0" w:line="240" w:lineRule="auto"/>
              <w:jc w:val="center"/>
              <w:rPr>
                <w:rFonts w:eastAsia="Times New Roman" w:cs="Calibri"/>
                <w:b/>
                <w:bCs/>
                <w:color w:val="2F5496"/>
                <w:sz w:val="18"/>
                <w:szCs w:val="18"/>
                <w:lang w:val="en-US"/>
              </w:rPr>
            </w:pPr>
            <w:r>
              <w:rPr>
                <w:rFonts w:eastAsia="Times New Roman" w:cs="Calibri"/>
                <w:b/>
                <w:bCs/>
                <w:color w:val="2F5496"/>
                <w:sz w:val="18"/>
                <w:szCs w:val="18"/>
                <w:lang w:val="en-US"/>
              </w:rPr>
              <w:t>EJE INSTITUCIONAL</w:t>
            </w:r>
          </w:p>
        </w:tc>
        <w:tc>
          <w:tcPr>
            <w:tcW w:w="571" w:type="pct"/>
            <w:vMerge w:val="restart"/>
            <w:tcBorders>
              <w:top w:val="single" w:sz="4" w:space="0" w:color="8EA9DB"/>
              <w:left w:val="nil"/>
              <w:right w:val="single" w:sz="4" w:space="0" w:color="8EA9DB"/>
            </w:tcBorders>
            <w:shd w:val="clear" w:color="auto" w:fill="auto"/>
            <w:vAlign w:val="center"/>
            <w:hideMark/>
          </w:tcPr>
          <w:p w14:paraId="4627D222" w14:textId="77777777" w:rsidR="007B3093" w:rsidRDefault="00000000">
            <w:pPr>
              <w:spacing w:after="0" w:line="240" w:lineRule="auto"/>
              <w:jc w:val="center"/>
              <w:rPr>
                <w:rFonts w:eastAsia="Times New Roman" w:cs="Calibri"/>
                <w:b/>
                <w:bCs/>
                <w:color w:val="0070C0"/>
                <w:sz w:val="18"/>
                <w:szCs w:val="18"/>
                <w:lang w:val="es-MX"/>
              </w:rPr>
            </w:pPr>
            <w:r>
              <w:rPr>
                <w:rFonts w:eastAsia="Times New Roman" w:cs="Calibri"/>
                <w:b/>
                <w:bCs/>
                <w:color w:val="0070C0"/>
                <w:sz w:val="18"/>
                <w:szCs w:val="18"/>
                <w:lang w:val="es-MX"/>
              </w:rPr>
              <w:t>O9. Propender la construcción de un Estado eficiente, transparente orientado al bienestar social</w:t>
            </w:r>
          </w:p>
        </w:tc>
        <w:tc>
          <w:tcPr>
            <w:tcW w:w="701" w:type="pct"/>
            <w:vMerge w:val="restart"/>
            <w:tcBorders>
              <w:top w:val="single" w:sz="4" w:space="0" w:color="8EA9DB"/>
              <w:left w:val="nil"/>
              <w:right w:val="single" w:sz="4" w:space="0" w:color="8EA9DB"/>
            </w:tcBorders>
            <w:shd w:val="clear" w:color="auto" w:fill="auto"/>
            <w:vAlign w:val="center"/>
          </w:tcPr>
          <w:p w14:paraId="00B53680" w14:textId="77777777" w:rsidR="007B3093" w:rsidRDefault="00000000">
            <w:pPr>
              <w:spacing w:after="0" w:line="240" w:lineRule="auto"/>
              <w:jc w:val="center"/>
              <w:rPr>
                <w:rFonts w:eastAsia="Times New Roman" w:cs="Calibri"/>
                <w:color w:val="000000"/>
                <w:sz w:val="18"/>
                <w:szCs w:val="18"/>
                <w:lang w:val="es-MX"/>
              </w:rPr>
            </w:pPr>
            <w:r>
              <w:rPr>
                <w:rFonts w:eastAsia="Times New Roman" w:cs="Calibri"/>
                <w:color w:val="000000"/>
                <w:sz w:val="18"/>
                <w:szCs w:val="18"/>
                <w:lang w:val="es-MX"/>
              </w:rPr>
              <w:t>9.8</w:t>
            </w:r>
          </w:p>
          <w:p w14:paraId="42F87F4D" w14:textId="77777777" w:rsidR="007B3093" w:rsidRDefault="00000000">
            <w:pPr>
              <w:spacing w:after="0" w:line="240" w:lineRule="auto"/>
              <w:jc w:val="center"/>
              <w:rPr>
                <w:rFonts w:eastAsia="Times New Roman" w:cs="Calibri"/>
                <w:b/>
                <w:bCs/>
                <w:color w:val="000000"/>
                <w:sz w:val="18"/>
                <w:szCs w:val="18"/>
              </w:rPr>
            </w:pPr>
            <w:r>
              <w:rPr>
                <w:rFonts w:eastAsia="Times New Roman" w:cs="Calibri"/>
                <w:color w:val="000000"/>
                <w:sz w:val="18"/>
                <w:szCs w:val="18"/>
                <w:lang w:val="es-MX"/>
              </w:rPr>
              <w:t>Fomentar la integridad pública y la lucha contra la corrupción en coordinación interinstitucional efectiva entre todas las funciones del Estado</w:t>
            </w:r>
          </w:p>
        </w:tc>
        <w:tc>
          <w:tcPr>
            <w:tcW w:w="710" w:type="pct"/>
            <w:vMerge w:val="restart"/>
            <w:tcBorders>
              <w:top w:val="single" w:sz="4" w:space="0" w:color="8EA9DB"/>
              <w:left w:val="nil"/>
              <w:right w:val="single" w:sz="4" w:space="0" w:color="8EA9DB"/>
            </w:tcBorders>
            <w:shd w:val="clear" w:color="auto" w:fill="auto"/>
            <w:vAlign w:val="center"/>
          </w:tcPr>
          <w:p w14:paraId="52388CA8" w14:textId="77777777" w:rsidR="007B3093" w:rsidRDefault="00000000">
            <w:pPr>
              <w:spacing w:after="0" w:line="240" w:lineRule="auto"/>
              <w:jc w:val="center"/>
              <w:rPr>
                <w:rFonts w:eastAsia="Times New Roman" w:cs="Calibri"/>
                <w:color w:val="000000"/>
                <w:sz w:val="18"/>
                <w:szCs w:val="18"/>
                <w:lang w:val="es-MX"/>
              </w:rPr>
            </w:pPr>
            <w:proofErr w:type="gramStart"/>
            <w:r>
              <w:rPr>
                <w:rFonts w:eastAsia="Times New Roman" w:cs="Calibri"/>
                <w:color w:val="000000"/>
                <w:sz w:val="18"/>
                <w:szCs w:val="18"/>
                <w:lang w:val="es-MX"/>
              </w:rPr>
              <w:t xml:space="preserve">9.8.1 </w:t>
            </w:r>
            <w:r>
              <w:t xml:space="preserve"> </w:t>
            </w:r>
            <w:r>
              <w:rPr>
                <w:rFonts w:eastAsia="Times New Roman" w:cs="Calibri"/>
                <w:color w:val="000000"/>
                <w:sz w:val="18"/>
                <w:szCs w:val="18"/>
                <w:lang w:val="es-MX"/>
              </w:rPr>
              <w:t>Reducir</w:t>
            </w:r>
            <w:proofErr w:type="gramEnd"/>
            <w:r>
              <w:rPr>
                <w:rFonts w:eastAsia="Times New Roman" w:cs="Calibri"/>
                <w:color w:val="000000"/>
                <w:sz w:val="18"/>
                <w:szCs w:val="18"/>
                <w:lang w:val="es-MX"/>
              </w:rPr>
              <w:t xml:space="preserve"> el posicionamiento en el ranking de percepción de corrupción mundial del puesto 115 en el año 2023 a 109 al 2025.</w:t>
            </w:r>
          </w:p>
          <w:p w14:paraId="5E78EC9C" w14:textId="77777777" w:rsidR="007B3093" w:rsidRDefault="007B3093">
            <w:pPr>
              <w:spacing w:after="0" w:line="240" w:lineRule="auto"/>
              <w:jc w:val="center"/>
              <w:rPr>
                <w:rFonts w:eastAsia="Times New Roman" w:cs="Calibri"/>
                <w:b/>
                <w:bCs/>
                <w:color w:val="000000"/>
                <w:sz w:val="18"/>
                <w:szCs w:val="18"/>
              </w:rPr>
            </w:pPr>
          </w:p>
        </w:tc>
        <w:tc>
          <w:tcPr>
            <w:tcW w:w="1472" w:type="pct"/>
            <w:gridSpan w:val="3"/>
            <w:tcBorders>
              <w:top w:val="single" w:sz="4" w:space="0" w:color="8EA9DB"/>
              <w:left w:val="nil"/>
              <w:bottom w:val="single" w:sz="4" w:space="0" w:color="8EA9DB"/>
              <w:right w:val="single" w:sz="4" w:space="0" w:color="8EA9DB"/>
            </w:tcBorders>
            <w:shd w:val="clear" w:color="auto" w:fill="auto"/>
            <w:vAlign w:val="center"/>
            <w:hideMark/>
          </w:tcPr>
          <w:p w14:paraId="601A05DF" w14:textId="77777777" w:rsidR="007B3093" w:rsidRDefault="00000000">
            <w:pPr>
              <w:ind w:right="121"/>
              <w:jc w:val="center"/>
              <w:rPr>
                <w:rFonts w:eastAsia="Times New Roman" w:cs="Calibri"/>
                <w:color w:val="000000"/>
                <w:sz w:val="18"/>
                <w:szCs w:val="18"/>
                <w:lang w:val="es-MX"/>
              </w:rPr>
            </w:pPr>
            <w:r>
              <w:rPr>
                <w:rFonts w:eastAsia="Times New Roman" w:cs="Calibri"/>
                <w:color w:val="000000"/>
                <w:sz w:val="18"/>
                <w:szCs w:val="18"/>
                <w:lang w:val="es-MX"/>
              </w:rPr>
              <w:t xml:space="preserve">OEI  1:  Incrementar la capacidad de representación y defensa del Estado a nivel nacional e internacional </w:t>
            </w:r>
          </w:p>
        </w:tc>
        <w:tc>
          <w:tcPr>
            <w:tcW w:w="658" w:type="pct"/>
            <w:vMerge w:val="restart"/>
            <w:tcBorders>
              <w:top w:val="single" w:sz="4" w:space="0" w:color="8EA9DB"/>
              <w:left w:val="nil"/>
              <w:right w:val="single" w:sz="4" w:space="0" w:color="8EA9DB"/>
            </w:tcBorders>
            <w:shd w:val="clear" w:color="auto" w:fill="auto"/>
            <w:vAlign w:val="center"/>
            <w:hideMark/>
          </w:tcPr>
          <w:p w14:paraId="616016C0" w14:textId="77777777" w:rsidR="007B3093" w:rsidRDefault="00000000">
            <w:pPr>
              <w:spacing w:after="0" w:line="240" w:lineRule="auto"/>
              <w:jc w:val="center"/>
              <w:rPr>
                <w:rFonts w:eastAsia="Times New Roman" w:cs="Calibri"/>
                <w:color w:val="000000"/>
                <w:sz w:val="18"/>
                <w:szCs w:val="18"/>
                <w:lang w:val="es-MX"/>
              </w:rPr>
            </w:pPr>
            <w:r>
              <w:rPr>
                <w:rFonts w:eastAsia="Times New Roman" w:cs="Calibri"/>
                <w:color w:val="000000"/>
                <w:sz w:val="18"/>
                <w:szCs w:val="18"/>
                <w:lang w:val="es-MX"/>
              </w:rPr>
              <w:t>55. Patrocinio del Estado, Asesoría y Control de la Legalidad</w:t>
            </w:r>
          </w:p>
        </w:tc>
        <w:tc>
          <w:tcPr>
            <w:tcW w:w="672" w:type="pct"/>
            <w:tcBorders>
              <w:top w:val="single" w:sz="4" w:space="0" w:color="8EA9DB"/>
              <w:left w:val="nil"/>
              <w:right w:val="single" w:sz="4" w:space="0" w:color="8EA9DB"/>
            </w:tcBorders>
          </w:tcPr>
          <w:p w14:paraId="3E559C51" w14:textId="77777777" w:rsidR="007B3093" w:rsidRDefault="007B3093">
            <w:pPr>
              <w:spacing w:after="0" w:line="240" w:lineRule="auto"/>
              <w:jc w:val="center"/>
              <w:rPr>
                <w:rFonts w:eastAsia="Times New Roman" w:cs="Calibri"/>
                <w:color w:val="000000"/>
                <w:sz w:val="18"/>
                <w:szCs w:val="18"/>
                <w:lang w:val="es-MX"/>
              </w:rPr>
            </w:pPr>
          </w:p>
        </w:tc>
      </w:tr>
      <w:tr w:rsidR="007B3093" w14:paraId="27A25B53" w14:textId="77777777">
        <w:trPr>
          <w:trHeight w:val="618"/>
        </w:trPr>
        <w:tc>
          <w:tcPr>
            <w:tcW w:w="217" w:type="pct"/>
            <w:vMerge/>
            <w:tcBorders>
              <w:top w:val="single" w:sz="4" w:space="0" w:color="8EA9DB"/>
              <w:left w:val="single" w:sz="4" w:space="0" w:color="8EA9DB"/>
              <w:bottom w:val="single" w:sz="4" w:space="0" w:color="8EA9DB"/>
              <w:right w:val="single" w:sz="4" w:space="0" w:color="8EA9DB"/>
            </w:tcBorders>
            <w:vAlign w:val="center"/>
            <w:hideMark/>
          </w:tcPr>
          <w:p w14:paraId="3061BB4B" w14:textId="77777777" w:rsidR="007B3093" w:rsidRDefault="007B3093">
            <w:pPr>
              <w:spacing w:after="0" w:line="240" w:lineRule="auto"/>
              <w:rPr>
                <w:rFonts w:eastAsia="Times New Roman" w:cs="Calibri"/>
                <w:b/>
                <w:bCs/>
                <w:color w:val="2F5496"/>
                <w:sz w:val="18"/>
                <w:szCs w:val="18"/>
                <w:lang w:val="es-MX"/>
              </w:rPr>
            </w:pPr>
          </w:p>
        </w:tc>
        <w:tc>
          <w:tcPr>
            <w:tcW w:w="571" w:type="pct"/>
            <w:vMerge/>
            <w:tcBorders>
              <w:left w:val="nil"/>
              <w:right w:val="single" w:sz="4" w:space="0" w:color="8EA9DB"/>
            </w:tcBorders>
            <w:shd w:val="clear" w:color="auto" w:fill="auto"/>
            <w:vAlign w:val="center"/>
            <w:hideMark/>
          </w:tcPr>
          <w:p w14:paraId="305AF41B" w14:textId="77777777" w:rsidR="007B3093" w:rsidRDefault="007B3093">
            <w:pPr>
              <w:spacing w:after="0" w:line="240" w:lineRule="auto"/>
              <w:jc w:val="center"/>
              <w:rPr>
                <w:rFonts w:eastAsia="Times New Roman" w:cs="Calibri"/>
                <w:color w:val="000000"/>
                <w:sz w:val="18"/>
                <w:szCs w:val="18"/>
                <w:lang w:val="es-MX"/>
              </w:rPr>
            </w:pPr>
          </w:p>
        </w:tc>
        <w:tc>
          <w:tcPr>
            <w:tcW w:w="701" w:type="pct"/>
            <w:vMerge/>
            <w:tcBorders>
              <w:left w:val="nil"/>
              <w:right w:val="single" w:sz="4" w:space="0" w:color="8EA9DB"/>
            </w:tcBorders>
            <w:shd w:val="clear" w:color="auto" w:fill="auto"/>
            <w:vAlign w:val="center"/>
          </w:tcPr>
          <w:p w14:paraId="2C536AB4" w14:textId="77777777" w:rsidR="007B3093" w:rsidRDefault="007B3093">
            <w:pPr>
              <w:spacing w:after="0" w:line="240" w:lineRule="auto"/>
              <w:jc w:val="center"/>
              <w:rPr>
                <w:rFonts w:eastAsia="Times New Roman" w:cs="Calibri"/>
                <w:b/>
                <w:bCs/>
                <w:color w:val="000000"/>
                <w:sz w:val="18"/>
                <w:szCs w:val="18"/>
              </w:rPr>
            </w:pPr>
          </w:p>
        </w:tc>
        <w:tc>
          <w:tcPr>
            <w:tcW w:w="710" w:type="pct"/>
            <w:vMerge/>
            <w:tcBorders>
              <w:left w:val="nil"/>
              <w:right w:val="single" w:sz="4" w:space="0" w:color="8EA9DB"/>
            </w:tcBorders>
            <w:shd w:val="clear" w:color="auto" w:fill="auto"/>
            <w:vAlign w:val="center"/>
          </w:tcPr>
          <w:p w14:paraId="17314C64" w14:textId="77777777" w:rsidR="007B3093" w:rsidRDefault="007B3093">
            <w:pPr>
              <w:spacing w:after="0" w:line="240" w:lineRule="auto"/>
              <w:jc w:val="center"/>
              <w:rPr>
                <w:rFonts w:eastAsia="Times New Roman" w:cs="Calibri"/>
                <w:b/>
                <w:bCs/>
                <w:color w:val="000000"/>
                <w:sz w:val="18"/>
                <w:szCs w:val="18"/>
              </w:rPr>
            </w:pPr>
          </w:p>
        </w:tc>
        <w:tc>
          <w:tcPr>
            <w:tcW w:w="1472" w:type="pct"/>
            <w:gridSpan w:val="3"/>
            <w:tcBorders>
              <w:top w:val="nil"/>
              <w:left w:val="nil"/>
              <w:bottom w:val="single" w:sz="4" w:space="0" w:color="8EA9DB"/>
              <w:right w:val="single" w:sz="4" w:space="0" w:color="8EA9DB"/>
            </w:tcBorders>
            <w:shd w:val="clear" w:color="auto" w:fill="auto"/>
            <w:vAlign w:val="center"/>
            <w:hideMark/>
          </w:tcPr>
          <w:p w14:paraId="594C595D" w14:textId="77777777" w:rsidR="007B3093" w:rsidRDefault="00000000">
            <w:pPr>
              <w:spacing w:after="0" w:line="240" w:lineRule="auto"/>
              <w:jc w:val="center"/>
              <w:rPr>
                <w:rFonts w:eastAsia="Times New Roman" w:cs="Calibri"/>
                <w:color w:val="000000"/>
                <w:sz w:val="18"/>
                <w:szCs w:val="18"/>
                <w:lang w:val="es-MX"/>
              </w:rPr>
            </w:pPr>
            <w:r>
              <w:rPr>
                <w:rFonts w:eastAsia="Times New Roman" w:cs="Calibri"/>
                <w:color w:val="000000"/>
                <w:sz w:val="18"/>
                <w:szCs w:val="18"/>
                <w:lang w:val="es-MX"/>
              </w:rPr>
              <w:t>OEI  2: Incrementar el carácter preventivo y proactivo del Sistema de Defensa Jurídica del Ecuador</w:t>
            </w:r>
          </w:p>
        </w:tc>
        <w:tc>
          <w:tcPr>
            <w:tcW w:w="658" w:type="pct"/>
            <w:vMerge/>
            <w:tcBorders>
              <w:left w:val="nil"/>
              <w:right w:val="single" w:sz="4" w:space="0" w:color="8EA9DB"/>
            </w:tcBorders>
            <w:shd w:val="clear" w:color="auto" w:fill="auto"/>
            <w:vAlign w:val="center"/>
          </w:tcPr>
          <w:p w14:paraId="610D3819" w14:textId="77777777" w:rsidR="007B3093" w:rsidRDefault="007B3093">
            <w:pPr>
              <w:spacing w:after="0" w:line="240" w:lineRule="auto"/>
              <w:jc w:val="center"/>
              <w:rPr>
                <w:rFonts w:eastAsia="Times New Roman" w:cs="Calibri"/>
                <w:color w:val="000000"/>
                <w:sz w:val="18"/>
                <w:szCs w:val="18"/>
                <w:lang w:val="es-MX"/>
              </w:rPr>
            </w:pPr>
          </w:p>
        </w:tc>
        <w:tc>
          <w:tcPr>
            <w:tcW w:w="672" w:type="pct"/>
            <w:tcBorders>
              <w:left w:val="nil"/>
              <w:right w:val="single" w:sz="4" w:space="0" w:color="8EA9DB"/>
            </w:tcBorders>
          </w:tcPr>
          <w:p w14:paraId="532E05D3" w14:textId="77777777" w:rsidR="007B3093" w:rsidRDefault="007B3093">
            <w:pPr>
              <w:spacing w:after="0" w:line="240" w:lineRule="auto"/>
              <w:jc w:val="center"/>
              <w:rPr>
                <w:rFonts w:eastAsia="Times New Roman" w:cs="Calibri"/>
                <w:color w:val="000000"/>
                <w:sz w:val="18"/>
                <w:szCs w:val="18"/>
                <w:lang w:val="es-MX"/>
              </w:rPr>
            </w:pPr>
          </w:p>
        </w:tc>
      </w:tr>
      <w:tr w:rsidR="007B3093" w14:paraId="419540C1" w14:textId="77777777">
        <w:trPr>
          <w:trHeight w:val="882"/>
        </w:trPr>
        <w:tc>
          <w:tcPr>
            <w:tcW w:w="217" w:type="pct"/>
            <w:vMerge/>
            <w:tcBorders>
              <w:top w:val="single" w:sz="4" w:space="0" w:color="8EA9DB"/>
              <w:left w:val="single" w:sz="4" w:space="0" w:color="8EA9DB"/>
              <w:bottom w:val="single" w:sz="4" w:space="0" w:color="8EA9DB"/>
              <w:right w:val="single" w:sz="4" w:space="0" w:color="8EA9DB"/>
            </w:tcBorders>
            <w:vAlign w:val="center"/>
          </w:tcPr>
          <w:p w14:paraId="1A9659AB" w14:textId="77777777" w:rsidR="007B3093" w:rsidRDefault="007B3093">
            <w:pPr>
              <w:spacing w:after="0" w:line="240" w:lineRule="auto"/>
              <w:rPr>
                <w:rFonts w:eastAsia="Times New Roman" w:cs="Calibri"/>
                <w:b/>
                <w:bCs/>
                <w:color w:val="2F5496"/>
                <w:sz w:val="18"/>
                <w:szCs w:val="18"/>
                <w:lang w:val="es-MX"/>
              </w:rPr>
            </w:pPr>
          </w:p>
        </w:tc>
        <w:tc>
          <w:tcPr>
            <w:tcW w:w="571" w:type="pct"/>
            <w:vMerge/>
            <w:tcBorders>
              <w:left w:val="nil"/>
              <w:right w:val="single" w:sz="4" w:space="0" w:color="8EA9DB"/>
            </w:tcBorders>
            <w:shd w:val="clear" w:color="auto" w:fill="auto"/>
            <w:vAlign w:val="center"/>
          </w:tcPr>
          <w:p w14:paraId="14FAB8C9" w14:textId="77777777" w:rsidR="007B3093" w:rsidRDefault="007B3093">
            <w:pPr>
              <w:spacing w:after="0" w:line="240" w:lineRule="auto"/>
              <w:jc w:val="center"/>
              <w:rPr>
                <w:rFonts w:eastAsia="Times New Roman" w:cs="Calibri"/>
                <w:color w:val="000000"/>
                <w:sz w:val="18"/>
                <w:szCs w:val="18"/>
                <w:lang w:val="es-MX"/>
              </w:rPr>
            </w:pPr>
          </w:p>
        </w:tc>
        <w:tc>
          <w:tcPr>
            <w:tcW w:w="701" w:type="pct"/>
            <w:vMerge/>
            <w:tcBorders>
              <w:left w:val="nil"/>
              <w:bottom w:val="single" w:sz="4" w:space="0" w:color="8EA9DB"/>
              <w:right w:val="single" w:sz="4" w:space="0" w:color="8EA9DB"/>
            </w:tcBorders>
            <w:shd w:val="clear" w:color="auto" w:fill="auto"/>
            <w:vAlign w:val="center"/>
          </w:tcPr>
          <w:p w14:paraId="718FAB51" w14:textId="77777777" w:rsidR="007B3093" w:rsidRDefault="007B3093">
            <w:pPr>
              <w:spacing w:after="0" w:line="240" w:lineRule="auto"/>
              <w:jc w:val="center"/>
              <w:rPr>
                <w:rFonts w:eastAsia="Times New Roman" w:cs="Calibri"/>
                <w:b/>
                <w:bCs/>
                <w:color w:val="000000"/>
                <w:sz w:val="18"/>
                <w:szCs w:val="18"/>
              </w:rPr>
            </w:pPr>
          </w:p>
        </w:tc>
        <w:tc>
          <w:tcPr>
            <w:tcW w:w="710" w:type="pct"/>
            <w:vMerge/>
            <w:tcBorders>
              <w:left w:val="nil"/>
              <w:bottom w:val="single" w:sz="4" w:space="0" w:color="8EA9DB"/>
              <w:right w:val="single" w:sz="4" w:space="0" w:color="8EA9DB"/>
            </w:tcBorders>
            <w:shd w:val="clear" w:color="auto" w:fill="auto"/>
            <w:vAlign w:val="center"/>
          </w:tcPr>
          <w:p w14:paraId="2FAC3A63" w14:textId="77777777" w:rsidR="007B3093" w:rsidRDefault="007B3093">
            <w:pPr>
              <w:spacing w:after="0" w:line="240" w:lineRule="auto"/>
              <w:jc w:val="center"/>
              <w:rPr>
                <w:rFonts w:eastAsia="Times New Roman" w:cs="Calibri"/>
                <w:b/>
                <w:bCs/>
                <w:color w:val="000000"/>
                <w:sz w:val="18"/>
                <w:szCs w:val="18"/>
              </w:rPr>
            </w:pPr>
          </w:p>
        </w:tc>
        <w:tc>
          <w:tcPr>
            <w:tcW w:w="1472" w:type="pct"/>
            <w:gridSpan w:val="3"/>
            <w:tcBorders>
              <w:top w:val="nil"/>
              <w:left w:val="nil"/>
              <w:bottom w:val="single" w:sz="4" w:space="0" w:color="8EA9DB"/>
              <w:right w:val="single" w:sz="4" w:space="0" w:color="8EA9DB"/>
            </w:tcBorders>
            <w:shd w:val="clear" w:color="auto" w:fill="auto"/>
            <w:vAlign w:val="center"/>
          </w:tcPr>
          <w:p w14:paraId="7D48BA75" w14:textId="77777777" w:rsidR="007B3093" w:rsidRDefault="00000000">
            <w:pPr>
              <w:spacing w:after="0" w:line="240" w:lineRule="auto"/>
              <w:jc w:val="center"/>
              <w:rPr>
                <w:rFonts w:eastAsia="Times New Roman" w:cs="Calibri"/>
                <w:color w:val="000000"/>
                <w:sz w:val="18"/>
                <w:szCs w:val="18"/>
                <w:lang w:val="es-MX"/>
              </w:rPr>
            </w:pPr>
            <w:r>
              <w:rPr>
                <w:rFonts w:eastAsia="Times New Roman" w:cs="Calibri"/>
                <w:color w:val="000000"/>
                <w:sz w:val="18"/>
                <w:szCs w:val="18"/>
                <w:lang w:val="es-MX"/>
              </w:rPr>
              <w:t>OEI  3: Reducir el riesgo fiscal generado por los pasivos contingentes judiciales en el marco de las competencias de la Procuraduría General del Estado</w:t>
            </w:r>
          </w:p>
        </w:tc>
        <w:tc>
          <w:tcPr>
            <w:tcW w:w="658" w:type="pct"/>
            <w:vMerge/>
            <w:tcBorders>
              <w:left w:val="nil"/>
              <w:bottom w:val="single" w:sz="4" w:space="0" w:color="8EA9DB"/>
              <w:right w:val="single" w:sz="4" w:space="0" w:color="8EA9DB"/>
            </w:tcBorders>
            <w:shd w:val="clear" w:color="auto" w:fill="auto"/>
            <w:vAlign w:val="center"/>
          </w:tcPr>
          <w:p w14:paraId="6A261A2E" w14:textId="77777777" w:rsidR="007B3093" w:rsidRDefault="007B3093">
            <w:pPr>
              <w:spacing w:after="0" w:line="240" w:lineRule="auto"/>
              <w:jc w:val="center"/>
              <w:rPr>
                <w:rFonts w:eastAsia="Times New Roman" w:cs="Calibri"/>
                <w:color w:val="000000"/>
                <w:sz w:val="18"/>
                <w:szCs w:val="18"/>
                <w:lang w:val="es-MX"/>
              </w:rPr>
            </w:pPr>
          </w:p>
        </w:tc>
        <w:tc>
          <w:tcPr>
            <w:tcW w:w="672" w:type="pct"/>
            <w:tcBorders>
              <w:left w:val="nil"/>
              <w:bottom w:val="single" w:sz="4" w:space="0" w:color="8EA9DB"/>
              <w:right w:val="single" w:sz="4" w:space="0" w:color="8EA9DB"/>
            </w:tcBorders>
          </w:tcPr>
          <w:p w14:paraId="52C74455" w14:textId="77777777" w:rsidR="007B3093" w:rsidRDefault="007B3093">
            <w:pPr>
              <w:spacing w:after="0" w:line="240" w:lineRule="auto"/>
              <w:jc w:val="center"/>
              <w:rPr>
                <w:rFonts w:eastAsia="Times New Roman" w:cs="Calibri"/>
                <w:color w:val="000000"/>
                <w:sz w:val="18"/>
                <w:szCs w:val="18"/>
                <w:lang w:val="es-MX"/>
              </w:rPr>
            </w:pPr>
          </w:p>
        </w:tc>
      </w:tr>
      <w:tr w:rsidR="007B3093" w14:paraId="3EC248C0" w14:textId="77777777">
        <w:trPr>
          <w:trHeight w:val="1977"/>
        </w:trPr>
        <w:tc>
          <w:tcPr>
            <w:tcW w:w="217" w:type="pct"/>
            <w:vMerge/>
            <w:tcBorders>
              <w:top w:val="single" w:sz="4" w:space="0" w:color="8EA9DB"/>
              <w:left w:val="single" w:sz="4" w:space="0" w:color="8EA9DB"/>
              <w:bottom w:val="single" w:sz="4" w:space="0" w:color="8EA9DB"/>
              <w:right w:val="single" w:sz="4" w:space="0" w:color="8EA9DB"/>
            </w:tcBorders>
            <w:vAlign w:val="center"/>
            <w:hideMark/>
          </w:tcPr>
          <w:p w14:paraId="15E1F7B8" w14:textId="77777777" w:rsidR="007B3093" w:rsidRDefault="007B3093">
            <w:pPr>
              <w:spacing w:after="0" w:line="240" w:lineRule="auto"/>
              <w:rPr>
                <w:rFonts w:eastAsia="Times New Roman" w:cs="Calibri"/>
                <w:b/>
                <w:bCs/>
                <w:color w:val="2F5496"/>
                <w:sz w:val="18"/>
                <w:szCs w:val="18"/>
                <w:lang w:val="es-MX"/>
              </w:rPr>
            </w:pPr>
          </w:p>
        </w:tc>
        <w:tc>
          <w:tcPr>
            <w:tcW w:w="571" w:type="pct"/>
            <w:vMerge/>
            <w:tcBorders>
              <w:left w:val="nil"/>
              <w:bottom w:val="single" w:sz="4" w:space="0" w:color="8EA9DB"/>
              <w:right w:val="single" w:sz="4" w:space="0" w:color="8EA9DB"/>
            </w:tcBorders>
            <w:shd w:val="clear" w:color="auto" w:fill="auto"/>
            <w:vAlign w:val="center"/>
          </w:tcPr>
          <w:p w14:paraId="18E90BE3" w14:textId="77777777" w:rsidR="007B3093" w:rsidRDefault="007B3093">
            <w:pPr>
              <w:spacing w:after="0" w:line="240" w:lineRule="auto"/>
              <w:jc w:val="center"/>
              <w:rPr>
                <w:rFonts w:eastAsia="Times New Roman" w:cs="Calibri"/>
                <w:color w:val="000000"/>
                <w:sz w:val="18"/>
                <w:szCs w:val="18"/>
                <w:lang w:val="es-MX"/>
              </w:rPr>
            </w:pPr>
          </w:p>
        </w:tc>
        <w:tc>
          <w:tcPr>
            <w:tcW w:w="701" w:type="pct"/>
            <w:tcBorders>
              <w:top w:val="nil"/>
              <w:left w:val="nil"/>
              <w:bottom w:val="single" w:sz="4" w:space="0" w:color="8EA9DB"/>
              <w:right w:val="single" w:sz="4" w:space="0" w:color="8EA9DB"/>
            </w:tcBorders>
            <w:shd w:val="clear" w:color="auto" w:fill="auto"/>
            <w:vAlign w:val="center"/>
          </w:tcPr>
          <w:p w14:paraId="3F79C63A" w14:textId="77777777" w:rsidR="007B3093" w:rsidRDefault="00000000">
            <w:pPr>
              <w:spacing w:after="0" w:line="240" w:lineRule="auto"/>
              <w:jc w:val="center"/>
              <w:rPr>
                <w:rFonts w:eastAsia="Times New Roman" w:cs="Calibri"/>
                <w:b/>
                <w:bCs/>
                <w:color w:val="0070C0"/>
                <w:sz w:val="18"/>
                <w:szCs w:val="18"/>
                <w:lang w:val="es-MX"/>
              </w:rPr>
            </w:pPr>
            <w:r>
              <w:rPr>
                <w:rFonts w:eastAsia="Times New Roman" w:cs="Calibri"/>
                <w:b/>
                <w:bCs/>
                <w:color w:val="0070C0"/>
                <w:sz w:val="18"/>
                <w:szCs w:val="18"/>
                <w:lang w:val="es-MX"/>
              </w:rPr>
              <w:t>9.6 Fortalecer las capacidades del Estado que garanticen la transparencia, eficiencia, calidad y excelencia de los servicios públicos.</w:t>
            </w:r>
          </w:p>
        </w:tc>
        <w:tc>
          <w:tcPr>
            <w:tcW w:w="710" w:type="pct"/>
            <w:tcBorders>
              <w:top w:val="nil"/>
              <w:left w:val="nil"/>
              <w:bottom w:val="single" w:sz="4" w:space="0" w:color="8EA9DB"/>
              <w:right w:val="single" w:sz="4" w:space="0" w:color="8EA9DB"/>
            </w:tcBorders>
            <w:shd w:val="clear" w:color="auto" w:fill="auto"/>
            <w:vAlign w:val="center"/>
          </w:tcPr>
          <w:p w14:paraId="3DB672D7" w14:textId="77777777" w:rsidR="007B3093" w:rsidRDefault="00000000">
            <w:pPr>
              <w:pStyle w:val="Prrafodelista"/>
              <w:spacing w:before="120" w:after="120" w:line="240" w:lineRule="auto"/>
              <w:ind w:left="-23" w:firstLine="34"/>
              <w:contextualSpacing w:val="0"/>
              <w:jc w:val="center"/>
              <w:rPr>
                <w:rFonts w:eastAsia="Times New Roman" w:cs="Calibri"/>
                <w:b/>
                <w:bCs/>
                <w:color w:val="0070C0"/>
                <w:sz w:val="18"/>
                <w:szCs w:val="18"/>
                <w:lang w:val="es-MX"/>
              </w:rPr>
            </w:pPr>
            <w:proofErr w:type="gramStart"/>
            <w:r>
              <w:rPr>
                <w:rFonts w:eastAsia="Times New Roman" w:cs="Calibri"/>
                <w:b/>
                <w:bCs/>
                <w:color w:val="0070C0"/>
                <w:sz w:val="18"/>
                <w:szCs w:val="18"/>
                <w:lang w:val="es-MX"/>
              </w:rPr>
              <w:t xml:space="preserve">9.6.1 </w:t>
            </w:r>
            <w:r>
              <w:rPr>
                <w:b/>
                <w:bCs/>
                <w:color w:val="0070C0"/>
              </w:rPr>
              <w:t xml:space="preserve"> </w:t>
            </w:r>
            <w:r>
              <w:rPr>
                <w:rFonts w:eastAsia="Times New Roman" w:cs="Calibri"/>
                <w:b/>
                <w:bCs/>
                <w:color w:val="0070C0"/>
                <w:sz w:val="18"/>
                <w:szCs w:val="18"/>
              </w:rPr>
              <w:t>Aumenta</w:t>
            </w:r>
            <w:r>
              <w:rPr>
                <w:rFonts w:eastAsia="Times New Roman" w:cs="Calibri"/>
                <w:b/>
                <w:bCs/>
                <w:color w:val="0070C0"/>
                <w:sz w:val="18"/>
                <w:szCs w:val="18"/>
                <w:lang w:val="es-MX"/>
              </w:rPr>
              <w:t>r</w:t>
            </w:r>
            <w:proofErr w:type="gramEnd"/>
            <w:r>
              <w:rPr>
                <w:rFonts w:eastAsia="Times New Roman" w:cs="Calibri"/>
                <w:b/>
                <w:bCs/>
                <w:color w:val="0070C0"/>
                <w:sz w:val="18"/>
                <w:szCs w:val="18"/>
                <w:lang w:val="es-MX"/>
              </w:rPr>
              <w:t xml:space="preserve"> el índice de percepción de la calidad de los servicios públicos en general de 6,05 en el año 2022 a 6,20 al 2025.</w:t>
            </w:r>
          </w:p>
        </w:tc>
        <w:tc>
          <w:tcPr>
            <w:tcW w:w="1472" w:type="pct"/>
            <w:gridSpan w:val="3"/>
            <w:tcBorders>
              <w:top w:val="nil"/>
              <w:left w:val="nil"/>
              <w:bottom w:val="single" w:sz="4" w:space="0" w:color="8EA9DB"/>
              <w:right w:val="single" w:sz="4" w:space="0" w:color="8EA9DB"/>
            </w:tcBorders>
            <w:shd w:val="clear" w:color="auto" w:fill="auto"/>
            <w:vAlign w:val="center"/>
            <w:hideMark/>
          </w:tcPr>
          <w:p w14:paraId="1B607ECB" w14:textId="77777777" w:rsidR="007B3093" w:rsidRDefault="00000000">
            <w:pPr>
              <w:spacing w:after="0" w:line="240" w:lineRule="auto"/>
              <w:jc w:val="center"/>
              <w:rPr>
                <w:rFonts w:eastAsia="Times New Roman" w:cs="Calibri"/>
                <w:b/>
                <w:bCs/>
                <w:color w:val="0070C0"/>
                <w:sz w:val="18"/>
                <w:szCs w:val="18"/>
                <w:lang w:val="es-MX"/>
              </w:rPr>
            </w:pPr>
            <w:r>
              <w:rPr>
                <w:rFonts w:eastAsia="Times New Roman" w:cs="Calibri"/>
                <w:b/>
                <w:bCs/>
                <w:color w:val="0070C0"/>
                <w:sz w:val="18"/>
                <w:szCs w:val="18"/>
                <w:lang w:val="es-MX"/>
              </w:rPr>
              <w:t>OEI 4: Fortalecer las capacidades institucionales</w:t>
            </w:r>
          </w:p>
        </w:tc>
        <w:tc>
          <w:tcPr>
            <w:tcW w:w="658" w:type="pct"/>
            <w:tcBorders>
              <w:top w:val="nil"/>
              <w:left w:val="nil"/>
              <w:bottom w:val="single" w:sz="4" w:space="0" w:color="8EA9DB"/>
              <w:right w:val="single" w:sz="4" w:space="0" w:color="8EA9DB"/>
            </w:tcBorders>
            <w:shd w:val="clear" w:color="auto" w:fill="auto"/>
            <w:vAlign w:val="center"/>
            <w:hideMark/>
          </w:tcPr>
          <w:p w14:paraId="5FECFFAB" w14:textId="77777777" w:rsidR="007B3093" w:rsidRDefault="00000000">
            <w:pPr>
              <w:spacing w:after="0" w:line="240" w:lineRule="auto"/>
              <w:jc w:val="center"/>
              <w:rPr>
                <w:rFonts w:eastAsia="Times New Roman" w:cs="Calibri"/>
                <w:b/>
                <w:bCs/>
                <w:color w:val="0070C0"/>
                <w:sz w:val="18"/>
                <w:szCs w:val="18"/>
                <w:lang w:val="es-MX"/>
              </w:rPr>
            </w:pPr>
            <w:r>
              <w:rPr>
                <w:rFonts w:eastAsia="Times New Roman" w:cs="Calibri"/>
                <w:b/>
                <w:bCs/>
                <w:color w:val="0070C0"/>
                <w:sz w:val="18"/>
                <w:szCs w:val="18"/>
                <w:lang w:val="es-MX"/>
              </w:rPr>
              <w:t>01. Administración Central</w:t>
            </w:r>
          </w:p>
        </w:tc>
        <w:tc>
          <w:tcPr>
            <w:tcW w:w="672" w:type="pct"/>
            <w:tcBorders>
              <w:top w:val="nil"/>
              <w:left w:val="nil"/>
              <w:bottom w:val="single" w:sz="4" w:space="0" w:color="8EA9DB"/>
              <w:right w:val="single" w:sz="4" w:space="0" w:color="8EA9DB"/>
            </w:tcBorders>
          </w:tcPr>
          <w:p w14:paraId="22193FBB" w14:textId="77777777" w:rsidR="007B3093" w:rsidRDefault="007B3093">
            <w:pPr>
              <w:spacing w:after="0" w:line="240" w:lineRule="auto"/>
              <w:jc w:val="center"/>
              <w:rPr>
                <w:rFonts w:eastAsia="Times New Roman" w:cs="Calibri"/>
                <w:b/>
                <w:bCs/>
                <w:color w:val="0070C0"/>
                <w:sz w:val="18"/>
                <w:szCs w:val="18"/>
                <w:lang w:val="es-MX"/>
              </w:rPr>
            </w:pPr>
          </w:p>
          <w:p w14:paraId="3DAE9F08" w14:textId="77777777" w:rsidR="007B3093" w:rsidRDefault="007B3093">
            <w:pPr>
              <w:spacing w:after="0" w:line="240" w:lineRule="auto"/>
              <w:jc w:val="center"/>
              <w:rPr>
                <w:rFonts w:eastAsia="Times New Roman" w:cs="Calibri"/>
                <w:b/>
                <w:bCs/>
                <w:color w:val="0070C0"/>
                <w:sz w:val="18"/>
                <w:szCs w:val="18"/>
                <w:lang w:val="es-MX"/>
              </w:rPr>
            </w:pPr>
          </w:p>
          <w:p w14:paraId="6F17D54A" w14:textId="77777777" w:rsidR="007B3093" w:rsidRDefault="007B3093">
            <w:pPr>
              <w:spacing w:after="0" w:line="240" w:lineRule="auto"/>
              <w:jc w:val="center"/>
              <w:rPr>
                <w:rFonts w:eastAsia="Times New Roman" w:cs="Calibri"/>
                <w:b/>
                <w:bCs/>
                <w:color w:val="0070C0"/>
                <w:sz w:val="18"/>
                <w:szCs w:val="18"/>
                <w:lang w:val="es-MX"/>
              </w:rPr>
            </w:pPr>
          </w:p>
          <w:p w14:paraId="005E5A7E" w14:textId="77777777" w:rsidR="007B3093" w:rsidRDefault="00000000">
            <w:pPr>
              <w:spacing w:after="0" w:line="240" w:lineRule="auto"/>
              <w:jc w:val="center"/>
              <w:rPr>
                <w:rFonts w:eastAsia="Times New Roman" w:cs="Calibri"/>
                <w:b/>
                <w:bCs/>
                <w:color w:val="0070C0"/>
                <w:sz w:val="18"/>
                <w:szCs w:val="18"/>
                <w:lang w:val="es-MX"/>
              </w:rPr>
            </w:pPr>
            <w:r>
              <w:rPr>
                <w:rFonts w:eastAsia="Times New Roman" w:cs="Calibri"/>
                <w:b/>
                <w:bCs/>
                <w:color w:val="0070C0"/>
                <w:sz w:val="18"/>
                <w:szCs w:val="18"/>
                <w:lang w:val="es-MX"/>
              </w:rPr>
              <w:t>001. Fortalecimiento Institucional de la Procuraduría General del Estado</w:t>
            </w:r>
          </w:p>
        </w:tc>
      </w:tr>
    </w:tbl>
    <w:p w14:paraId="3E6DB156" w14:textId="77777777" w:rsidR="007B3093" w:rsidRDefault="00000000">
      <w:pPr>
        <w:tabs>
          <w:tab w:val="left" w:pos="-1440"/>
        </w:tabs>
        <w:spacing w:after="0" w:line="360" w:lineRule="auto"/>
        <w:contextualSpacing/>
        <w:rPr>
          <w:rFonts w:cstheme="minorHAnsi"/>
          <w:b/>
          <w:sz w:val="20"/>
        </w:rPr>
      </w:pPr>
      <w:r>
        <w:rPr>
          <w:rFonts w:cstheme="minorHAnsi"/>
          <w:b/>
          <w:sz w:val="20"/>
        </w:rPr>
        <w:t>Fuente y elaboración:  EDG PROFIP</w:t>
      </w:r>
    </w:p>
    <w:p w14:paraId="11391254" w14:textId="77777777" w:rsidR="007B3093" w:rsidRDefault="007B3093">
      <w:pPr>
        <w:tabs>
          <w:tab w:val="left" w:pos="-1440"/>
        </w:tabs>
        <w:spacing w:after="0" w:line="360" w:lineRule="auto"/>
        <w:contextualSpacing/>
        <w:jc w:val="center"/>
        <w:rPr>
          <w:rFonts w:cstheme="minorHAnsi"/>
          <w:b/>
          <w:sz w:val="20"/>
        </w:rPr>
      </w:pPr>
    </w:p>
    <w:p w14:paraId="5580CB13" w14:textId="77777777" w:rsidR="007B3093" w:rsidRDefault="00000000">
      <w:pPr>
        <w:pStyle w:val="Ttulo2"/>
        <w:numPr>
          <w:ilvl w:val="1"/>
          <w:numId w:val="93"/>
        </w:numPr>
        <w:spacing w:before="0" w:line="360" w:lineRule="auto"/>
        <w:ind w:left="709" w:hanging="556"/>
        <w:rPr>
          <w:rFonts w:asciiTheme="minorHAnsi" w:hAnsiTheme="minorHAnsi" w:cstheme="minorHAnsi"/>
          <w:b/>
          <w:color w:val="auto"/>
          <w:sz w:val="22"/>
          <w:szCs w:val="22"/>
          <w:lang w:eastAsia="es-EC"/>
        </w:rPr>
      </w:pPr>
      <w:bookmarkStart w:id="27" w:name="_Toc195010058"/>
      <w:r>
        <w:rPr>
          <w:rFonts w:asciiTheme="minorHAnsi" w:hAnsiTheme="minorHAnsi" w:cstheme="minorHAnsi"/>
          <w:b/>
          <w:color w:val="auto"/>
          <w:sz w:val="22"/>
          <w:szCs w:val="22"/>
          <w:lang w:eastAsia="es-EC"/>
        </w:rPr>
        <w:t>Contribución del proyecto a la meta del Plan Nacional de Desarrollo</w:t>
      </w:r>
      <w:bookmarkEnd w:id="27"/>
    </w:p>
    <w:p w14:paraId="48FB7856" w14:textId="77777777" w:rsidR="007B3093" w:rsidRDefault="00000000">
      <w:pPr>
        <w:rPr>
          <w:lang w:eastAsia="es-EC"/>
        </w:rPr>
      </w:pPr>
      <w:r>
        <w:rPr>
          <w:lang w:eastAsia="es-EC"/>
        </w:rPr>
        <w:t>PND 2024-2025:  PLAN DE DESARROLLO PARA EL NUEVO ECUADOR 2024-2025</w:t>
      </w:r>
    </w:p>
    <w:p w14:paraId="72444C50" w14:textId="77777777" w:rsidR="007B3093" w:rsidRDefault="00000000">
      <w:bookmarkStart w:id="28" w:name="_Toc389131340"/>
      <w:r>
        <w:rPr>
          <w:b/>
        </w:rPr>
        <w:t>Objetivo 9</w:t>
      </w:r>
      <w:r>
        <w:t xml:space="preserve">:     </w:t>
      </w:r>
      <w:r>
        <w:rPr>
          <w:b/>
          <w:bCs/>
        </w:rPr>
        <w:t>Propender la construcción de un Estado eficiente, transparente orientado al bienestar social.</w:t>
      </w:r>
      <w:r>
        <w:t xml:space="preserve"> </w:t>
      </w:r>
      <w:bookmarkEnd w:id="28"/>
    </w:p>
    <w:p w14:paraId="4130876F" w14:textId="77777777" w:rsidR="007B3093" w:rsidRDefault="007B3093"/>
    <w:p w14:paraId="7DC8763A" w14:textId="77777777" w:rsidR="007B3093" w:rsidRDefault="00000000">
      <w:pPr>
        <w:shd w:val="clear" w:color="auto" w:fill="FFFFFF"/>
        <w:rPr>
          <w:rFonts w:eastAsia="Times New Roman"/>
          <w:b/>
          <w:bCs/>
          <w:i/>
          <w:iCs/>
          <w:color w:val="000000"/>
          <w:shd w:val="clear" w:color="auto" w:fill="FFFFFF"/>
          <w:lang w:val="es-ES"/>
        </w:rPr>
      </w:pPr>
      <w:r>
        <w:rPr>
          <w:rFonts w:eastAsia="Times New Roman"/>
          <w:b/>
          <w:bCs/>
          <w:i/>
          <w:iCs/>
          <w:color w:val="000000"/>
          <w:shd w:val="clear" w:color="auto" w:fill="FFFFFF"/>
          <w:lang w:val="es-ES"/>
        </w:rPr>
        <w:t>Indicador:  </w:t>
      </w:r>
      <w:r>
        <w:rPr>
          <w:rFonts w:eastAsia="Times New Roman"/>
          <w:bCs/>
          <w:i/>
          <w:iCs/>
          <w:color w:val="000000"/>
          <w:shd w:val="clear" w:color="auto" w:fill="FFFFFF"/>
          <w:lang w:val="es-ES"/>
        </w:rPr>
        <w:t>Índice de percepción de la calidad de los servicios públicos.</w:t>
      </w:r>
    </w:p>
    <w:p w14:paraId="0E6C8529" w14:textId="77777777" w:rsidR="007B3093" w:rsidRDefault="00000000">
      <w:pPr>
        <w:shd w:val="clear" w:color="auto" w:fill="FFFFFF"/>
        <w:rPr>
          <w:rFonts w:eastAsia="Times New Roman"/>
          <w:bCs/>
          <w:i/>
          <w:iCs/>
          <w:color w:val="000000"/>
          <w:shd w:val="clear" w:color="auto" w:fill="FFFFFF"/>
          <w:lang w:val="es-ES"/>
        </w:rPr>
      </w:pPr>
      <w:r>
        <w:rPr>
          <w:rFonts w:eastAsia="Times New Roman"/>
          <w:b/>
          <w:bCs/>
          <w:i/>
          <w:iCs/>
          <w:color w:val="000000"/>
          <w:shd w:val="clear" w:color="auto" w:fill="FFFFFF"/>
          <w:lang w:val="es-ES"/>
        </w:rPr>
        <w:t xml:space="preserve">Meta: 9.6.1. </w:t>
      </w:r>
      <w:r>
        <w:rPr>
          <w:rFonts w:eastAsia="Times New Roman"/>
          <w:bCs/>
          <w:i/>
          <w:iCs/>
          <w:color w:val="000000"/>
          <w:shd w:val="clear" w:color="auto" w:fill="FFFFFF"/>
          <w:lang w:val="es-ES"/>
        </w:rPr>
        <w:t>Incrementar el índice de percepción de la calidad de los servicios públicos en general de 6,05 en el año 2022 a 6,20 al 2025.     </w:t>
      </w:r>
    </w:p>
    <w:p w14:paraId="743D338F" w14:textId="77777777" w:rsidR="007B3093" w:rsidRDefault="007B3093">
      <w:pPr>
        <w:rPr>
          <w:lang w:eastAsia="es-EC"/>
        </w:rPr>
      </w:pPr>
    </w:p>
    <w:p w14:paraId="6AEFE198" w14:textId="77777777" w:rsidR="007B3093" w:rsidRDefault="00000000">
      <w:pPr>
        <w:spacing w:before="120" w:after="120" w:line="360" w:lineRule="auto"/>
        <w:jc w:val="both"/>
        <w:rPr>
          <w:rFonts w:cstheme="minorHAnsi"/>
        </w:rPr>
      </w:pPr>
      <w:r>
        <w:rPr>
          <w:rFonts w:cstheme="minorHAnsi"/>
        </w:rPr>
        <w:lastRenderedPageBreak/>
        <w:t xml:space="preserve">Se considera que el presente proyecto contribuirá, mediante la asesoría legal, el control de actos y contratos públicos, y la representación jurídica del Estado, al Objetivo No. 9 del Plan Nacional de Desarrollo 2024 – 2025: </w:t>
      </w:r>
      <w:r>
        <w:rPr>
          <w:rFonts w:cstheme="minorHAnsi"/>
          <w:i/>
        </w:rPr>
        <w:t>“Propender la construcción de un Estado eficiente, transparente orientado al bienestar social”,</w:t>
      </w:r>
      <w:r>
        <w:rPr>
          <w:rFonts w:cstheme="minorHAnsi"/>
        </w:rPr>
        <w:t xml:space="preserve"> específicamente en la política:</w:t>
      </w:r>
    </w:p>
    <w:p w14:paraId="0FAE6CBF" w14:textId="77777777" w:rsidR="007B3093" w:rsidRDefault="00000000">
      <w:pPr>
        <w:pStyle w:val="Prrafodelista"/>
        <w:numPr>
          <w:ilvl w:val="0"/>
          <w:numId w:val="85"/>
        </w:numPr>
        <w:spacing w:before="120" w:after="120" w:line="360" w:lineRule="auto"/>
        <w:ind w:left="760" w:hanging="357"/>
        <w:jc w:val="both"/>
      </w:pPr>
      <w:r>
        <w:t>Política 9.6: Fortalecer las capacidades del Estado que garanticen la transparencia, eficiencia, calidad y excelencia de los servicios públicos.</w:t>
      </w:r>
    </w:p>
    <w:p w14:paraId="318E9DD9" w14:textId="77777777" w:rsidR="007B3093" w:rsidRDefault="007B3093">
      <w:pPr>
        <w:spacing w:after="0" w:line="360" w:lineRule="auto"/>
      </w:pPr>
    </w:p>
    <w:p w14:paraId="474A6C17" w14:textId="77777777" w:rsidR="007B3093" w:rsidRDefault="00000000">
      <w:pPr>
        <w:pStyle w:val="Ttulo2"/>
        <w:numPr>
          <w:ilvl w:val="0"/>
          <w:numId w:val="93"/>
        </w:numPr>
        <w:spacing w:before="0" w:line="360" w:lineRule="auto"/>
        <w:rPr>
          <w:rFonts w:asciiTheme="minorHAnsi" w:hAnsiTheme="minorHAnsi" w:cstheme="minorHAnsi"/>
          <w:b/>
          <w:color w:val="000000" w:themeColor="text1"/>
          <w:sz w:val="22"/>
          <w:szCs w:val="22"/>
          <w:lang w:eastAsia="es-EC"/>
        </w:rPr>
      </w:pPr>
      <w:bookmarkStart w:id="29" w:name="_Toc195010059"/>
      <w:r>
        <w:rPr>
          <w:rFonts w:asciiTheme="minorHAnsi" w:hAnsiTheme="minorHAnsi" w:cstheme="minorHAnsi"/>
          <w:b/>
          <w:color w:val="000000" w:themeColor="text1"/>
          <w:sz w:val="22"/>
          <w:szCs w:val="22"/>
          <w:lang w:eastAsia="es-EC"/>
        </w:rPr>
        <w:t>MATRIZ DE MARCO LÓGICO</w:t>
      </w:r>
      <w:bookmarkEnd w:id="29"/>
    </w:p>
    <w:p w14:paraId="0D219B88" w14:textId="77777777" w:rsidR="007B3093" w:rsidRDefault="00000000">
      <w:pPr>
        <w:pStyle w:val="Ttulo2"/>
        <w:numPr>
          <w:ilvl w:val="1"/>
          <w:numId w:val="41"/>
        </w:numPr>
        <w:spacing w:before="0" w:line="360" w:lineRule="auto"/>
        <w:rPr>
          <w:rFonts w:asciiTheme="minorHAnsi" w:hAnsiTheme="minorHAnsi" w:cstheme="minorHAnsi"/>
          <w:b/>
          <w:color w:val="auto"/>
          <w:sz w:val="22"/>
          <w:szCs w:val="22"/>
          <w:lang w:eastAsia="es-EC"/>
        </w:rPr>
      </w:pPr>
      <w:bookmarkStart w:id="30" w:name="_Toc159916387"/>
      <w:bookmarkStart w:id="31" w:name="_Toc195010060"/>
      <w:r>
        <w:rPr>
          <w:rFonts w:asciiTheme="minorHAnsi" w:hAnsiTheme="minorHAnsi" w:cstheme="minorHAnsi"/>
          <w:b/>
          <w:color w:val="auto"/>
          <w:sz w:val="22"/>
          <w:szCs w:val="22"/>
          <w:lang w:eastAsia="es-EC"/>
        </w:rPr>
        <w:t>Objetivo general y objetivos específico</w:t>
      </w:r>
      <w:bookmarkEnd w:id="30"/>
      <w:bookmarkEnd w:id="31"/>
    </w:p>
    <w:p w14:paraId="5D585678" w14:textId="77777777" w:rsidR="007B3093" w:rsidRDefault="00000000">
      <w:pPr>
        <w:pStyle w:val="Prrafodelista"/>
        <w:numPr>
          <w:ilvl w:val="0"/>
          <w:numId w:val="37"/>
        </w:numPr>
        <w:spacing w:before="120" w:after="120" w:line="360" w:lineRule="auto"/>
        <w:contextualSpacing w:val="0"/>
        <w:jc w:val="both"/>
        <w:rPr>
          <w:rFonts w:cstheme="minorHAnsi"/>
        </w:rPr>
      </w:pPr>
      <w:r>
        <w:rPr>
          <w:rFonts w:cstheme="minorHAnsi"/>
          <w:b/>
        </w:rPr>
        <w:t xml:space="preserve">Objetivo </w:t>
      </w:r>
      <w:proofErr w:type="gramStart"/>
      <w:r>
        <w:rPr>
          <w:rFonts w:cstheme="minorHAnsi"/>
          <w:b/>
        </w:rPr>
        <w:t>General.-</w:t>
      </w:r>
      <w:proofErr w:type="gramEnd"/>
      <w:r>
        <w:rPr>
          <w:rFonts w:cstheme="minorHAnsi"/>
        </w:rPr>
        <w:t xml:space="preserve"> </w:t>
      </w:r>
      <w:r>
        <w:rPr>
          <w:rFonts w:cstheme="minorHAnsi"/>
          <w:lang w:val="es-ES"/>
        </w:rPr>
        <w:t>Fortalecer la gestión institucional de la PGE mediante el diseño e implementación de la estructura y funciones de este organismo, consolidando sus capacidades legales, técnicas, financieras y administrativas en un nuevo modelo de gestión “La Procuraduría del Futuro”.</w:t>
      </w:r>
    </w:p>
    <w:p w14:paraId="20FA1DED" w14:textId="77777777" w:rsidR="007B3093" w:rsidRDefault="00000000">
      <w:pPr>
        <w:pStyle w:val="Prrafodelista"/>
        <w:numPr>
          <w:ilvl w:val="0"/>
          <w:numId w:val="37"/>
        </w:numPr>
        <w:spacing w:before="120" w:after="120" w:line="360" w:lineRule="auto"/>
        <w:contextualSpacing w:val="0"/>
        <w:jc w:val="both"/>
        <w:rPr>
          <w:rFonts w:cstheme="minorHAnsi"/>
        </w:rPr>
      </w:pPr>
      <w:r>
        <w:rPr>
          <w:rFonts w:cstheme="minorHAnsi"/>
          <w:b/>
        </w:rPr>
        <w:t xml:space="preserve">Objetivos </w:t>
      </w:r>
      <w:proofErr w:type="gramStart"/>
      <w:r>
        <w:rPr>
          <w:rFonts w:cstheme="minorHAnsi"/>
          <w:b/>
        </w:rPr>
        <w:t>Específicos.-</w:t>
      </w:r>
      <w:proofErr w:type="gramEnd"/>
      <w:r>
        <w:rPr>
          <w:rFonts w:cstheme="minorHAnsi"/>
        </w:rPr>
        <w:t xml:space="preserve"> A continuación los componentes del proyecto:</w:t>
      </w:r>
    </w:p>
    <w:p w14:paraId="365AC8E4" w14:textId="77777777" w:rsidR="007B3093" w:rsidRDefault="00000000">
      <w:pPr>
        <w:spacing w:before="120" w:after="120" w:line="360" w:lineRule="auto"/>
        <w:jc w:val="both"/>
        <w:rPr>
          <w:rFonts w:cstheme="minorHAnsi"/>
        </w:rPr>
      </w:pPr>
      <w:r>
        <w:rPr>
          <w:rFonts w:cstheme="minorHAnsi"/>
          <w:b/>
        </w:rPr>
        <w:t>Objetivos Específicos:</w:t>
      </w:r>
    </w:p>
    <w:p w14:paraId="53D9AAB8" w14:textId="77777777" w:rsidR="007B3093" w:rsidRDefault="00000000">
      <w:pPr>
        <w:pStyle w:val="Prrafodelista"/>
        <w:numPr>
          <w:ilvl w:val="0"/>
          <w:numId w:val="5"/>
        </w:numPr>
        <w:tabs>
          <w:tab w:val="left" w:pos="-1440"/>
        </w:tabs>
        <w:spacing w:after="0" w:line="360" w:lineRule="auto"/>
        <w:jc w:val="both"/>
        <w:rPr>
          <w:rFonts w:cstheme="minorHAnsi"/>
        </w:rPr>
      </w:pPr>
      <w:r>
        <w:rPr>
          <w:rFonts w:cstheme="minorHAnsi"/>
        </w:rPr>
        <w:t>Diseñar e implementar el modelo de gestión de la PGE.</w:t>
      </w:r>
    </w:p>
    <w:p w14:paraId="60773127" w14:textId="77777777" w:rsidR="007B3093" w:rsidRDefault="00000000">
      <w:pPr>
        <w:pStyle w:val="Prrafodelista"/>
        <w:numPr>
          <w:ilvl w:val="0"/>
          <w:numId w:val="5"/>
        </w:numPr>
        <w:tabs>
          <w:tab w:val="left" w:pos="-1440"/>
        </w:tabs>
        <w:spacing w:after="0" w:line="360" w:lineRule="auto"/>
        <w:jc w:val="both"/>
        <w:rPr>
          <w:rFonts w:cstheme="minorHAnsi"/>
        </w:rPr>
      </w:pPr>
      <w:r>
        <w:rPr>
          <w:rFonts w:cstheme="minorHAnsi"/>
        </w:rPr>
        <w:t>Fortalecer la Defensa legal del Estado.</w:t>
      </w:r>
    </w:p>
    <w:p w14:paraId="57A59CFA" w14:textId="77777777" w:rsidR="007B3093" w:rsidRDefault="00000000">
      <w:pPr>
        <w:pStyle w:val="Prrafodelista"/>
        <w:numPr>
          <w:ilvl w:val="0"/>
          <w:numId w:val="5"/>
        </w:numPr>
        <w:tabs>
          <w:tab w:val="left" w:pos="-1440"/>
        </w:tabs>
        <w:spacing w:after="0" w:line="360" w:lineRule="auto"/>
        <w:jc w:val="both"/>
        <w:rPr>
          <w:rFonts w:cstheme="minorHAnsi"/>
        </w:rPr>
      </w:pPr>
      <w:r>
        <w:rPr>
          <w:rFonts w:cstheme="minorHAnsi"/>
        </w:rPr>
        <w:t>Fortalecer la capacidad de control, consultoría y asesoría legal de la PGE.</w:t>
      </w:r>
    </w:p>
    <w:p w14:paraId="07840DAC" w14:textId="77777777" w:rsidR="007B3093" w:rsidRDefault="00000000">
      <w:pPr>
        <w:pStyle w:val="Prrafodelista"/>
        <w:numPr>
          <w:ilvl w:val="0"/>
          <w:numId w:val="5"/>
        </w:numPr>
        <w:tabs>
          <w:tab w:val="left" w:pos="-1440"/>
        </w:tabs>
        <w:spacing w:after="0" w:line="360" w:lineRule="auto"/>
        <w:jc w:val="both"/>
        <w:rPr>
          <w:rFonts w:cstheme="minorHAnsi"/>
        </w:rPr>
      </w:pPr>
      <w:r>
        <w:rPr>
          <w:rFonts w:cstheme="minorHAnsi"/>
        </w:rPr>
        <w:t>Fortalecer los centros de mediación de la PGE.</w:t>
      </w:r>
    </w:p>
    <w:p w14:paraId="700D33B5" w14:textId="77777777" w:rsidR="007B3093" w:rsidRDefault="00000000">
      <w:pPr>
        <w:pStyle w:val="Prrafodelista"/>
        <w:numPr>
          <w:ilvl w:val="0"/>
          <w:numId w:val="5"/>
        </w:numPr>
        <w:tabs>
          <w:tab w:val="left" w:pos="-1440"/>
        </w:tabs>
        <w:spacing w:after="0" w:line="360" w:lineRule="auto"/>
        <w:jc w:val="both"/>
        <w:rPr>
          <w:rFonts w:cstheme="minorHAnsi"/>
        </w:rPr>
      </w:pPr>
      <w:r>
        <w:rPr>
          <w:rFonts w:cstheme="minorHAnsi"/>
        </w:rPr>
        <w:t>Diseñar e implementar la estrategia de comunicación de la PGE.</w:t>
      </w:r>
    </w:p>
    <w:p w14:paraId="458597BF" w14:textId="77777777" w:rsidR="007B3093" w:rsidRDefault="007B3093">
      <w:pPr>
        <w:pStyle w:val="Prrafodelista"/>
        <w:tabs>
          <w:tab w:val="left" w:pos="-1440"/>
        </w:tabs>
        <w:spacing w:after="0" w:line="360" w:lineRule="auto"/>
        <w:jc w:val="both"/>
        <w:rPr>
          <w:rFonts w:cstheme="minorHAnsi"/>
        </w:rPr>
      </w:pPr>
    </w:p>
    <w:p w14:paraId="311B50EE" w14:textId="77777777" w:rsidR="007B3093" w:rsidRDefault="00000000">
      <w:pPr>
        <w:pStyle w:val="Ttulo2"/>
        <w:numPr>
          <w:ilvl w:val="1"/>
          <w:numId w:val="93"/>
        </w:numPr>
        <w:spacing w:before="0" w:line="360" w:lineRule="auto"/>
        <w:ind w:left="709" w:hanging="556"/>
        <w:rPr>
          <w:rFonts w:asciiTheme="minorHAnsi" w:hAnsiTheme="minorHAnsi" w:cstheme="minorHAnsi"/>
          <w:b/>
          <w:color w:val="auto"/>
          <w:sz w:val="22"/>
          <w:szCs w:val="22"/>
          <w:lang w:eastAsia="es-EC"/>
        </w:rPr>
      </w:pPr>
      <w:bookmarkStart w:id="32" w:name="_Toc195010061"/>
      <w:r>
        <w:rPr>
          <w:rFonts w:asciiTheme="minorHAnsi" w:hAnsiTheme="minorHAnsi" w:cstheme="minorHAnsi"/>
          <w:b/>
          <w:color w:val="auto"/>
          <w:sz w:val="22"/>
          <w:szCs w:val="22"/>
          <w:lang w:eastAsia="es-EC"/>
        </w:rPr>
        <w:t>Indicadores de resultado</w:t>
      </w:r>
      <w:bookmarkEnd w:id="32"/>
    </w:p>
    <w:p w14:paraId="7FFC8C6E" w14:textId="77777777" w:rsidR="007B3093" w:rsidRDefault="00000000">
      <w:pPr>
        <w:jc w:val="both"/>
        <w:rPr>
          <w:rFonts w:cstheme="minorHAnsi"/>
        </w:rPr>
      </w:pPr>
      <w:r>
        <w:rPr>
          <w:rFonts w:cstheme="minorHAnsi"/>
        </w:rPr>
        <w:t xml:space="preserve">Es necesario acotar que los indicadores establecidos para el proyecto se han actualizado en función del acuerdo con el financista Banco Interamericano de Desarrollo BID; con esta consideración el indicador y meta del proyecto a nivel de propósito se prolonga a 2025, es el siguiente: </w:t>
      </w:r>
    </w:p>
    <w:p w14:paraId="16A44D3A" w14:textId="77777777" w:rsidR="007B3093" w:rsidRDefault="007B3093">
      <w:pPr>
        <w:rPr>
          <w:lang w:eastAsia="es-EC"/>
        </w:rPr>
      </w:pPr>
    </w:p>
    <w:p w14:paraId="383367E3" w14:textId="77777777" w:rsidR="007B3093" w:rsidRDefault="00000000">
      <w:pPr>
        <w:pStyle w:val="Prrafodelista"/>
        <w:numPr>
          <w:ilvl w:val="0"/>
          <w:numId w:val="39"/>
        </w:numPr>
        <w:spacing w:before="120" w:after="120" w:line="360" w:lineRule="auto"/>
      </w:pPr>
      <w:r>
        <w:t xml:space="preserve">Al terminar el año 2025 se disminuirá el número de casos activos en el stock de la PGE por lo menos en un 10%, </w:t>
      </w:r>
      <w:proofErr w:type="gramStart"/>
      <w:r>
        <w:t>en relación a</w:t>
      </w:r>
      <w:proofErr w:type="gramEnd"/>
      <w:r>
        <w:t xml:space="preserve"> su línea base.</w:t>
      </w:r>
    </w:p>
    <w:p w14:paraId="272543B0" w14:textId="77777777" w:rsidR="007B3093" w:rsidRDefault="007B3093">
      <w:pPr>
        <w:pStyle w:val="Prrafodelista"/>
        <w:spacing w:before="120" w:after="120" w:line="360" w:lineRule="auto"/>
        <w:ind w:left="567"/>
      </w:pPr>
    </w:p>
    <w:p w14:paraId="5BA270B5" w14:textId="77777777" w:rsidR="007B3093" w:rsidRDefault="00000000">
      <w:pPr>
        <w:pStyle w:val="Ttulo2"/>
        <w:numPr>
          <w:ilvl w:val="1"/>
          <w:numId w:val="93"/>
        </w:numPr>
        <w:spacing w:before="0" w:line="360" w:lineRule="auto"/>
        <w:ind w:left="709" w:hanging="556"/>
        <w:rPr>
          <w:rFonts w:asciiTheme="minorHAnsi" w:hAnsiTheme="minorHAnsi" w:cstheme="minorHAnsi"/>
          <w:b/>
          <w:color w:val="auto"/>
          <w:sz w:val="22"/>
          <w:szCs w:val="22"/>
          <w:lang w:eastAsia="es-EC"/>
        </w:rPr>
      </w:pPr>
      <w:bookmarkStart w:id="33" w:name="_Toc195010062"/>
      <w:r>
        <w:rPr>
          <w:rFonts w:asciiTheme="minorHAnsi" w:hAnsiTheme="minorHAnsi" w:cstheme="minorHAnsi"/>
          <w:b/>
          <w:color w:val="auto"/>
          <w:sz w:val="22"/>
          <w:szCs w:val="22"/>
          <w:lang w:eastAsia="es-EC"/>
        </w:rPr>
        <w:t>Marco Lógico</w:t>
      </w:r>
      <w:bookmarkEnd w:id="33"/>
    </w:p>
    <w:p w14:paraId="01CAAB52" w14:textId="77777777" w:rsidR="007B3093" w:rsidRDefault="00000000">
      <w:pPr>
        <w:pStyle w:val="Prrafodelista"/>
        <w:autoSpaceDE w:val="0"/>
        <w:autoSpaceDN w:val="0"/>
        <w:adjustRightInd w:val="0"/>
        <w:spacing w:after="0" w:line="360" w:lineRule="auto"/>
        <w:ind w:left="360"/>
        <w:jc w:val="center"/>
        <w:rPr>
          <w:rFonts w:cstheme="minorHAnsi"/>
          <w:b/>
          <w:bCs/>
          <w:lang w:eastAsia="es-EC"/>
        </w:rPr>
      </w:pPr>
      <w:r>
        <w:rPr>
          <w:rFonts w:cstheme="minorHAnsi"/>
          <w:b/>
          <w:bCs/>
          <w:lang w:eastAsia="es-EC"/>
        </w:rPr>
        <w:t>Tabla 14: Matriz de Marco Lógico</w:t>
      </w:r>
    </w:p>
    <w:tbl>
      <w:tblPr>
        <w:tblW w:w="8915" w:type="dxa"/>
        <w:tblCellMar>
          <w:left w:w="70" w:type="dxa"/>
          <w:right w:w="70" w:type="dxa"/>
        </w:tblCellMar>
        <w:tblLook w:val="04A0" w:firstRow="1" w:lastRow="0" w:firstColumn="1" w:lastColumn="0" w:noHBand="0" w:noVBand="1"/>
      </w:tblPr>
      <w:tblGrid>
        <w:gridCol w:w="2189"/>
        <w:gridCol w:w="2199"/>
        <w:gridCol w:w="2458"/>
        <w:gridCol w:w="2069"/>
      </w:tblGrid>
      <w:tr w:rsidR="007B3093" w14:paraId="45E470B5" w14:textId="77777777">
        <w:trPr>
          <w:trHeight w:val="231"/>
          <w:tblHeader/>
        </w:trPr>
        <w:tc>
          <w:tcPr>
            <w:tcW w:w="8915" w:type="dxa"/>
            <w:gridSpan w:val="4"/>
            <w:tcBorders>
              <w:top w:val="single" w:sz="8" w:space="0" w:color="auto"/>
              <w:left w:val="single" w:sz="8" w:space="0" w:color="auto"/>
              <w:bottom w:val="nil"/>
              <w:right w:val="nil"/>
            </w:tcBorders>
            <w:shd w:val="clear" w:color="000000" w:fill="222A35"/>
            <w:vAlign w:val="center"/>
            <w:hideMark/>
          </w:tcPr>
          <w:p w14:paraId="571B1AEA" w14:textId="77777777" w:rsidR="007B3093" w:rsidRDefault="007B3093">
            <w:pPr>
              <w:spacing w:after="0" w:line="240" w:lineRule="auto"/>
              <w:jc w:val="center"/>
              <w:rPr>
                <w:rFonts w:ascii="Aptos Narrow" w:eastAsia="Times New Roman" w:hAnsi="Aptos Narrow" w:cs="Times New Roman"/>
                <w:b/>
                <w:bCs/>
                <w:color w:val="FFFFFF"/>
                <w:sz w:val="14"/>
                <w:szCs w:val="14"/>
                <w:u w:val="single"/>
                <w:lang w:eastAsia="es-EC"/>
              </w:rPr>
            </w:pPr>
            <w:hyperlink r:id="rId16" w:anchor="MML!A85" w:history="1">
              <w:r>
                <w:rPr>
                  <w:rFonts w:ascii="Aptos Narrow" w:eastAsia="Times New Roman" w:hAnsi="Aptos Narrow" w:cs="Times New Roman"/>
                  <w:b/>
                  <w:bCs/>
                  <w:color w:val="FFFFFF"/>
                  <w:sz w:val="14"/>
                  <w:szCs w:val="14"/>
                  <w:u w:val="single"/>
                  <w:lang w:eastAsia="es-EC"/>
                </w:rPr>
                <w:t>MATRIZ DE MARCO LÓGICO</w:t>
              </w:r>
            </w:hyperlink>
          </w:p>
        </w:tc>
      </w:tr>
      <w:tr w:rsidR="007B3093" w14:paraId="5F30CE76" w14:textId="77777777">
        <w:trPr>
          <w:trHeight w:val="231"/>
          <w:tblHeader/>
        </w:trPr>
        <w:tc>
          <w:tcPr>
            <w:tcW w:w="2189" w:type="dxa"/>
            <w:tcBorders>
              <w:top w:val="single" w:sz="4" w:space="0" w:color="auto"/>
              <w:left w:val="single" w:sz="4" w:space="0" w:color="auto"/>
              <w:bottom w:val="single" w:sz="4" w:space="0" w:color="auto"/>
              <w:right w:val="single" w:sz="4" w:space="0" w:color="auto"/>
            </w:tcBorders>
            <w:shd w:val="clear" w:color="000000" w:fill="222A35"/>
            <w:vAlign w:val="center"/>
            <w:hideMark/>
          </w:tcPr>
          <w:p w14:paraId="67C4973C"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RESUMEN NARRATIVO DE LOS OBJETIVOS</w:t>
            </w:r>
          </w:p>
        </w:tc>
        <w:tc>
          <w:tcPr>
            <w:tcW w:w="2199" w:type="dxa"/>
            <w:tcBorders>
              <w:top w:val="single" w:sz="4" w:space="0" w:color="auto"/>
              <w:left w:val="nil"/>
              <w:bottom w:val="single" w:sz="4" w:space="0" w:color="auto"/>
              <w:right w:val="single" w:sz="4" w:space="0" w:color="auto"/>
            </w:tcBorders>
            <w:shd w:val="clear" w:color="000000" w:fill="222A35"/>
            <w:vAlign w:val="center"/>
            <w:hideMark/>
          </w:tcPr>
          <w:p w14:paraId="7BEABD92"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INDICADORES VERIFICABLES OBJETIVAMENTE</w:t>
            </w:r>
          </w:p>
        </w:tc>
        <w:tc>
          <w:tcPr>
            <w:tcW w:w="2457" w:type="dxa"/>
            <w:tcBorders>
              <w:top w:val="single" w:sz="4" w:space="0" w:color="auto"/>
              <w:left w:val="nil"/>
              <w:bottom w:val="single" w:sz="4" w:space="0" w:color="auto"/>
              <w:right w:val="single" w:sz="4" w:space="0" w:color="auto"/>
            </w:tcBorders>
            <w:shd w:val="clear" w:color="000000" w:fill="222A35"/>
            <w:vAlign w:val="center"/>
            <w:hideMark/>
          </w:tcPr>
          <w:p w14:paraId="77779601"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MEDIOS DE VERIFICACIÓN</w:t>
            </w:r>
          </w:p>
        </w:tc>
        <w:tc>
          <w:tcPr>
            <w:tcW w:w="2069" w:type="dxa"/>
            <w:tcBorders>
              <w:top w:val="single" w:sz="4" w:space="0" w:color="auto"/>
              <w:left w:val="nil"/>
              <w:bottom w:val="single" w:sz="4" w:space="0" w:color="auto"/>
              <w:right w:val="single" w:sz="4" w:space="0" w:color="auto"/>
            </w:tcBorders>
            <w:shd w:val="clear" w:color="000000" w:fill="222A35"/>
            <w:vAlign w:val="center"/>
            <w:hideMark/>
          </w:tcPr>
          <w:p w14:paraId="41C289E4"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SUPUESTOS</w:t>
            </w:r>
          </w:p>
        </w:tc>
      </w:tr>
      <w:tr w:rsidR="007B3093" w14:paraId="77359C23" w14:textId="77777777">
        <w:trPr>
          <w:trHeight w:val="231"/>
        </w:trPr>
        <w:tc>
          <w:tcPr>
            <w:tcW w:w="8915" w:type="dxa"/>
            <w:gridSpan w:val="4"/>
            <w:tcBorders>
              <w:top w:val="single" w:sz="4" w:space="0" w:color="auto"/>
              <w:left w:val="single" w:sz="4" w:space="0" w:color="auto"/>
              <w:bottom w:val="single" w:sz="4" w:space="0" w:color="auto"/>
              <w:right w:val="single" w:sz="4" w:space="0" w:color="auto"/>
            </w:tcBorders>
            <w:shd w:val="clear" w:color="000000" w:fill="D5DCE4"/>
            <w:vAlign w:val="center"/>
            <w:hideMark/>
          </w:tcPr>
          <w:p w14:paraId="6E6D6E83"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FIN</w:t>
            </w:r>
          </w:p>
        </w:tc>
      </w:tr>
      <w:tr w:rsidR="007B3093" w14:paraId="3D84E016" w14:textId="77777777">
        <w:trPr>
          <w:trHeight w:val="982"/>
        </w:trPr>
        <w:tc>
          <w:tcPr>
            <w:tcW w:w="2189" w:type="dxa"/>
            <w:tcBorders>
              <w:top w:val="nil"/>
              <w:left w:val="single" w:sz="4" w:space="0" w:color="auto"/>
              <w:bottom w:val="single" w:sz="4" w:space="0" w:color="auto"/>
              <w:right w:val="single" w:sz="4" w:space="0" w:color="auto"/>
            </w:tcBorders>
            <w:shd w:val="clear" w:color="auto" w:fill="auto"/>
            <w:vAlign w:val="center"/>
            <w:hideMark/>
          </w:tcPr>
          <w:p w14:paraId="5EB3D0F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Incrementar la seguridad jurídica del Estado mediante el aporte que genere el fortalecimiento institucional de la PGE en el cumplimiento de su labor de: asesoramiento legal, control de actos y contratos públicos y, la representación jurídica del Estado.</w:t>
            </w:r>
          </w:p>
        </w:tc>
        <w:tc>
          <w:tcPr>
            <w:tcW w:w="2199" w:type="dxa"/>
            <w:tcBorders>
              <w:top w:val="nil"/>
              <w:left w:val="nil"/>
              <w:bottom w:val="single" w:sz="4" w:space="0" w:color="auto"/>
              <w:right w:val="single" w:sz="4" w:space="0" w:color="auto"/>
            </w:tcBorders>
            <w:shd w:val="clear" w:color="auto" w:fill="auto"/>
            <w:vAlign w:val="center"/>
            <w:hideMark/>
          </w:tcPr>
          <w:p w14:paraId="336577D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 diciembre de 2025 con la implementación del 100% del proyecto de fortalecimiento, la PGE aportará con la seguridad jurídica, la defensa técnica del Estado e impulsará medidas para la prevención, control y sanción de conflictos de interés y opacidad en las contrataciones y servicios del Estado.</w:t>
            </w:r>
          </w:p>
        </w:tc>
        <w:tc>
          <w:tcPr>
            <w:tcW w:w="2457" w:type="dxa"/>
            <w:tcBorders>
              <w:top w:val="single" w:sz="4" w:space="0" w:color="auto"/>
              <w:left w:val="nil"/>
              <w:bottom w:val="single" w:sz="4" w:space="0" w:color="auto"/>
              <w:right w:val="single" w:sz="4" w:space="0" w:color="auto"/>
            </w:tcBorders>
            <w:shd w:val="clear" w:color="auto" w:fill="auto"/>
            <w:vAlign w:val="center"/>
            <w:hideMark/>
          </w:tcPr>
          <w:p w14:paraId="56B44016"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Reportes generados por el Sistema de Gestión de Trámites de la PGE. Documentación: informes, metodologías, manuales de Procesos, procedimientos, de puestos, planes.</w:t>
            </w:r>
          </w:p>
        </w:tc>
        <w:tc>
          <w:tcPr>
            <w:tcW w:w="2069" w:type="dxa"/>
            <w:tcBorders>
              <w:top w:val="nil"/>
              <w:left w:val="nil"/>
              <w:bottom w:val="single" w:sz="4" w:space="0" w:color="auto"/>
              <w:right w:val="single" w:sz="4" w:space="0" w:color="auto"/>
            </w:tcBorders>
            <w:shd w:val="clear" w:color="auto" w:fill="auto"/>
            <w:vAlign w:val="center"/>
            <w:hideMark/>
          </w:tcPr>
          <w:p w14:paraId="5C0B6DEC"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Contar con los recursos para la puesta en marcha del Proyecto de Fortalecimiento Institucional de la PGE.</w:t>
            </w:r>
          </w:p>
        </w:tc>
      </w:tr>
      <w:tr w:rsidR="007B3093" w14:paraId="58B576A8" w14:textId="77777777">
        <w:trPr>
          <w:trHeight w:val="231"/>
        </w:trPr>
        <w:tc>
          <w:tcPr>
            <w:tcW w:w="8915" w:type="dxa"/>
            <w:gridSpan w:val="4"/>
            <w:tcBorders>
              <w:top w:val="single" w:sz="4" w:space="0" w:color="auto"/>
              <w:left w:val="single" w:sz="4" w:space="0" w:color="auto"/>
              <w:bottom w:val="single" w:sz="4" w:space="0" w:color="auto"/>
              <w:right w:val="single" w:sz="4" w:space="0" w:color="auto"/>
            </w:tcBorders>
            <w:shd w:val="clear" w:color="000000" w:fill="D5DCE4"/>
            <w:vAlign w:val="center"/>
            <w:hideMark/>
          </w:tcPr>
          <w:p w14:paraId="2D956E4E"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PROPÓSITO</w:t>
            </w:r>
          </w:p>
        </w:tc>
      </w:tr>
      <w:tr w:rsidR="007B3093" w14:paraId="685F798B" w14:textId="77777777">
        <w:trPr>
          <w:trHeight w:val="982"/>
        </w:trPr>
        <w:tc>
          <w:tcPr>
            <w:tcW w:w="2189" w:type="dxa"/>
            <w:tcBorders>
              <w:top w:val="nil"/>
              <w:left w:val="single" w:sz="4" w:space="0" w:color="auto"/>
              <w:bottom w:val="single" w:sz="4" w:space="0" w:color="auto"/>
              <w:right w:val="single" w:sz="4" w:space="0" w:color="auto"/>
            </w:tcBorders>
            <w:shd w:val="clear" w:color="auto" w:fill="auto"/>
            <w:vAlign w:val="center"/>
            <w:hideMark/>
          </w:tcPr>
          <w:p w14:paraId="44960072"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Fortalecer la gestión institucional de la PGE mediante el diseño e implementación de la estructura y funciones de este organismo, consolidando sus capacidades legales, técnicas, financieras y administrativas en un nuevo modelo de gestión “La Procuraduría del Futuro”.</w:t>
            </w:r>
          </w:p>
        </w:tc>
        <w:tc>
          <w:tcPr>
            <w:tcW w:w="2199" w:type="dxa"/>
            <w:tcBorders>
              <w:top w:val="nil"/>
              <w:left w:val="nil"/>
              <w:bottom w:val="single" w:sz="4" w:space="0" w:color="auto"/>
              <w:right w:val="single" w:sz="4" w:space="0" w:color="auto"/>
            </w:tcBorders>
            <w:shd w:val="clear" w:color="auto" w:fill="auto"/>
            <w:vAlign w:val="center"/>
            <w:hideMark/>
          </w:tcPr>
          <w:p w14:paraId="499BE117"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Al terminar el año 2025 se disminuirá el número de casos activos en el stock de la PGE por lo menos en un 10%, en relación con su línea base.</w:t>
            </w:r>
          </w:p>
        </w:tc>
        <w:tc>
          <w:tcPr>
            <w:tcW w:w="2457" w:type="dxa"/>
            <w:tcBorders>
              <w:top w:val="single" w:sz="4" w:space="0" w:color="auto"/>
              <w:left w:val="nil"/>
              <w:bottom w:val="single" w:sz="4" w:space="0" w:color="auto"/>
              <w:right w:val="single" w:sz="4" w:space="0" w:color="auto"/>
            </w:tcBorders>
            <w:shd w:val="clear" w:color="auto" w:fill="auto"/>
            <w:vAlign w:val="center"/>
            <w:hideMark/>
          </w:tcPr>
          <w:p w14:paraId="7C171AB9"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Reportes generados por el Sistema de Gestión de Trámites de la PGE.</w:t>
            </w:r>
          </w:p>
        </w:tc>
        <w:tc>
          <w:tcPr>
            <w:tcW w:w="2069" w:type="dxa"/>
            <w:tcBorders>
              <w:top w:val="nil"/>
              <w:left w:val="nil"/>
              <w:bottom w:val="single" w:sz="4" w:space="0" w:color="auto"/>
              <w:right w:val="single" w:sz="4" w:space="0" w:color="auto"/>
            </w:tcBorders>
            <w:shd w:val="clear" w:color="auto" w:fill="auto"/>
            <w:vAlign w:val="center"/>
            <w:hideMark/>
          </w:tcPr>
          <w:p w14:paraId="1D693693"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Implementación del Proyecto de Fortalecimiento a nivel nacional.</w:t>
            </w:r>
          </w:p>
        </w:tc>
      </w:tr>
      <w:tr w:rsidR="007B3093" w14:paraId="321ACADD" w14:textId="77777777">
        <w:trPr>
          <w:trHeight w:val="231"/>
        </w:trPr>
        <w:tc>
          <w:tcPr>
            <w:tcW w:w="8915" w:type="dxa"/>
            <w:gridSpan w:val="4"/>
            <w:tcBorders>
              <w:top w:val="single" w:sz="4" w:space="0" w:color="auto"/>
              <w:left w:val="single" w:sz="4" w:space="0" w:color="auto"/>
              <w:bottom w:val="single" w:sz="4" w:space="0" w:color="auto"/>
              <w:right w:val="single" w:sz="4" w:space="0" w:color="auto"/>
            </w:tcBorders>
            <w:shd w:val="clear" w:color="000000" w:fill="D5DCE4"/>
            <w:vAlign w:val="center"/>
            <w:hideMark/>
          </w:tcPr>
          <w:p w14:paraId="31C6C906"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COMPONENTES</w:t>
            </w:r>
          </w:p>
        </w:tc>
      </w:tr>
      <w:tr w:rsidR="007B3093" w14:paraId="26626956" w14:textId="77777777">
        <w:trPr>
          <w:trHeight w:val="736"/>
        </w:trPr>
        <w:tc>
          <w:tcPr>
            <w:tcW w:w="2189" w:type="dxa"/>
            <w:tcBorders>
              <w:top w:val="nil"/>
              <w:left w:val="single" w:sz="4" w:space="0" w:color="auto"/>
              <w:bottom w:val="single" w:sz="4" w:space="0" w:color="auto"/>
              <w:right w:val="single" w:sz="4" w:space="0" w:color="auto"/>
            </w:tcBorders>
            <w:shd w:val="clear" w:color="auto" w:fill="auto"/>
            <w:vAlign w:val="center"/>
            <w:hideMark/>
          </w:tcPr>
          <w:p w14:paraId="48E55867"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w:t>
            </w:r>
            <w:r>
              <w:rPr>
                <w:rFonts w:ascii="Times New Roman" w:eastAsia="Times New Roman" w:hAnsi="Times New Roman" w:cs="Times New Roman"/>
                <w:color w:val="000000"/>
                <w:sz w:val="14"/>
                <w:szCs w:val="14"/>
                <w:lang w:eastAsia="es-EC"/>
              </w:rPr>
              <w:t xml:space="preserve">       </w:t>
            </w:r>
            <w:r>
              <w:rPr>
                <w:rFonts w:ascii="Calibri" w:eastAsia="Times New Roman" w:hAnsi="Calibri" w:cs="Calibri"/>
                <w:color w:val="000000"/>
                <w:sz w:val="14"/>
                <w:szCs w:val="14"/>
                <w:lang w:eastAsia="es-EC"/>
              </w:rPr>
              <w:t>Diseñar e implementar el modelo de gestión de la PGE.</w:t>
            </w:r>
          </w:p>
        </w:tc>
        <w:tc>
          <w:tcPr>
            <w:tcW w:w="2199" w:type="dxa"/>
            <w:tcBorders>
              <w:top w:val="nil"/>
              <w:left w:val="nil"/>
              <w:bottom w:val="single" w:sz="4" w:space="0" w:color="auto"/>
              <w:right w:val="single" w:sz="4" w:space="0" w:color="auto"/>
            </w:tcBorders>
            <w:shd w:val="clear" w:color="auto" w:fill="auto"/>
            <w:vAlign w:val="center"/>
            <w:hideMark/>
          </w:tcPr>
          <w:p w14:paraId="217D3246"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 2025 se contará con un nuevo Modelo de gestión Institucional e instrumentos 100% implementados a nivel nacional.</w:t>
            </w:r>
          </w:p>
        </w:tc>
        <w:tc>
          <w:tcPr>
            <w:tcW w:w="2457" w:type="dxa"/>
            <w:tcBorders>
              <w:top w:val="nil"/>
              <w:left w:val="nil"/>
              <w:bottom w:val="single" w:sz="4" w:space="0" w:color="auto"/>
              <w:right w:val="single" w:sz="4" w:space="0" w:color="auto"/>
            </w:tcBorders>
            <w:shd w:val="clear" w:color="auto" w:fill="auto"/>
            <w:vAlign w:val="center"/>
            <w:hideMark/>
          </w:tcPr>
          <w:p w14:paraId="5AFE6C83"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Documentación: informes, metodologías, manuales de Procesos, procedimientos, de puestos, planes, actas entrega recepción de los servicios recibidos.</w:t>
            </w:r>
          </w:p>
        </w:tc>
        <w:tc>
          <w:tcPr>
            <w:tcW w:w="2069" w:type="dxa"/>
            <w:tcBorders>
              <w:top w:val="nil"/>
              <w:left w:val="nil"/>
              <w:bottom w:val="single" w:sz="4" w:space="0" w:color="auto"/>
              <w:right w:val="single" w:sz="4" w:space="0" w:color="auto"/>
            </w:tcBorders>
            <w:shd w:val="clear" w:color="auto" w:fill="auto"/>
            <w:vAlign w:val="center"/>
            <w:hideMark/>
          </w:tcPr>
          <w:p w14:paraId="6D95C98F"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Institución empoderada y trabajando en el proyecto de Fortalecimiento</w:t>
            </w:r>
          </w:p>
        </w:tc>
      </w:tr>
      <w:tr w:rsidR="007B3093" w14:paraId="523EF75E" w14:textId="77777777">
        <w:trPr>
          <w:trHeight w:val="619"/>
        </w:trPr>
        <w:tc>
          <w:tcPr>
            <w:tcW w:w="2189" w:type="dxa"/>
            <w:tcBorders>
              <w:top w:val="nil"/>
              <w:left w:val="single" w:sz="4" w:space="0" w:color="auto"/>
              <w:bottom w:val="single" w:sz="4" w:space="0" w:color="auto"/>
              <w:right w:val="single" w:sz="4" w:space="0" w:color="auto"/>
            </w:tcBorders>
            <w:shd w:val="clear" w:color="auto" w:fill="auto"/>
            <w:vAlign w:val="center"/>
            <w:hideMark/>
          </w:tcPr>
          <w:p w14:paraId="286FE1C9"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2.</w:t>
            </w:r>
            <w:r>
              <w:rPr>
                <w:rFonts w:ascii="Times New Roman" w:eastAsia="Times New Roman" w:hAnsi="Times New Roman" w:cs="Times New Roman"/>
                <w:color w:val="000000"/>
                <w:sz w:val="14"/>
                <w:szCs w:val="14"/>
                <w:lang w:eastAsia="es-EC"/>
              </w:rPr>
              <w:t xml:space="preserve">       </w:t>
            </w:r>
            <w:r>
              <w:rPr>
                <w:rFonts w:ascii="Calibri" w:eastAsia="Times New Roman" w:hAnsi="Calibri" w:cs="Calibri"/>
                <w:color w:val="000000"/>
                <w:sz w:val="14"/>
                <w:szCs w:val="14"/>
                <w:lang w:eastAsia="es-EC"/>
              </w:rPr>
              <w:t>Fortalecer la Defensa legal del Estado.</w:t>
            </w:r>
          </w:p>
        </w:tc>
        <w:tc>
          <w:tcPr>
            <w:tcW w:w="2199" w:type="dxa"/>
            <w:tcBorders>
              <w:top w:val="nil"/>
              <w:left w:val="nil"/>
              <w:bottom w:val="single" w:sz="4" w:space="0" w:color="auto"/>
              <w:right w:val="single" w:sz="4" w:space="0" w:color="auto"/>
            </w:tcBorders>
            <w:shd w:val="clear" w:color="auto" w:fill="auto"/>
            <w:vAlign w:val="center"/>
            <w:hideMark/>
          </w:tcPr>
          <w:p w14:paraId="673591D1"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 2025 se contará por lo menos con cuatro actividades implementadas de fortalecimiento de la defensa legal del Estado conforme el contrato de crédito 4812.</w:t>
            </w:r>
          </w:p>
        </w:tc>
        <w:tc>
          <w:tcPr>
            <w:tcW w:w="2457" w:type="dxa"/>
            <w:tcBorders>
              <w:top w:val="nil"/>
              <w:left w:val="nil"/>
              <w:bottom w:val="single" w:sz="4" w:space="0" w:color="auto"/>
              <w:right w:val="single" w:sz="4" w:space="0" w:color="auto"/>
            </w:tcBorders>
            <w:shd w:val="clear" w:color="auto" w:fill="auto"/>
            <w:vAlign w:val="center"/>
            <w:hideMark/>
          </w:tcPr>
          <w:p w14:paraId="0D27E8C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Documentación: informes, metodologías, manuales de Procesos, procedimientos, actas entrega recepción de los servicios recibidos, otros.</w:t>
            </w:r>
          </w:p>
        </w:tc>
        <w:tc>
          <w:tcPr>
            <w:tcW w:w="2069" w:type="dxa"/>
            <w:tcBorders>
              <w:top w:val="nil"/>
              <w:left w:val="nil"/>
              <w:bottom w:val="single" w:sz="4" w:space="0" w:color="auto"/>
              <w:right w:val="single" w:sz="4" w:space="0" w:color="auto"/>
            </w:tcBorders>
            <w:shd w:val="clear" w:color="auto" w:fill="auto"/>
            <w:vAlign w:val="center"/>
            <w:hideMark/>
          </w:tcPr>
          <w:p w14:paraId="4F1ACD33"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Cumplimiento de contratos por parte de los proveedores adjudicados.</w:t>
            </w:r>
          </w:p>
        </w:tc>
      </w:tr>
      <w:tr w:rsidR="007B3093" w14:paraId="3F33FF1A" w14:textId="77777777">
        <w:trPr>
          <w:trHeight w:val="666"/>
        </w:trPr>
        <w:tc>
          <w:tcPr>
            <w:tcW w:w="2189" w:type="dxa"/>
            <w:tcBorders>
              <w:top w:val="nil"/>
              <w:left w:val="single" w:sz="4" w:space="0" w:color="auto"/>
              <w:bottom w:val="single" w:sz="4" w:space="0" w:color="auto"/>
              <w:right w:val="single" w:sz="4" w:space="0" w:color="auto"/>
            </w:tcBorders>
            <w:shd w:val="clear" w:color="auto" w:fill="auto"/>
            <w:vAlign w:val="center"/>
            <w:hideMark/>
          </w:tcPr>
          <w:p w14:paraId="54A4A2D2"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3.</w:t>
            </w:r>
            <w:r>
              <w:rPr>
                <w:rFonts w:ascii="Times New Roman" w:eastAsia="Times New Roman" w:hAnsi="Times New Roman" w:cs="Times New Roman"/>
                <w:color w:val="000000"/>
                <w:sz w:val="14"/>
                <w:szCs w:val="14"/>
                <w:lang w:eastAsia="es-EC"/>
              </w:rPr>
              <w:t xml:space="preserve">  </w:t>
            </w:r>
            <w:r>
              <w:rPr>
                <w:rFonts w:ascii="Calibri" w:eastAsia="Times New Roman" w:hAnsi="Calibri" w:cs="Calibri"/>
                <w:color w:val="000000"/>
                <w:sz w:val="14"/>
                <w:szCs w:val="14"/>
                <w:lang w:eastAsia="es-EC"/>
              </w:rPr>
              <w:t>Fortalecer la capacidad de control, consultoría y asesoría legal de la PGE.</w:t>
            </w:r>
          </w:p>
        </w:tc>
        <w:tc>
          <w:tcPr>
            <w:tcW w:w="2199" w:type="dxa"/>
            <w:tcBorders>
              <w:top w:val="nil"/>
              <w:left w:val="nil"/>
              <w:bottom w:val="single" w:sz="4" w:space="0" w:color="auto"/>
              <w:right w:val="single" w:sz="4" w:space="0" w:color="auto"/>
            </w:tcBorders>
            <w:shd w:val="clear" w:color="auto" w:fill="auto"/>
            <w:vAlign w:val="center"/>
            <w:hideMark/>
          </w:tcPr>
          <w:p w14:paraId="4B072BA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A 2025 se contará por lo menos con cuatro actividades implementadas de fortalecimiento de la capacidad de asesoría y respuesta a consultas legales. </w:t>
            </w:r>
          </w:p>
        </w:tc>
        <w:tc>
          <w:tcPr>
            <w:tcW w:w="2457" w:type="dxa"/>
            <w:tcBorders>
              <w:top w:val="nil"/>
              <w:left w:val="nil"/>
              <w:bottom w:val="single" w:sz="4" w:space="0" w:color="auto"/>
              <w:right w:val="single" w:sz="4" w:space="0" w:color="auto"/>
            </w:tcBorders>
            <w:shd w:val="clear" w:color="auto" w:fill="auto"/>
            <w:vAlign w:val="center"/>
            <w:hideMark/>
          </w:tcPr>
          <w:p w14:paraId="6D23806F"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Documentación: informes, metodologías, manuales de Procesos, procedimientos, actas entrega recepción de los servicios recibidos, otros</w:t>
            </w:r>
          </w:p>
        </w:tc>
        <w:tc>
          <w:tcPr>
            <w:tcW w:w="2069" w:type="dxa"/>
            <w:tcBorders>
              <w:top w:val="nil"/>
              <w:left w:val="nil"/>
              <w:bottom w:val="single" w:sz="4" w:space="0" w:color="auto"/>
              <w:right w:val="single" w:sz="4" w:space="0" w:color="auto"/>
            </w:tcBorders>
            <w:shd w:val="clear" w:color="auto" w:fill="auto"/>
            <w:vAlign w:val="center"/>
            <w:hideMark/>
          </w:tcPr>
          <w:p w14:paraId="06031472"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Cumplimiento de contratos por parte de los proveedores adjudicados.</w:t>
            </w:r>
          </w:p>
        </w:tc>
      </w:tr>
      <w:tr w:rsidR="007B3093" w14:paraId="377B3D4C" w14:textId="77777777">
        <w:trPr>
          <w:trHeight w:val="561"/>
        </w:trPr>
        <w:tc>
          <w:tcPr>
            <w:tcW w:w="2189" w:type="dxa"/>
            <w:tcBorders>
              <w:top w:val="nil"/>
              <w:left w:val="single" w:sz="4" w:space="0" w:color="auto"/>
              <w:bottom w:val="single" w:sz="4" w:space="0" w:color="auto"/>
              <w:right w:val="single" w:sz="4" w:space="0" w:color="auto"/>
            </w:tcBorders>
            <w:shd w:val="clear" w:color="auto" w:fill="auto"/>
            <w:vAlign w:val="center"/>
            <w:hideMark/>
          </w:tcPr>
          <w:p w14:paraId="48CE704C"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4.</w:t>
            </w:r>
            <w:r>
              <w:rPr>
                <w:rFonts w:ascii="Times New Roman" w:eastAsia="Times New Roman" w:hAnsi="Times New Roman" w:cs="Times New Roman"/>
                <w:color w:val="000000"/>
                <w:sz w:val="14"/>
                <w:szCs w:val="14"/>
                <w:lang w:eastAsia="es-EC"/>
              </w:rPr>
              <w:t xml:space="preserve">       </w:t>
            </w:r>
            <w:r>
              <w:rPr>
                <w:rFonts w:ascii="Calibri" w:eastAsia="Times New Roman" w:hAnsi="Calibri" w:cs="Calibri"/>
                <w:color w:val="000000"/>
                <w:sz w:val="14"/>
                <w:szCs w:val="14"/>
                <w:lang w:eastAsia="es-EC"/>
              </w:rPr>
              <w:t>Fortalecer los centros de mediación de la PGE.</w:t>
            </w:r>
          </w:p>
        </w:tc>
        <w:tc>
          <w:tcPr>
            <w:tcW w:w="2199" w:type="dxa"/>
            <w:tcBorders>
              <w:top w:val="nil"/>
              <w:left w:val="nil"/>
              <w:bottom w:val="single" w:sz="4" w:space="0" w:color="auto"/>
              <w:right w:val="single" w:sz="4" w:space="0" w:color="auto"/>
            </w:tcBorders>
            <w:shd w:val="clear" w:color="auto" w:fill="auto"/>
            <w:vAlign w:val="center"/>
            <w:hideMark/>
          </w:tcPr>
          <w:p w14:paraId="32B6E402"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 2025 se contará por lo menos con 3 Centros de Mediación a nivel nacional fortalecidos.</w:t>
            </w:r>
          </w:p>
        </w:tc>
        <w:tc>
          <w:tcPr>
            <w:tcW w:w="2457" w:type="dxa"/>
            <w:tcBorders>
              <w:top w:val="nil"/>
              <w:left w:val="nil"/>
              <w:bottom w:val="single" w:sz="4" w:space="0" w:color="auto"/>
              <w:right w:val="single" w:sz="4" w:space="0" w:color="auto"/>
            </w:tcBorders>
            <w:shd w:val="clear" w:color="auto" w:fill="auto"/>
            <w:vAlign w:val="center"/>
            <w:hideMark/>
          </w:tcPr>
          <w:p w14:paraId="2D55F6BF"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Actas entrega recepción definitiva de los bienes y/o servicios adquiridos.</w:t>
            </w:r>
          </w:p>
        </w:tc>
        <w:tc>
          <w:tcPr>
            <w:tcW w:w="2069" w:type="dxa"/>
            <w:tcBorders>
              <w:top w:val="nil"/>
              <w:left w:val="nil"/>
              <w:bottom w:val="single" w:sz="4" w:space="0" w:color="auto"/>
              <w:right w:val="single" w:sz="4" w:space="0" w:color="auto"/>
            </w:tcBorders>
            <w:shd w:val="clear" w:color="auto" w:fill="auto"/>
            <w:vAlign w:val="center"/>
            <w:hideMark/>
          </w:tcPr>
          <w:p w14:paraId="55E7C4F1"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Cumplimiento de contratos por parte de los proveedores adjudicados.</w:t>
            </w:r>
          </w:p>
        </w:tc>
      </w:tr>
      <w:tr w:rsidR="007B3093" w14:paraId="27B10739" w14:textId="77777777">
        <w:trPr>
          <w:trHeight w:val="520"/>
        </w:trPr>
        <w:tc>
          <w:tcPr>
            <w:tcW w:w="2189" w:type="dxa"/>
            <w:tcBorders>
              <w:top w:val="nil"/>
              <w:left w:val="single" w:sz="4" w:space="0" w:color="auto"/>
              <w:bottom w:val="single" w:sz="4" w:space="0" w:color="auto"/>
              <w:right w:val="single" w:sz="4" w:space="0" w:color="auto"/>
            </w:tcBorders>
            <w:shd w:val="clear" w:color="auto" w:fill="auto"/>
            <w:vAlign w:val="center"/>
            <w:hideMark/>
          </w:tcPr>
          <w:p w14:paraId="0DEB6E18"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5.</w:t>
            </w:r>
            <w:r>
              <w:rPr>
                <w:rFonts w:ascii="Times New Roman" w:eastAsia="Times New Roman" w:hAnsi="Times New Roman" w:cs="Times New Roman"/>
                <w:color w:val="000000"/>
                <w:sz w:val="14"/>
                <w:szCs w:val="14"/>
                <w:lang w:eastAsia="es-EC"/>
              </w:rPr>
              <w:t xml:space="preserve">       </w:t>
            </w:r>
            <w:r>
              <w:rPr>
                <w:rFonts w:ascii="Calibri" w:eastAsia="Times New Roman" w:hAnsi="Calibri" w:cs="Calibri"/>
                <w:color w:val="000000"/>
                <w:sz w:val="14"/>
                <w:szCs w:val="14"/>
                <w:lang w:eastAsia="es-EC"/>
              </w:rPr>
              <w:t>Diseñar e implementar la estrategia de comunicación de la PGE.</w:t>
            </w:r>
          </w:p>
        </w:tc>
        <w:tc>
          <w:tcPr>
            <w:tcW w:w="2199" w:type="dxa"/>
            <w:tcBorders>
              <w:top w:val="nil"/>
              <w:left w:val="nil"/>
              <w:bottom w:val="single" w:sz="4" w:space="0" w:color="auto"/>
              <w:right w:val="single" w:sz="4" w:space="0" w:color="auto"/>
            </w:tcBorders>
            <w:shd w:val="clear" w:color="auto" w:fill="auto"/>
            <w:vAlign w:val="center"/>
            <w:hideMark/>
          </w:tcPr>
          <w:p w14:paraId="1BEB4E43"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 2025 contará con una estrategia de comunicación 100% implementada.</w:t>
            </w:r>
          </w:p>
        </w:tc>
        <w:tc>
          <w:tcPr>
            <w:tcW w:w="2457" w:type="dxa"/>
            <w:tcBorders>
              <w:top w:val="nil"/>
              <w:left w:val="nil"/>
              <w:bottom w:val="single" w:sz="4" w:space="0" w:color="auto"/>
              <w:right w:val="single" w:sz="4" w:space="0" w:color="auto"/>
            </w:tcBorders>
            <w:shd w:val="clear" w:color="auto" w:fill="auto"/>
            <w:vAlign w:val="center"/>
            <w:hideMark/>
          </w:tcPr>
          <w:p w14:paraId="2D261504"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Documentación: informes, metodologías, manuales de Procesos, procedimientos, actas entrega recepción de los servicios recibidos, otros</w:t>
            </w:r>
          </w:p>
        </w:tc>
        <w:tc>
          <w:tcPr>
            <w:tcW w:w="2069" w:type="dxa"/>
            <w:tcBorders>
              <w:top w:val="nil"/>
              <w:left w:val="nil"/>
              <w:bottom w:val="single" w:sz="4" w:space="0" w:color="auto"/>
              <w:right w:val="single" w:sz="4" w:space="0" w:color="auto"/>
            </w:tcBorders>
            <w:shd w:val="clear" w:color="auto" w:fill="auto"/>
            <w:vAlign w:val="center"/>
            <w:hideMark/>
          </w:tcPr>
          <w:p w14:paraId="29010888"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Público en general con mejor conocimiento de las funciones de la PGE.</w:t>
            </w:r>
          </w:p>
        </w:tc>
      </w:tr>
      <w:tr w:rsidR="007B3093" w14:paraId="3311093B" w14:textId="77777777">
        <w:trPr>
          <w:trHeight w:val="231"/>
        </w:trPr>
        <w:tc>
          <w:tcPr>
            <w:tcW w:w="8915" w:type="dxa"/>
            <w:gridSpan w:val="4"/>
            <w:tcBorders>
              <w:top w:val="single" w:sz="4" w:space="0" w:color="auto"/>
              <w:left w:val="single" w:sz="4" w:space="0" w:color="auto"/>
              <w:bottom w:val="single" w:sz="4" w:space="0" w:color="auto"/>
              <w:right w:val="single" w:sz="4" w:space="0" w:color="auto"/>
            </w:tcBorders>
            <w:shd w:val="clear" w:color="000000" w:fill="D5DCE4"/>
            <w:vAlign w:val="center"/>
            <w:hideMark/>
          </w:tcPr>
          <w:p w14:paraId="4D6EE9ED"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ACTIVIDADES</w:t>
            </w:r>
          </w:p>
        </w:tc>
      </w:tr>
      <w:tr w:rsidR="007B3093" w14:paraId="52F1E155" w14:textId="77777777">
        <w:trPr>
          <w:trHeight w:val="231"/>
        </w:trPr>
        <w:tc>
          <w:tcPr>
            <w:tcW w:w="2189" w:type="dxa"/>
            <w:tcBorders>
              <w:top w:val="nil"/>
              <w:left w:val="single" w:sz="4" w:space="0" w:color="auto"/>
              <w:bottom w:val="single" w:sz="4" w:space="0" w:color="auto"/>
              <w:right w:val="single" w:sz="4" w:space="0" w:color="auto"/>
            </w:tcBorders>
            <w:shd w:val="clear" w:color="000000" w:fill="D5DCE4"/>
            <w:vAlign w:val="center"/>
            <w:hideMark/>
          </w:tcPr>
          <w:p w14:paraId="2F9BF7FF"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ACTIVIDADES</w:t>
            </w:r>
          </w:p>
        </w:tc>
        <w:tc>
          <w:tcPr>
            <w:tcW w:w="2199" w:type="dxa"/>
            <w:tcBorders>
              <w:top w:val="nil"/>
              <w:left w:val="nil"/>
              <w:bottom w:val="single" w:sz="4" w:space="0" w:color="auto"/>
              <w:right w:val="single" w:sz="4" w:space="0" w:color="auto"/>
            </w:tcBorders>
            <w:shd w:val="clear" w:color="000000" w:fill="D5DCE4"/>
            <w:vAlign w:val="center"/>
            <w:hideMark/>
          </w:tcPr>
          <w:p w14:paraId="0D85CA21"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PRESUPUESTO</w:t>
            </w:r>
          </w:p>
        </w:tc>
        <w:tc>
          <w:tcPr>
            <w:tcW w:w="2457" w:type="dxa"/>
            <w:tcBorders>
              <w:top w:val="nil"/>
              <w:left w:val="nil"/>
              <w:bottom w:val="single" w:sz="4" w:space="0" w:color="auto"/>
              <w:right w:val="single" w:sz="4" w:space="0" w:color="auto"/>
            </w:tcBorders>
            <w:shd w:val="clear" w:color="000000" w:fill="D5DCE4"/>
            <w:vAlign w:val="center"/>
            <w:hideMark/>
          </w:tcPr>
          <w:p w14:paraId="60A81B51"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MEDIO DE VERIFICACIÓN</w:t>
            </w:r>
          </w:p>
        </w:tc>
        <w:tc>
          <w:tcPr>
            <w:tcW w:w="2069" w:type="dxa"/>
            <w:tcBorders>
              <w:top w:val="nil"/>
              <w:left w:val="nil"/>
              <w:bottom w:val="single" w:sz="4" w:space="0" w:color="auto"/>
              <w:right w:val="single" w:sz="4" w:space="0" w:color="auto"/>
            </w:tcBorders>
            <w:shd w:val="clear" w:color="000000" w:fill="D5DCE4"/>
            <w:vAlign w:val="center"/>
            <w:hideMark/>
          </w:tcPr>
          <w:p w14:paraId="2C2CEFA2"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SUPUESTO</w:t>
            </w:r>
          </w:p>
        </w:tc>
      </w:tr>
      <w:tr w:rsidR="007B3093" w14:paraId="536238A2" w14:textId="77777777">
        <w:trPr>
          <w:trHeight w:val="231"/>
        </w:trPr>
        <w:tc>
          <w:tcPr>
            <w:tcW w:w="8915" w:type="dxa"/>
            <w:gridSpan w:val="4"/>
            <w:tcBorders>
              <w:top w:val="single" w:sz="4" w:space="0" w:color="auto"/>
              <w:left w:val="single" w:sz="4" w:space="0" w:color="auto"/>
              <w:bottom w:val="single" w:sz="4" w:space="0" w:color="auto"/>
              <w:right w:val="single" w:sz="4" w:space="0" w:color="auto"/>
            </w:tcBorders>
            <w:shd w:val="clear" w:color="000000" w:fill="ACB9CA"/>
            <w:vAlign w:val="center"/>
            <w:hideMark/>
          </w:tcPr>
          <w:p w14:paraId="245E5EA9"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COMPONENTE 1</w:t>
            </w:r>
          </w:p>
        </w:tc>
      </w:tr>
      <w:tr w:rsidR="007B3093" w14:paraId="1FC083F1" w14:textId="77777777">
        <w:trPr>
          <w:trHeight w:val="231"/>
        </w:trPr>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238460" w14:textId="77777777" w:rsidR="007B3093" w:rsidRDefault="00000000">
            <w:pPr>
              <w:spacing w:after="0" w:line="240" w:lineRule="auto"/>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C1: Diseñar e implementar el modelo de gestión de la PGE.</w:t>
            </w:r>
          </w:p>
        </w:tc>
        <w:tc>
          <w:tcPr>
            <w:tcW w:w="2069" w:type="dxa"/>
            <w:tcBorders>
              <w:top w:val="nil"/>
              <w:left w:val="nil"/>
              <w:bottom w:val="single" w:sz="4" w:space="0" w:color="auto"/>
              <w:right w:val="single" w:sz="4" w:space="0" w:color="auto"/>
            </w:tcBorders>
            <w:shd w:val="clear" w:color="auto" w:fill="auto"/>
            <w:vAlign w:val="center"/>
            <w:hideMark/>
          </w:tcPr>
          <w:p w14:paraId="3F9A5BCC"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$4.439.514,02</w:t>
            </w:r>
          </w:p>
        </w:tc>
      </w:tr>
      <w:tr w:rsidR="007B3093" w14:paraId="50F198BE" w14:textId="77777777">
        <w:trPr>
          <w:trHeight w:val="123"/>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37927E6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Realizar un diagnóstico situacional en profundidad, propuesta de modelo de gestión e instrumentos para su redefinición.</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0A091F8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$789.768,39</w:t>
            </w:r>
          </w:p>
        </w:tc>
        <w:tc>
          <w:tcPr>
            <w:tcW w:w="2457" w:type="dxa"/>
            <w:tcBorders>
              <w:top w:val="nil"/>
              <w:left w:val="nil"/>
              <w:bottom w:val="single" w:sz="4" w:space="0" w:color="auto"/>
              <w:right w:val="single" w:sz="4" w:space="0" w:color="auto"/>
            </w:tcBorders>
            <w:shd w:val="clear" w:color="auto" w:fill="auto"/>
            <w:vAlign w:val="center"/>
            <w:hideMark/>
          </w:tcPr>
          <w:p w14:paraId="1B0C12A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 y Enmienda.</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3935685D"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2CA6FA1D" w14:textId="77777777">
        <w:trPr>
          <w:trHeight w:val="2171"/>
        </w:trPr>
        <w:tc>
          <w:tcPr>
            <w:tcW w:w="2189" w:type="dxa"/>
            <w:vMerge/>
            <w:tcBorders>
              <w:top w:val="nil"/>
              <w:left w:val="single" w:sz="4" w:space="0" w:color="auto"/>
              <w:bottom w:val="single" w:sz="4" w:space="0" w:color="auto"/>
              <w:right w:val="single" w:sz="4" w:space="0" w:color="auto"/>
            </w:tcBorders>
            <w:vAlign w:val="center"/>
            <w:hideMark/>
          </w:tcPr>
          <w:p w14:paraId="5F7D8C82"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6E844F1C"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64DBD6FC"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Productos: Diagnóstico situacional y propuesta de direccionamiento estratégico; Propuesta de agenda digital institucional; Propuesta de modelo de gestión de la </w:t>
            </w:r>
            <w:proofErr w:type="spellStart"/>
            <w:r>
              <w:rPr>
                <w:rFonts w:ascii="Calibri" w:eastAsia="Times New Roman" w:hAnsi="Calibri" w:cs="Calibri"/>
                <w:color w:val="000000"/>
                <w:sz w:val="14"/>
                <w:szCs w:val="14"/>
                <w:lang w:eastAsia="es-EC"/>
              </w:rPr>
              <w:t>pge</w:t>
            </w:r>
            <w:proofErr w:type="spellEnd"/>
            <w:r>
              <w:rPr>
                <w:rFonts w:ascii="Calibri" w:eastAsia="Times New Roman" w:hAnsi="Calibri" w:cs="Calibri"/>
                <w:color w:val="000000"/>
                <w:sz w:val="14"/>
                <w:szCs w:val="14"/>
                <w:lang w:eastAsia="es-EC"/>
              </w:rPr>
              <w:t>, gestión del cambio y riesgos;  Políticas y cronograma de implementación del Modelo Gestión, Gestión del Cambio e instrumentos; Plan Estratégico Institucional (2021-2025); Manual de Procesos y Procedimientos priorizados; Diseñar la metodología y herramientas para la medición, seguimiento y evaluación de la gestión institucional; Manual de Procesos y Procedimientos integral; Informe de ejecución de la fase de acompañamiento.</w:t>
            </w:r>
          </w:p>
        </w:tc>
        <w:tc>
          <w:tcPr>
            <w:tcW w:w="2069" w:type="dxa"/>
            <w:vMerge/>
            <w:tcBorders>
              <w:top w:val="nil"/>
              <w:left w:val="single" w:sz="4" w:space="0" w:color="auto"/>
              <w:bottom w:val="single" w:sz="4" w:space="0" w:color="auto"/>
              <w:right w:val="single" w:sz="4" w:space="0" w:color="auto"/>
            </w:tcBorders>
            <w:vAlign w:val="center"/>
            <w:hideMark/>
          </w:tcPr>
          <w:p w14:paraId="60D37E73"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3B15AD33" w14:textId="77777777">
        <w:trPr>
          <w:trHeight w:val="114"/>
        </w:trPr>
        <w:tc>
          <w:tcPr>
            <w:tcW w:w="2189" w:type="dxa"/>
            <w:vMerge/>
            <w:tcBorders>
              <w:top w:val="nil"/>
              <w:left w:val="single" w:sz="4" w:space="0" w:color="auto"/>
              <w:bottom w:val="single" w:sz="4" w:space="0" w:color="auto"/>
              <w:right w:val="single" w:sz="4" w:space="0" w:color="auto"/>
            </w:tcBorders>
            <w:vAlign w:val="center"/>
            <w:hideMark/>
          </w:tcPr>
          <w:p w14:paraId="1CD5F970"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57CEFB6D"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3A907836"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Actas entrega recepción.</w:t>
            </w:r>
          </w:p>
        </w:tc>
        <w:tc>
          <w:tcPr>
            <w:tcW w:w="2069" w:type="dxa"/>
            <w:vMerge/>
            <w:tcBorders>
              <w:top w:val="nil"/>
              <w:left w:val="single" w:sz="4" w:space="0" w:color="auto"/>
              <w:bottom w:val="single" w:sz="4" w:space="0" w:color="auto"/>
              <w:right w:val="single" w:sz="4" w:space="0" w:color="auto"/>
            </w:tcBorders>
            <w:vAlign w:val="center"/>
            <w:hideMark/>
          </w:tcPr>
          <w:p w14:paraId="536093DF"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3A0299E2" w14:textId="77777777">
        <w:trPr>
          <w:trHeight w:val="83"/>
        </w:trPr>
        <w:tc>
          <w:tcPr>
            <w:tcW w:w="2189" w:type="dxa"/>
            <w:vMerge/>
            <w:tcBorders>
              <w:top w:val="nil"/>
              <w:left w:val="single" w:sz="4" w:space="0" w:color="auto"/>
              <w:bottom w:val="single" w:sz="4" w:space="0" w:color="auto"/>
              <w:right w:val="single" w:sz="4" w:space="0" w:color="auto"/>
            </w:tcBorders>
            <w:vAlign w:val="center"/>
            <w:hideMark/>
          </w:tcPr>
          <w:p w14:paraId="49A2598A"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7451DF11"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03E78A83"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Ejecución presupuestaria.</w:t>
            </w:r>
          </w:p>
        </w:tc>
        <w:tc>
          <w:tcPr>
            <w:tcW w:w="2069" w:type="dxa"/>
            <w:vMerge/>
            <w:tcBorders>
              <w:top w:val="nil"/>
              <w:left w:val="single" w:sz="4" w:space="0" w:color="auto"/>
              <w:bottom w:val="single" w:sz="4" w:space="0" w:color="auto"/>
              <w:right w:val="single" w:sz="4" w:space="0" w:color="auto"/>
            </w:tcBorders>
            <w:vAlign w:val="center"/>
            <w:hideMark/>
          </w:tcPr>
          <w:p w14:paraId="64B97677"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41DC77AC" w14:textId="77777777">
        <w:trPr>
          <w:trHeight w:val="164"/>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10D64719"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Implementar el Plan de gestión del cambio</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07725550"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$120.070,24</w:t>
            </w:r>
          </w:p>
        </w:tc>
        <w:tc>
          <w:tcPr>
            <w:tcW w:w="2457" w:type="dxa"/>
            <w:tcBorders>
              <w:top w:val="nil"/>
              <w:left w:val="nil"/>
              <w:bottom w:val="single" w:sz="4" w:space="0" w:color="auto"/>
              <w:right w:val="single" w:sz="4" w:space="0" w:color="auto"/>
            </w:tcBorders>
            <w:shd w:val="clear" w:color="auto" w:fill="auto"/>
            <w:vAlign w:val="center"/>
            <w:hideMark/>
          </w:tcPr>
          <w:p w14:paraId="483F9FA0"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4BDB947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63997102" w14:textId="77777777">
        <w:trPr>
          <w:trHeight w:val="94"/>
        </w:trPr>
        <w:tc>
          <w:tcPr>
            <w:tcW w:w="2189" w:type="dxa"/>
            <w:vMerge/>
            <w:tcBorders>
              <w:top w:val="nil"/>
              <w:left w:val="single" w:sz="4" w:space="0" w:color="auto"/>
              <w:bottom w:val="single" w:sz="4" w:space="0" w:color="auto"/>
              <w:right w:val="single" w:sz="4" w:space="0" w:color="auto"/>
            </w:tcBorders>
            <w:vAlign w:val="center"/>
            <w:hideMark/>
          </w:tcPr>
          <w:p w14:paraId="41E7C96A"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7426CFBB"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0FFC2C2D"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58377BE9"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68544EE3" w14:textId="77777777">
        <w:trPr>
          <w:trHeight w:val="164"/>
        </w:trPr>
        <w:tc>
          <w:tcPr>
            <w:tcW w:w="2189" w:type="dxa"/>
            <w:vMerge/>
            <w:tcBorders>
              <w:top w:val="nil"/>
              <w:left w:val="single" w:sz="4" w:space="0" w:color="auto"/>
              <w:bottom w:val="single" w:sz="4" w:space="0" w:color="auto"/>
              <w:right w:val="single" w:sz="4" w:space="0" w:color="auto"/>
            </w:tcBorders>
            <w:vAlign w:val="center"/>
            <w:hideMark/>
          </w:tcPr>
          <w:p w14:paraId="109151FD"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32031ED8"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3CC30655"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Ejecución presupuestaria. </w:t>
            </w:r>
          </w:p>
        </w:tc>
        <w:tc>
          <w:tcPr>
            <w:tcW w:w="2069" w:type="dxa"/>
            <w:vMerge/>
            <w:tcBorders>
              <w:top w:val="nil"/>
              <w:left w:val="single" w:sz="4" w:space="0" w:color="auto"/>
              <w:bottom w:val="single" w:sz="4" w:space="0" w:color="auto"/>
              <w:right w:val="single" w:sz="4" w:space="0" w:color="auto"/>
            </w:tcBorders>
            <w:vAlign w:val="center"/>
            <w:hideMark/>
          </w:tcPr>
          <w:p w14:paraId="20D6B7C2"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0733E37F" w14:textId="77777777">
        <w:trPr>
          <w:trHeight w:val="149"/>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05634A43"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lastRenderedPageBreak/>
              <w:t xml:space="preserve">Implementar un Sistema Informático Integrado  </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4D24A01D" w14:textId="0A483846"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$2.335.694,</w:t>
            </w:r>
            <w:r w:rsidR="0065022A">
              <w:rPr>
                <w:rFonts w:ascii="Calibri" w:eastAsia="Times New Roman" w:hAnsi="Calibri" w:cs="Calibri"/>
                <w:color w:val="000000"/>
                <w:sz w:val="14"/>
                <w:szCs w:val="14"/>
                <w:lang w:eastAsia="es-EC"/>
              </w:rPr>
              <w:t>51</w:t>
            </w:r>
          </w:p>
        </w:tc>
        <w:tc>
          <w:tcPr>
            <w:tcW w:w="2457" w:type="dxa"/>
            <w:tcBorders>
              <w:top w:val="nil"/>
              <w:left w:val="nil"/>
              <w:bottom w:val="single" w:sz="4" w:space="0" w:color="auto"/>
              <w:right w:val="single" w:sz="4" w:space="0" w:color="auto"/>
            </w:tcBorders>
            <w:shd w:val="clear" w:color="auto" w:fill="auto"/>
            <w:vAlign w:val="center"/>
            <w:hideMark/>
          </w:tcPr>
          <w:p w14:paraId="111F6615"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7C9BFC88"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75951839" w14:textId="77777777">
        <w:trPr>
          <w:trHeight w:val="2268"/>
        </w:trPr>
        <w:tc>
          <w:tcPr>
            <w:tcW w:w="2189" w:type="dxa"/>
            <w:vMerge/>
            <w:tcBorders>
              <w:top w:val="nil"/>
              <w:left w:val="single" w:sz="4" w:space="0" w:color="auto"/>
              <w:bottom w:val="single" w:sz="4" w:space="0" w:color="auto"/>
              <w:right w:val="single" w:sz="4" w:space="0" w:color="auto"/>
            </w:tcBorders>
            <w:vAlign w:val="center"/>
            <w:hideMark/>
          </w:tcPr>
          <w:p w14:paraId="6CAB3CCD"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0048711F"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7628746C"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Productos: Análisis, diseño y definición de las funcionalidades de los sistemas a desarrollar; Implementación de la plataforma de orquestación de contenedores; Modernización de bases de datos; Sistema Gestión de la Defensa Jurídica del Estado; Sistema de asesoramiento jurídico; Sistema Informático Integrado de Gestión Interna; Sistema de Gestión de Análisis Estratégico; Plataforma de gestión de grandes volúmenes y análisis inteligente de datos; Plan de Gestión del Cambio; Proceso de organización y regla técnica de documentación y archivo de la PGE (proceso archivístico), inventario, digitalización, depuración de todos los juicios.</w:t>
            </w:r>
          </w:p>
        </w:tc>
        <w:tc>
          <w:tcPr>
            <w:tcW w:w="2069" w:type="dxa"/>
            <w:vMerge/>
            <w:tcBorders>
              <w:top w:val="nil"/>
              <w:left w:val="single" w:sz="4" w:space="0" w:color="auto"/>
              <w:bottom w:val="single" w:sz="4" w:space="0" w:color="auto"/>
              <w:right w:val="single" w:sz="4" w:space="0" w:color="auto"/>
            </w:tcBorders>
            <w:vAlign w:val="center"/>
            <w:hideMark/>
          </w:tcPr>
          <w:p w14:paraId="09073BFD"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5921B5B6" w14:textId="77777777">
        <w:trPr>
          <w:trHeight w:val="72"/>
        </w:trPr>
        <w:tc>
          <w:tcPr>
            <w:tcW w:w="2189" w:type="dxa"/>
            <w:vMerge/>
            <w:tcBorders>
              <w:top w:val="nil"/>
              <w:left w:val="single" w:sz="4" w:space="0" w:color="auto"/>
              <w:bottom w:val="single" w:sz="4" w:space="0" w:color="auto"/>
              <w:right w:val="single" w:sz="4" w:space="0" w:color="auto"/>
            </w:tcBorders>
            <w:vAlign w:val="center"/>
            <w:hideMark/>
          </w:tcPr>
          <w:p w14:paraId="73CF2F33"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6E52B854"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767651A5"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34270CC5"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5FD16149" w14:textId="77777777">
        <w:trPr>
          <w:trHeight w:val="164"/>
        </w:trPr>
        <w:tc>
          <w:tcPr>
            <w:tcW w:w="2189" w:type="dxa"/>
            <w:vMerge/>
            <w:tcBorders>
              <w:top w:val="nil"/>
              <w:left w:val="single" w:sz="4" w:space="0" w:color="auto"/>
              <w:bottom w:val="single" w:sz="4" w:space="0" w:color="auto"/>
              <w:right w:val="single" w:sz="4" w:space="0" w:color="auto"/>
            </w:tcBorders>
            <w:vAlign w:val="center"/>
            <w:hideMark/>
          </w:tcPr>
          <w:p w14:paraId="7D44E047"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565D09D7"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4A4F554C"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Ejecución presupuestaria. </w:t>
            </w:r>
          </w:p>
        </w:tc>
        <w:tc>
          <w:tcPr>
            <w:tcW w:w="2069" w:type="dxa"/>
            <w:vMerge/>
            <w:tcBorders>
              <w:top w:val="nil"/>
              <w:left w:val="single" w:sz="4" w:space="0" w:color="auto"/>
              <w:bottom w:val="single" w:sz="4" w:space="0" w:color="auto"/>
              <w:right w:val="single" w:sz="4" w:space="0" w:color="auto"/>
            </w:tcBorders>
            <w:vAlign w:val="center"/>
            <w:hideMark/>
          </w:tcPr>
          <w:p w14:paraId="6088166E"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24348AD8" w14:textId="77777777">
        <w:trPr>
          <w:trHeight w:val="99"/>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7E8E19DD"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Fortalecer el Hardware para soportar el nuevo sistema integrado  </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2C832627"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$650.316,88</w:t>
            </w:r>
          </w:p>
        </w:tc>
        <w:tc>
          <w:tcPr>
            <w:tcW w:w="2457" w:type="dxa"/>
            <w:tcBorders>
              <w:top w:val="nil"/>
              <w:left w:val="nil"/>
              <w:bottom w:val="single" w:sz="4" w:space="0" w:color="auto"/>
              <w:right w:val="single" w:sz="4" w:space="0" w:color="auto"/>
            </w:tcBorders>
            <w:shd w:val="clear" w:color="auto" w:fill="auto"/>
            <w:vAlign w:val="center"/>
            <w:hideMark/>
          </w:tcPr>
          <w:p w14:paraId="3E5B6B2D"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542B825A"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03EC82F3" w14:textId="77777777">
        <w:trPr>
          <w:trHeight w:val="895"/>
        </w:trPr>
        <w:tc>
          <w:tcPr>
            <w:tcW w:w="2189" w:type="dxa"/>
            <w:vMerge/>
            <w:tcBorders>
              <w:top w:val="nil"/>
              <w:left w:val="single" w:sz="4" w:space="0" w:color="auto"/>
              <w:bottom w:val="single" w:sz="4" w:space="0" w:color="auto"/>
              <w:right w:val="single" w:sz="4" w:space="0" w:color="auto"/>
            </w:tcBorders>
            <w:vAlign w:val="center"/>
            <w:hideMark/>
          </w:tcPr>
          <w:p w14:paraId="0EBF3346"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581EBDC0"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2E6246D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Productos: Adquisición emergentes de equipos informáticos para fortalecer el hardware de la Procuraduría General del Estado; Modernización de los equipos de telecomunicaciones para soportar el nuevo sistema integrado de la PGE.</w:t>
            </w:r>
          </w:p>
        </w:tc>
        <w:tc>
          <w:tcPr>
            <w:tcW w:w="2069" w:type="dxa"/>
            <w:vMerge/>
            <w:tcBorders>
              <w:top w:val="nil"/>
              <w:left w:val="single" w:sz="4" w:space="0" w:color="auto"/>
              <w:bottom w:val="single" w:sz="4" w:space="0" w:color="auto"/>
              <w:right w:val="single" w:sz="4" w:space="0" w:color="auto"/>
            </w:tcBorders>
            <w:vAlign w:val="center"/>
            <w:hideMark/>
          </w:tcPr>
          <w:p w14:paraId="0B457D81"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3881116F" w14:textId="77777777">
        <w:trPr>
          <w:trHeight w:val="114"/>
        </w:trPr>
        <w:tc>
          <w:tcPr>
            <w:tcW w:w="2189" w:type="dxa"/>
            <w:vMerge/>
            <w:tcBorders>
              <w:top w:val="nil"/>
              <w:left w:val="single" w:sz="4" w:space="0" w:color="auto"/>
              <w:bottom w:val="single" w:sz="4" w:space="0" w:color="auto"/>
              <w:right w:val="single" w:sz="4" w:space="0" w:color="auto"/>
            </w:tcBorders>
            <w:vAlign w:val="center"/>
            <w:hideMark/>
          </w:tcPr>
          <w:p w14:paraId="236869E3"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77B2F97C"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281A09F4"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09FC8B85"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5C12D11E" w14:textId="77777777">
        <w:trPr>
          <w:trHeight w:val="71"/>
        </w:trPr>
        <w:tc>
          <w:tcPr>
            <w:tcW w:w="2189" w:type="dxa"/>
            <w:vMerge/>
            <w:tcBorders>
              <w:top w:val="nil"/>
              <w:left w:val="single" w:sz="4" w:space="0" w:color="auto"/>
              <w:bottom w:val="single" w:sz="4" w:space="0" w:color="auto"/>
              <w:right w:val="single" w:sz="4" w:space="0" w:color="auto"/>
            </w:tcBorders>
            <w:vAlign w:val="center"/>
            <w:hideMark/>
          </w:tcPr>
          <w:p w14:paraId="4A8697EE"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287F5FAD"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39863E00"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Ejecución presupuestaria.</w:t>
            </w:r>
          </w:p>
        </w:tc>
        <w:tc>
          <w:tcPr>
            <w:tcW w:w="2069" w:type="dxa"/>
            <w:vMerge/>
            <w:tcBorders>
              <w:top w:val="nil"/>
              <w:left w:val="single" w:sz="4" w:space="0" w:color="auto"/>
              <w:bottom w:val="single" w:sz="4" w:space="0" w:color="auto"/>
              <w:right w:val="single" w:sz="4" w:space="0" w:color="auto"/>
            </w:tcBorders>
            <w:vAlign w:val="center"/>
            <w:hideMark/>
          </w:tcPr>
          <w:p w14:paraId="6E054AC8"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53C50035" w14:textId="77777777">
        <w:trPr>
          <w:trHeight w:val="279"/>
        </w:trPr>
        <w:tc>
          <w:tcPr>
            <w:tcW w:w="2189" w:type="dxa"/>
            <w:tcBorders>
              <w:top w:val="nil"/>
              <w:left w:val="single" w:sz="4" w:space="0" w:color="auto"/>
              <w:bottom w:val="single" w:sz="4" w:space="0" w:color="auto"/>
              <w:right w:val="single" w:sz="4" w:space="0" w:color="auto"/>
            </w:tcBorders>
            <w:shd w:val="clear" w:color="auto" w:fill="auto"/>
            <w:vAlign w:val="center"/>
            <w:hideMark/>
          </w:tcPr>
          <w:p w14:paraId="58ED4C7B"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Administración del Proyecto (Equipo EDG PGE)</w:t>
            </w:r>
          </w:p>
        </w:tc>
        <w:tc>
          <w:tcPr>
            <w:tcW w:w="2199" w:type="dxa"/>
            <w:tcBorders>
              <w:top w:val="nil"/>
              <w:left w:val="nil"/>
              <w:bottom w:val="single" w:sz="4" w:space="0" w:color="auto"/>
              <w:right w:val="single" w:sz="4" w:space="0" w:color="auto"/>
            </w:tcBorders>
            <w:shd w:val="clear" w:color="auto" w:fill="auto"/>
            <w:vAlign w:val="bottom"/>
            <w:hideMark/>
          </w:tcPr>
          <w:p w14:paraId="229BE9B2" w14:textId="1835E25D"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543.66</w:t>
            </w:r>
            <w:r w:rsidR="0065022A">
              <w:rPr>
                <w:rFonts w:ascii="Calibri" w:eastAsia="Times New Roman" w:hAnsi="Calibri" w:cs="Calibri"/>
                <w:color w:val="000000"/>
                <w:sz w:val="14"/>
                <w:szCs w:val="14"/>
                <w:lang w:eastAsia="es-EC"/>
              </w:rPr>
              <w:t>3,99</w:t>
            </w:r>
          </w:p>
        </w:tc>
        <w:tc>
          <w:tcPr>
            <w:tcW w:w="2457" w:type="dxa"/>
            <w:tcBorders>
              <w:top w:val="nil"/>
              <w:left w:val="nil"/>
              <w:bottom w:val="single" w:sz="4" w:space="0" w:color="auto"/>
              <w:right w:val="single" w:sz="4" w:space="0" w:color="auto"/>
            </w:tcBorders>
            <w:shd w:val="clear" w:color="auto" w:fill="auto"/>
            <w:vAlign w:val="center"/>
            <w:hideMark/>
          </w:tcPr>
          <w:p w14:paraId="5261116D"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 de servicios profesionales, ejecución presupuestaria.</w:t>
            </w:r>
          </w:p>
        </w:tc>
        <w:tc>
          <w:tcPr>
            <w:tcW w:w="2069" w:type="dxa"/>
            <w:tcBorders>
              <w:top w:val="nil"/>
              <w:left w:val="nil"/>
              <w:bottom w:val="single" w:sz="4" w:space="0" w:color="auto"/>
              <w:right w:val="single" w:sz="4" w:space="0" w:color="auto"/>
            </w:tcBorders>
            <w:shd w:val="clear" w:color="auto" w:fill="auto"/>
            <w:vAlign w:val="center"/>
            <w:hideMark/>
          </w:tcPr>
          <w:p w14:paraId="70E6728A"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w:t>
            </w:r>
          </w:p>
        </w:tc>
      </w:tr>
      <w:tr w:rsidR="007B3093" w14:paraId="4027D57A" w14:textId="77777777">
        <w:trPr>
          <w:trHeight w:val="231"/>
        </w:trPr>
        <w:tc>
          <w:tcPr>
            <w:tcW w:w="8915" w:type="dxa"/>
            <w:gridSpan w:val="4"/>
            <w:tcBorders>
              <w:top w:val="single" w:sz="4" w:space="0" w:color="auto"/>
              <w:left w:val="single" w:sz="4" w:space="0" w:color="auto"/>
              <w:bottom w:val="single" w:sz="4" w:space="0" w:color="auto"/>
              <w:right w:val="single" w:sz="4" w:space="0" w:color="auto"/>
            </w:tcBorders>
            <w:shd w:val="clear" w:color="000000" w:fill="ACB9CA"/>
            <w:vAlign w:val="center"/>
            <w:hideMark/>
          </w:tcPr>
          <w:p w14:paraId="47A5D6A2"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COMPONENTE 2</w:t>
            </w:r>
          </w:p>
        </w:tc>
      </w:tr>
      <w:tr w:rsidR="007B3093" w14:paraId="7F27541D" w14:textId="77777777">
        <w:trPr>
          <w:trHeight w:val="231"/>
        </w:trPr>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356DE1" w14:textId="77777777" w:rsidR="007B3093" w:rsidRDefault="00000000">
            <w:pPr>
              <w:spacing w:after="0" w:line="240" w:lineRule="auto"/>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C2: Fortalecer la defensa legal del Estado</w:t>
            </w:r>
          </w:p>
        </w:tc>
        <w:tc>
          <w:tcPr>
            <w:tcW w:w="2069" w:type="dxa"/>
            <w:tcBorders>
              <w:top w:val="nil"/>
              <w:left w:val="nil"/>
              <w:bottom w:val="single" w:sz="4" w:space="0" w:color="auto"/>
              <w:right w:val="single" w:sz="4" w:space="0" w:color="auto"/>
            </w:tcBorders>
            <w:shd w:val="clear" w:color="auto" w:fill="auto"/>
            <w:vAlign w:val="center"/>
            <w:hideMark/>
          </w:tcPr>
          <w:p w14:paraId="43C5324C"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$155.360,12</w:t>
            </w:r>
          </w:p>
        </w:tc>
      </w:tr>
      <w:tr w:rsidR="007B3093" w14:paraId="10E9C0B0" w14:textId="77777777">
        <w:trPr>
          <w:trHeight w:val="187"/>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22D2D9D1"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Capacitar a los funcionarios de la PGE en temas jurídicos y gestión de casos orales</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0DFAF561"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$85.750,18</w:t>
            </w:r>
          </w:p>
        </w:tc>
        <w:tc>
          <w:tcPr>
            <w:tcW w:w="2457" w:type="dxa"/>
            <w:tcBorders>
              <w:top w:val="nil"/>
              <w:left w:val="nil"/>
              <w:bottom w:val="single" w:sz="4" w:space="0" w:color="auto"/>
              <w:right w:val="single" w:sz="4" w:space="0" w:color="auto"/>
            </w:tcBorders>
            <w:shd w:val="clear" w:color="auto" w:fill="auto"/>
            <w:vAlign w:val="center"/>
            <w:hideMark/>
          </w:tcPr>
          <w:p w14:paraId="6FA44488"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0BE5FB63"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Asignación presupuestaria para el cumplimiento del cronograma establecido, </w:t>
            </w:r>
          </w:p>
        </w:tc>
      </w:tr>
      <w:tr w:rsidR="007B3093" w14:paraId="4133DB5E" w14:textId="77777777">
        <w:trPr>
          <w:trHeight w:val="110"/>
        </w:trPr>
        <w:tc>
          <w:tcPr>
            <w:tcW w:w="2189" w:type="dxa"/>
            <w:vMerge/>
            <w:tcBorders>
              <w:top w:val="nil"/>
              <w:left w:val="single" w:sz="4" w:space="0" w:color="auto"/>
              <w:bottom w:val="single" w:sz="4" w:space="0" w:color="auto"/>
              <w:right w:val="single" w:sz="4" w:space="0" w:color="auto"/>
            </w:tcBorders>
            <w:vAlign w:val="center"/>
            <w:hideMark/>
          </w:tcPr>
          <w:p w14:paraId="7291CA7E"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5E124A91"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7EC3942F"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3018C46A"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12DE0F7D" w14:textId="77777777">
        <w:trPr>
          <w:trHeight w:val="191"/>
        </w:trPr>
        <w:tc>
          <w:tcPr>
            <w:tcW w:w="2189" w:type="dxa"/>
            <w:vMerge/>
            <w:tcBorders>
              <w:top w:val="nil"/>
              <w:left w:val="single" w:sz="4" w:space="0" w:color="auto"/>
              <w:bottom w:val="single" w:sz="4" w:space="0" w:color="auto"/>
              <w:right w:val="single" w:sz="4" w:space="0" w:color="auto"/>
            </w:tcBorders>
            <w:vAlign w:val="center"/>
            <w:hideMark/>
          </w:tcPr>
          <w:p w14:paraId="7D737C36"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5271265E"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59D9BCA3"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Ejecución presupuestaria. </w:t>
            </w:r>
          </w:p>
        </w:tc>
        <w:tc>
          <w:tcPr>
            <w:tcW w:w="2069" w:type="dxa"/>
            <w:vMerge/>
            <w:tcBorders>
              <w:top w:val="nil"/>
              <w:left w:val="single" w:sz="4" w:space="0" w:color="auto"/>
              <w:bottom w:val="single" w:sz="4" w:space="0" w:color="auto"/>
              <w:right w:val="single" w:sz="4" w:space="0" w:color="auto"/>
            </w:tcBorders>
            <w:vAlign w:val="center"/>
            <w:hideMark/>
          </w:tcPr>
          <w:p w14:paraId="1126A6EA"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151A1770" w14:textId="77777777">
        <w:trPr>
          <w:trHeight w:val="114"/>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6C04F5E4"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Brindar una capacitación especializada en jurisprudencia internacional</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155A109C"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$21.365,78</w:t>
            </w:r>
          </w:p>
        </w:tc>
        <w:tc>
          <w:tcPr>
            <w:tcW w:w="2457" w:type="dxa"/>
            <w:tcBorders>
              <w:top w:val="nil"/>
              <w:left w:val="nil"/>
              <w:bottom w:val="single" w:sz="4" w:space="0" w:color="auto"/>
              <w:right w:val="single" w:sz="4" w:space="0" w:color="auto"/>
            </w:tcBorders>
            <w:shd w:val="clear" w:color="auto" w:fill="auto"/>
            <w:vAlign w:val="center"/>
            <w:hideMark/>
          </w:tcPr>
          <w:p w14:paraId="3B3BEFFD"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0572830C"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2DEE5860" w14:textId="77777777">
        <w:trPr>
          <w:trHeight w:val="72"/>
        </w:trPr>
        <w:tc>
          <w:tcPr>
            <w:tcW w:w="2189" w:type="dxa"/>
            <w:vMerge/>
            <w:tcBorders>
              <w:top w:val="nil"/>
              <w:left w:val="single" w:sz="4" w:space="0" w:color="auto"/>
              <w:bottom w:val="single" w:sz="4" w:space="0" w:color="auto"/>
              <w:right w:val="single" w:sz="4" w:space="0" w:color="auto"/>
            </w:tcBorders>
            <w:vAlign w:val="center"/>
            <w:hideMark/>
          </w:tcPr>
          <w:p w14:paraId="2501E062"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5409C806"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164B5F68"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6497C85C"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0AAE92AA" w14:textId="77777777">
        <w:trPr>
          <w:trHeight w:val="153"/>
        </w:trPr>
        <w:tc>
          <w:tcPr>
            <w:tcW w:w="2189" w:type="dxa"/>
            <w:vMerge/>
            <w:tcBorders>
              <w:top w:val="nil"/>
              <w:left w:val="single" w:sz="4" w:space="0" w:color="auto"/>
              <w:bottom w:val="single" w:sz="4" w:space="0" w:color="auto"/>
              <w:right w:val="single" w:sz="4" w:space="0" w:color="auto"/>
            </w:tcBorders>
            <w:vAlign w:val="center"/>
            <w:hideMark/>
          </w:tcPr>
          <w:p w14:paraId="2BC12462"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2B9D7E59"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5404DF64"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Ejecución presupuestaria. </w:t>
            </w:r>
          </w:p>
        </w:tc>
        <w:tc>
          <w:tcPr>
            <w:tcW w:w="2069" w:type="dxa"/>
            <w:vMerge/>
            <w:tcBorders>
              <w:top w:val="nil"/>
              <w:left w:val="single" w:sz="4" w:space="0" w:color="auto"/>
              <w:bottom w:val="single" w:sz="4" w:space="0" w:color="auto"/>
              <w:right w:val="single" w:sz="4" w:space="0" w:color="auto"/>
            </w:tcBorders>
            <w:vAlign w:val="center"/>
            <w:hideMark/>
          </w:tcPr>
          <w:p w14:paraId="59FAEEF8"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45B29A64" w14:textId="77777777">
        <w:trPr>
          <w:trHeight w:val="109"/>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663D2CD1"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Elaborar protocolos y guías para la coordinación interinstitucional para la defensa de casos.</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53ED3C72"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$39.374,00</w:t>
            </w:r>
          </w:p>
        </w:tc>
        <w:tc>
          <w:tcPr>
            <w:tcW w:w="2457" w:type="dxa"/>
            <w:tcBorders>
              <w:top w:val="nil"/>
              <w:left w:val="nil"/>
              <w:bottom w:val="single" w:sz="4" w:space="0" w:color="auto"/>
              <w:right w:val="single" w:sz="4" w:space="0" w:color="auto"/>
            </w:tcBorders>
            <w:shd w:val="clear" w:color="auto" w:fill="auto"/>
            <w:vAlign w:val="center"/>
            <w:hideMark/>
          </w:tcPr>
          <w:p w14:paraId="4F34B82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348AA397"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7F96BAAB" w14:textId="77777777">
        <w:trPr>
          <w:trHeight w:val="78"/>
        </w:trPr>
        <w:tc>
          <w:tcPr>
            <w:tcW w:w="2189" w:type="dxa"/>
            <w:vMerge/>
            <w:tcBorders>
              <w:top w:val="nil"/>
              <w:left w:val="single" w:sz="4" w:space="0" w:color="auto"/>
              <w:bottom w:val="single" w:sz="4" w:space="0" w:color="auto"/>
              <w:right w:val="single" w:sz="4" w:space="0" w:color="auto"/>
            </w:tcBorders>
            <w:vAlign w:val="center"/>
            <w:hideMark/>
          </w:tcPr>
          <w:p w14:paraId="6FD9D38E"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1295D7A3"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197E552B"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1E961B01"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480E1B86" w14:textId="77777777">
        <w:trPr>
          <w:trHeight w:val="103"/>
        </w:trPr>
        <w:tc>
          <w:tcPr>
            <w:tcW w:w="2189" w:type="dxa"/>
            <w:vMerge/>
            <w:tcBorders>
              <w:top w:val="nil"/>
              <w:left w:val="single" w:sz="4" w:space="0" w:color="auto"/>
              <w:bottom w:val="single" w:sz="4" w:space="0" w:color="auto"/>
              <w:right w:val="single" w:sz="4" w:space="0" w:color="auto"/>
            </w:tcBorders>
            <w:vAlign w:val="center"/>
            <w:hideMark/>
          </w:tcPr>
          <w:p w14:paraId="548432FF"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6EA54AA8"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562E100F"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Manuales.</w:t>
            </w:r>
          </w:p>
        </w:tc>
        <w:tc>
          <w:tcPr>
            <w:tcW w:w="2069" w:type="dxa"/>
            <w:vMerge/>
            <w:tcBorders>
              <w:top w:val="nil"/>
              <w:left w:val="single" w:sz="4" w:space="0" w:color="auto"/>
              <w:bottom w:val="single" w:sz="4" w:space="0" w:color="auto"/>
              <w:right w:val="single" w:sz="4" w:space="0" w:color="auto"/>
            </w:tcBorders>
            <w:vAlign w:val="center"/>
            <w:hideMark/>
          </w:tcPr>
          <w:p w14:paraId="402AE132"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0C43BFAA" w14:textId="77777777">
        <w:trPr>
          <w:trHeight w:val="72"/>
        </w:trPr>
        <w:tc>
          <w:tcPr>
            <w:tcW w:w="2189" w:type="dxa"/>
            <w:vMerge/>
            <w:tcBorders>
              <w:top w:val="nil"/>
              <w:left w:val="single" w:sz="4" w:space="0" w:color="auto"/>
              <w:bottom w:val="single" w:sz="4" w:space="0" w:color="auto"/>
              <w:right w:val="single" w:sz="4" w:space="0" w:color="auto"/>
            </w:tcBorders>
            <w:vAlign w:val="center"/>
            <w:hideMark/>
          </w:tcPr>
          <w:p w14:paraId="6042ADC8"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7911C425"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399EAE43"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Ejecución presupuestaria. </w:t>
            </w:r>
          </w:p>
        </w:tc>
        <w:tc>
          <w:tcPr>
            <w:tcW w:w="2069" w:type="dxa"/>
            <w:vMerge/>
            <w:tcBorders>
              <w:top w:val="nil"/>
              <w:left w:val="single" w:sz="4" w:space="0" w:color="auto"/>
              <w:bottom w:val="single" w:sz="4" w:space="0" w:color="auto"/>
              <w:right w:val="single" w:sz="4" w:space="0" w:color="auto"/>
            </w:tcBorders>
            <w:vAlign w:val="center"/>
            <w:hideMark/>
          </w:tcPr>
          <w:p w14:paraId="17900CB2"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4579DAEF" w14:textId="77777777">
        <w:trPr>
          <w:trHeight w:val="96"/>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1E1C9CAD"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Obtener acceso a bases de datos especializadas en temas jurídicos.</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4AB34A00"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$8.870,16</w:t>
            </w:r>
          </w:p>
        </w:tc>
        <w:tc>
          <w:tcPr>
            <w:tcW w:w="2457" w:type="dxa"/>
            <w:tcBorders>
              <w:top w:val="nil"/>
              <w:left w:val="nil"/>
              <w:bottom w:val="single" w:sz="4" w:space="0" w:color="auto"/>
              <w:right w:val="single" w:sz="4" w:space="0" w:color="auto"/>
            </w:tcBorders>
            <w:shd w:val="clear" w:color="auto" w:fill="auto"/>
            <w:vAlign w:val="center"/>
            <w:hideMark/>
          </w:tcPr>
          <w:p w14:paraId="5B2AC1D5"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125AEE6F"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421562C8" w14:textId="77777777">
        <w:trPr>
          <w:trHeight w:val="177"/>
        </w:trPr>
        <w:tc>
          <w:tcPr>
            <w:tcW w:w="2189" w:type="dxa"/>
            <w:vMerge/>
            <w:tcBorders>
              <w:top w:val="nil"/>
              <w:left w:val="single" w:sz="4" w:space="0" w:color="auto"/>
              <w:bottom w:val="single" w:sz="4" w:space="0" w:color="auto"/>
              <w:right w:val="single" w:sz="4" w:space="0" w:color="auto"/>
            </w:tcBorders>
            <w:vAlign w:val="center"/>
            <w:hideMark/>
          </w:tcPr>
          <w:p w14:paraId="6ED0EF05"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606E77BE"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08F4A7A4"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2CCFFC78"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3E576115" w14:textId="77777777">
        <w:trPr>
          <w:trHeight w:val="111"/>
        </w:trPr>
        <w:tc>
          <w:tcPr>
            <w:tcW w:w="2189" w:type="dxa"/>
            <w:vMerge/>
            <w:tcBorders>
              <w:top w:val="nil"/>
              <w:left w:val="single" w:sz="4" w:space="0" w:color="auto"/>
              <w:bottom w:val="single" w:sz="4" w:space="0" w:color="auto"/>
              <w:right w:val="single" w:sz="4" w:space="0" w:color="auto"/>
            </w:tcBorders>
            <w:vAlign w:val="center"/>
            <w:hideMark/>
          </w:tcPr>
          <w:p w14:paraId="497B6EAB"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1F51720F"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12917E6C"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Licencias.</w:t>
            </w:r>
          </w:p>
        </w:tc>
        <w:tc>
          <w:tcPr>
            <w:tcW w:w="2069" w:type="dxa"/>
            <w:vMerge/>
            <w:tcBorders>
              <w:top w:val="nil"/>
              <w:left w:val="single" w:sz="4" w:space="0" w:color="auto"/>
              <w:bottom w:val="single" w:sz="4" w:space="0" w:color="auto"/>
              <w:right w:val="single" w:sz="4" w:space="0" w:color="auto"/>
            </w:tcBorders>
            <w:vAlign w:val="center"/>
            <w:hideMark/>
          </w:tcPr>
          <w:p w14:paraId="72ABA7F5"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3768E07A" w14:textId="77777777">
        <w:trPr>
          <w:trHeight w:val="80"/>
        </w:trPr>
        <w:tc>
          <w:tcPr>
            <w:tcW w:w="2189" w:type="dxa"/>
            <w:vMerge/>
            <w:tcBorders>
              <w:top w:val="nil"/>
              <w:left w:val="single" w:sz="4" w:space="0" w:color="auto"/>
              <w:bottom w:val="single" w:sz="4" w:space="0" w:color="auto"/>
              <w:right w:val="single" w:sz="4" w:space="0" w:color="auto"/>
            </w:tcBorders>
            <w:vAlign w:val="center"/>
            <w:hideMark/>
          </w:tcPr>
          <w:p w14:paraId="39343EDE"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245C9521"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0ED1DB99"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Ejecución presupuestaria. </w:t>
            </w:r>
          </w:p>
        </w:tc>
        <w:tc>
          <w:tcPr>
            <w:tcW w:w="2069" w:type="dxa"/>
            <w:vMerge/>
            <w:tcBorders>
              <w:top w:val="nil"/>
              <w:left w:val="single" w:sz="4" w:space="0" w:color="auto"/>
              <w:bottom w:val="single" w:sz="4" w:space="0" w:color="auto"/>
              <w:right w:val="single" w:sz="4" w:space="0" w:color="auto"/>
            </w:tcBorders>
            <w:vAlign w:val="center"/>
            <w:hideMark/>
          </w:tcPr>
          <w:p w14:paraId="23E2306F"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1FFE74E9" w14:textId="77777777">
        <w:trPr>
          <w:trHeight w:val="231"/>
        </w:trPr>
        <w:tc>
          <w:tcPr>
            <w:tcW w:w="8915" w:type="dxa"/>
            <w:gridSpan w:val="4"/>
            <w:tcBorders>
              <w:top w:val="single" w:sz="4" w:space="0" w:color="auto"/>
              <w:left w:val="single" w:sz="4" w:space="0" w:color="auto"/>
              <w:bottom w:val="single" w:sz="4" w:space="0" w:color="auto"/>
              <w:right w:val="single" w:sz="4" w:space="0" w:color="auto"/>
            </w:tcBorders>
            <w:shd w:val="clear" w:color="000000" w:fill="ACB9CA"/>
            <w:vAlign w:val="center"/>
            <w:hideMark/>
          </w:tcPr>
          <w:p w14:paraId="4D786D1B"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COMPONENTE 3</w:t>
            </w:r>
          </w:p>
        </w:tc>
      </w:tr>
      <w:tr w:rsidR="007B3093" w14:paraId="4728AA8F" w14:textId="77777777">
        <w:trPr>
          <w:trHeight w:val="231"/>
        </w:trPr>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D7C8C9" w14:textId="77777777" w:rsidR="007B3093" w:rsidRDefault="00000000">
            <w:pPr>
              <w:spacing w:after="0" w:line="240" w:lineRule="auto"/>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C3: Fortalecer la capacidad de control, consultoría y asesoría legal de la PGE.</w:t>
            </w:r>
          </w:p>
        </w:tc>
        <w:tc>
          <w:tcPr>
            <w:tcW w:w="2069" w:type="dxa"/>
            <w:tcBorders>
              <w:top w:val="nil"/>
              <w:left w:val="nil"/>
              <w:bottom w:val="single" w:sz="4" w:space="0" w:color="auto"/>
              <w:right w:val="single" w:sz="4" w:space="0" w:color="auto"/>
            </w:tcBorders>
            <w:shd w:val="clear" w:color="auto" w:fill="auto"/>
            <w:vAlign w:val="center"/>
            <w:hideMark/>
          </w:tcPr>
          <w:p w14:paraId="143EC56D"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$140.683,36</w:t>
            </w:r>
          </w:p>
        </w:tc>
      </w:tr>
      <w:tr w:rsidR="007B3093" w14:paraId="412A75E7" w14:textId="77777777">
        <w:trPr>
          <w:trHeight w:val="134"/>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7E24001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Generar un sistema informático para brindar asesoría Legal a Organismos del Estado para no infringir los marcos normativos y para desarrollar una defensa óptima.</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46258CB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$8.736,00</w:t>
            </w:r>
          </w:p>
        </w:tc>
        <w:tc>
          <w:tcPr>
            <w:tcW w:w="2457" w:type="dxa"/>
            <w:tcBorders>
              <w:top w:val="nil"/>
              <w:left w:val="nil"/>
              <w:bottom w:val="single" w:sz="4" w:space="0" w:color="auto"/>
              <w:right w:val="single" w:sz="4" w:space="0" w:color="auto"/>
            </w:tcBorders>
            <w:shd w:val="clear" w:color="auto" w:fill="auto"/>
            <w:vAlign w:val="center"/>
            <w:hideMark/>
          </w:tcPr>
          <w:p w14:paraId="299502A8"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5493B242"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2202AFE8" w14:textId="77777777">
        <w:trPr>
          <w:trHeight w:val="113"/>
        </w:trPr>
        <w:tc>
          <w:tcPr>
            <w:tcW w:w="2189" w:type="dxa"/>
            <w:vMerge/>
            <w:tcBorders>
              <w:top w:val="nil"/>
              <w:left w:val="single" w:sz="4" w:space="0" w:color="auto"/>
              <w:bottom w:val="single" w:sz="4" w:space="0" w:color="auto"/>
              <w:right w:val="single" w:sz="4" w:space="0" w:color="auto"/>
            </w:tcBorders>
            <w:vAlign w:val="center"/>
            <w:hideMark/>
          </w:tcPr>
          <w:p w14:paraId="14F9F64A"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546A206A"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066A70C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3C7650B3"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2C609FDD" w14:textId="77777777">
        <w:trPr>
          <w:trHeight w:val="70"/>
        </w:trPr>
        <w:tc>
          <w:tcPr>
            <w:tcW w:w="2189" w:type="dxa"/>
            <w:vMerge/>
            <w:tcBorders>
              <w:top w:val="nil"/>
              <w:left w:val="single" w:sz="4" w:space="0" w:color="auto"/>
              <w:bottom w:val="single" w:sz="4" w:space="0" w:color="auto"/>
              <w:right w:val="single" w:sz="4" w:space="0" w:color="auto"/>
            </w:tcBorders>
            <w:vAlign w:val="center"/>
            <w:hideMark/>
          </w:tcPr>
          <w:p w14:paraId="5C2318B1"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49772E18"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7C3028DB"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Ejecución presupuestaria. </w:t>
            </w:r>
          </w:p>
        </w:tc>
        <w:tc>
          <w:tcPr>
            <w:tcW w:w="2069" w:type="dxa"/>
            <w:vMerge/>
            <w:tcBorders>
              <w:top w:val="nil"/>
              <w:left w:val="single" w:sz="4" w:space="0" w:color="auto"/>
              <w:bottom w:val="single" w:sz="4" w:space="0" w:color="auto"/>
              <w:right w:val="single" w:sz="4" w:space="0" w:color="auto"/>
            </w:tcBorders>
            <w:vAlign w:val="center"/>
            <w:hideMark/>
          </w:tcPr>
          <w:p w14:paraId="5E9C471A"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51F2DBA4" w14:textId="77777777">
        <w:trPr>
          <w:trHeight w:val="153"/>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11E1BEF3"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Capacitar a organismos del Estado o Municipios para la formulación adecuada de sus consultas.</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1C6725B4"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$131.947,36</w:t>
            </w:r>
          </w:p>
        </w:tc>
        <w:tc>
          <w:tcPr>
            <w:tcW w:w="2457" w:type="dxa"/>
            <w:tcBorders>
              <w:top w:val="nil"/>
              <w:left w:val="nil"/>
              <w:bottom w:val="single" w:sz="4" w:space="0" w:color="auto"/>
              <w:right w:val="single" w:sz="4" w:space="0" w:color="auto"/>
            </w:tcBorders>
            <w:shd w:val="clear" w:color="auto" w:fill="auto"/>
            <w:vAlign w:val="center"/>
            <w:hideMark/>
          </w:tcPr>
          <w:p w14:paraId="3C1E316C"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6D5ADD90"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0169F238" w14:textId="77777777">
        <w:trPr>
          <w:trHeight w:val="187"/>
        </w:trPr>
        <w:tc>
          <w:tcPr>
            <w:tcW w:w="2189" w:type="dxa"/>
            <w:vMerge/>
            <w:tcBorders>
              <w:top w:val="nil"/>
              <w:left w:val="single" w:sz="4" w:space="0" w:color="auto"/>
              <w:bottom w:val="single" w:sz="4" w:space="0" w:color="auto"/>
              <w:right w:val="single" w:sz="4" w:space="0" w:color="auto"/>
            </w:tcBorders>
            <w:vAlign w:val="center"/>
            <w:hideMark/>
          </w:tcPr>
          <w:p w14:paraId="6CE10601"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0FB055FE"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7ADFAE09"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72249B62"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6D4019D0" w14:textId="77777777">
        <w:trPr>
          <w:trHeight w:val="113"/>
        </w:trPr>
        <w:tc>
          <w:tcPr>
            <w:tcW w:w="2189" w:type="dxa"/>
            <w:vMerge/>
            <w:tcBorders>
              <w:top w:val="nil"/>
              <w:left w:val="single" w:sz="4" w:space="0" w:color="auto"/>
              <w:bottom w:val="single" w:sz="4" w:space="0" w:color="auto"/>
              <w:right w:val="single" w:sz="4" w:space="0" w:color="auto"/>
            </w:tcBorders>
            <w:vAlign w:val="center"/>
            <w:hideMark/>
          </w:tcPr>
          <w:p w14:paraId="587E0C4F"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76AB14DA"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1C4BF8EB"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Ejecución presupuestaria. </w:t>
            </w:r>
          </w:p>
        </w:tc>
        <w:tc>
          <w:tcPr>
            <w:tcW w:w="2069" w:type="dxa"/>
            <w:vMerge/>
            <w:tcBorders>
              <w:top w:val="nil"/>
              <w:left w:val="single" w:sz="4" w:space="0" w:color="auto"/>
              <w:bottom w:val="single" w:sz="4" w:space="0" w:color="auto"/>
              <w:right w:val="single" w:sz="4" w:space="0" w:color="auto"/>
            </w:tcBorders>
            <w:vAlign w:val="center"/>
            <w:hideMark/>
          </w:tcPr>
          <w:p w14:paraId="2998FD74"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47C84350" w14:textId="77777777">
        <w:trPr>
          <w:trHeight w:val="231"/>
        </w:trPr>
        <w:tc>
          <w:tcPr>
            <w:tcW w:w="8915" w:type="dxa"/>
            <w:gridSpan w:val="4"/>
            <w:tcBorders>
              <w:top w:val="single" w:sz="4" w:space="0" w:color="auto"/>
              <w:left w:val="single" w:sz="4" w:space="0" w:color="auto"/>
              <w:bottom w:val="single" w:sz="4" w:space="0" w:color="auto"/>
              <w:right w:val="single" w:sz="4" w:space="0" w:color="auto"/>
            </w:tcBorders>
            <w:shd w:val="clear" w:color="000000" w:fill="ACB9CA"/>
            <w:vAlign w:val="center"/>
            <w:hideMark/>
          </w:tcPr>
          <w:p w14:paraId="4F2B3620"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COMPONENTE 4</w:t>
            </w:r>
          </w:p>
        </w:tc>
      </w:tr>
      <w:tr w:rsidR="007B3093" w14:paraId="5A47E484" w14:textId="77777777">
        <w:trPr>
          <w:trHeight w:val="231"/>
        </w:trPr>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CB3E29" w14:textId="77777777" w:rsidR="007B3093" w:rsidRDefault="00000000">
            <w:pPr>
              <w:spacing w:after="0" w:line="240" w:lineRule="auto"/>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C4: Fortalecer los centros de mediación de la PGE.</w:t>
            </w:r>
          </w:p>
        </w:tc>
        <w:tc>
          <w:tcPr>
            <w:tcW w:w="2069" w:type="dxa"/>
            <w:tcBorders>
              <w:top w:val="nil"/>
              <w:left w:val="nil"/>
              <w:bottom w:val="single" w:sz="4" w:space="0" w:color="auto"/>
              <w:right w:val="single" w:sz="4" w:space="0" w:color="auto"/>
            </w:tcBorders>
            <w:shd w:val="clear" w:color="auto" w:fill="auto"/>
            <w:vAlign w:val="center"/>
            <w:hideMark/>
          </w:tcPr>
          <w:p w14:paraId="581C8C86"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$255.668,92</w:t>
            </w:r>
          </w:p>
        </w:tc>
      </w:tr>
      <w:tr w:rsidR="007B3093" w14:paraId="388ECEAB" w14:textId="77777777">
        <w:trPr>
          <w:trHeight w:val="171"/>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1316951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Readecuar los espacios de los centros de mediación.</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6463485C"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$255.668,92</w:t>
            </w:r>
          </w:p>
        </w:tc>
        <w:tc>
          <w:tcPr>
            <w:tcW w:w="2457" w:type="dxa"/>
            <w:tcBorders>
              <w:top w:val="nil"/>
              <w:left w:val="nil"/>
              <w:bottom w:val="single" w:sz="4" w:space="0" w:color="auto"/>
              <w:right w:val="single" w:sz="4" w:space="0" w:color="auto"/>
            </w:tcBorders>
            <w:shd w:val="clear" w:color="auto" w:fill="auto"/>
            <w:vAlign w:val="center"/>
            <w:hideMark/>
          </w:tcPr>
          <w:p w14:paraId="4FDBCE8F"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Contratos.</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3E90155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7DE33F84" w14:textId="77777777">
        <w:trPr>
          <w:trHeight w:val="105"/>
        </w:trPr>
        <w:tc>
          <w:tcPr>
            <w:tcW w:w="2189" w:type="dxa"/>
            <w:vMerge/>
            <w:tcBorders>
              <w:top w:val="nil"/>
              <w:left w:val="single" w:sz="4" w:space="0" w:color="auto"/>
              <w:bottom w:val="single" w:sz="4" w:space="0" w:color="auto"/>
              <w:right w:val="single" w:sz="4" w:space="0" w:color="auto"/>
            </w:tcBorders>
            <w:vAlign w:val="center"/>
            <w:hideMark/>
          </w:tcPr>
          <w:p w14:paraId="599B54D4"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371239A2"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5139D5EA"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32D05896"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72A16AA3" w14:textId="77777777">
        <w:trPr>
          <w:trHeight w:val="187"/>
        </w:trPr>
        <w:tc>
          <w:tcPr>
            <w:tcW w:w="2189" w:type="dxa"/>
            <w:vMerge/>
            <w:tcBorders>
              <w:top w:val="nil"/>
              <w:left w:val="single" w:sz="4" w:space="0" w:color="auto"/>
              <w:bottom w:val="single" w:sz="4" w:space="0" w:color="auto"/>
              <w:right w:val="single" w:sz="4" w:space="0" w:color="auto"/>
            </w:tcBorders>
            <w:vAlign w:val="center"/>
            <w:hideMark/>
          </w:tcPr>
          <w:p w14:paraId="1208A0AB"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70088162"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11586E76"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Centros de mediación readecuados.</w:t>
            </w:r>
          </w:p>
        </w:tc>
        <w:tc>
          <w:tcPr>
            <w:tcW w:w="2069" w:type="dxa"/>
            <w:vMerge/>
            <w:tcBorders>
              <w:top w:val="nil"/>
              <w:left w:val="single" w:sz="4" w:space="0" w:color="auto"/>
              <w:bottom w:val="single" w:sz="4" w:space="0" w:color="auto"/>
              <w:right w:val="single" w:sz="4" w:space="0" w:color="auto"/>
            </w:tcBorders>
            <w:vAlign w:val="center"/>
            <w:hideMark/>
          </w:tcPr>
          <w:p w14:paraId="0892610A"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38508B09" w14:textId="77777777">
        <w:trPr>
          <w:trHeight w:val="99"/>
        </w:trPr>
        <w:tc>
          <w:tcPr>
            <w:tcW w:w="2189" w:type="dxa"/>
            <w:vMerge/>
            <w:tcBorders>
              <w:top w:val="nil"/>
              <w:left w:val="single" w:sz="4" w:space="0" w:color="auto"/>
              <w:bottom w:val="single" w:sz="4" w:space="0" w:color="auto"/>
              <w:right w:val="single" w:sz="4" w:space="0" w:color="auto"/>
            </w:tcBorders>
            <w:vAlign w:val="center"/>
            <w:hideMark/>
          </w:tcPr>
          <w:p w14:paraId="3584DD49"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452A0CEA"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793E4D36"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Ejecución presupuestaria.</w:t>
            </w:r>
          </w:p>
        </w:tc>
        <w:tc>
          <w:tcPr>
            <w:tcW w:w="2069" w:type="dxa"/>
            <w:vMerge/>
            <w:tcBorders>
              <w:top w:val="nil"/>
              <w:left w:val="single" w:sz="4" w:space="0" w:color="auto"/>
              <w:bottom w:val="single" w:sz="4" w:space="0" w:color="auto"/>
              <w:right w:val="single" w:sz="4" w:space="0" w:color="auto"/>
            </w:tcBorders>
            <w:vAlign w:val="center"/>
            <w:hideMark/>
          </w:tcPr>
          <w:p w14:paraId="66251982"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6BFB611C" w14:textId="77777777">
        <w:trPr>
          <w:trHeight w:val="231"/>
        </w:trPr>
        <w:tc>
          <w:tcPr>
            <w:tcW w:w="8915" w:type="dxa"/>
            <w:gridSpan w:val="4"/>
            <w:tcBorders>
              <w:top w:val="single" w:sz="4" w:space="0" w:color="auto"/>
              <w:left w:val="single" w:sz="4" w:space="0" w:color="auto"/>
              <w:bottom w:val="single" w:sz="4" w:space="0" w:color="auto"/>
              <w:right w:val="single" w:sz="4" w:space="0" w:color="auto"/>
            </w:tcBorders>
            <w:shd w:val="clear" w:color="000000" w:fill="ACB9CA"/>
            <w:vAlign w:val="center"/>
            <w:hideMark/>
          </w:tcPr>
          <w:p w14:paraId="04F2A6F3"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COMPONENTE 5</w:t>
            </w:r>
          </w:p>
        </w:tc>
      </w:tr>
      <w:tr w:rsidR="007B3093" w14:paraId="6603A193" w14:textId="77777777">
        <w:trPr>
          <w:trHeight w:val="231"/>
        </w:trPr>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C96F27" w14:textId="77777777" w:rsidR="007B3093" w:rsidRDefault="00000000">
            <w:pPr>
              <w:spacing w:after="0" w:line="240" w:lineRule="auto"/>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C5: Diseñar e implementar la estrategia de comunicación de la PGE.</w:t>
            </w:r>
          </w:p>
        </w:tc>
        <w:tc>
          <w:tcPr>
            <w:tcW w:w="2069" w:type="dxa"/>
            <w:tcBorders>
              <w:top w:val="nil"/>
              <w:left w:val="nil"/>
              <w:bottom w:val="single" w:sz="4" w:space="0" w:color="auto"/>
              <w:right w:val="single" w:sz="4" w:space="0" w:color="auto"/>
            </w:tcBorders>
            <w:shd w:val="clear" w:color="auto" w:fill="auto"/>
            <w:vAlign w:val="center"/>
            <w:hideMark/>
          </w:tcPr>
          <w:p w14:paraId="3BB9E7EF"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$183.569,07</w:t>
            </w:r>
          </w:p>
        </w:tc>
      </w:tr>
      <w:tr w:rsidR="007B3093" w14:paraId="4BA5E983" w14:textId="77777777">
        <w:trPr>
          <w:trHeight w:val="149"/>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345A77D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Diseñar una estrategia de comunicación </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0DB555F8"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$20.000</w:t>
            </w:r>
          </w:p>
        </w:tc>
        <w:tc>
          <w:tcPr>
            <w:tcW w:w="2457" w:type="dxa"/>
            <w:tcBorders>
              <w:top w:val="nil"/>
              <w:left w:val="nil"/>
              <w:bottom w:val="single" w:sz="4" w:space="0" w:color="auto"/>
              <w:right w:val="single" w:sz="4" w:space="0" w:color="auto"/>
            </w:tcBorders>
            <w:shd w:val="clear" w:color="auto" w:fill="auto"/>
            <w:vAlign w:val="center"/>
            <w:hideMark/>
          </w:tcPr>
          <w:p w14:paraId="00AFC82A"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729EA828"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5A62D0BC" w14:textId="77777777">
        <w:trPr>
          <w:trHeight w:val="106"/>
        </w:trPr>
        <w:tc>
          <w:tcPr>
            <w:tcW w:w="2189" w:type="dxa"/>
            <w:vMerge/>
            <w:tcBorders>
              <w:top w:val="nil"/>
              <w:left w:val="single" w:sz="4" w:space="0" w:color="auto"/>
              <w:bottom w:val="single" w:sz="4" w:space="0" w:color="auto"/>
              <w:right w:val="single" w:sz="4" w:space="0" w:color="auto"/>
            </w:tcBorders>
            <w:vAlign w:val="center"/>
            <w:hideMark/>
          </w:tcPr>
          <w:p w14:paraId="36FC2A05"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02E4DD15"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21022B40"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6B41E7B4"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3D7FA241" w14:textId="77777777">
        <w:trPr>
          <w:trHeight w:val="141"/>
        </w:trPr>
        <w:tc>
          <w:tcPr>
            <w:tcW w:w="2189" w:type="dxa"/>
            <w:vMerge/>
            <w:tcBorders>
              <w:top w:val="nil"/>
              <w:left w:val="single" w:sz="4" w:space="0" w:color="auto"/>
              <w:bottom w:val="single" w:sz="4" w:space="0" w:color="auto"/>
              <w:right w:val="single" w:sz="4" w:space="0" w:color="auto"/>
            </w:tcBorders>
            <w:vAlign w:val="center"/>
            <w:hideMark/>
          </w:tcPr>
          <w:p w14:paraId="1BEEAF50"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2EC862EF"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5888409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Estrategia de Comunicación.</w:t>
            </w:r>
          </w:p>
        </w:tc>
        <w:tc>
          <w:tcPr>
            <w:tcW w:w="2069" w:type="dxa"/>
            <w:vMerge/>
            <w:tcBorders>
              <w:top w:val="nil"/>
              <w:left w:val="single" w:sz="4" w:space="0" w:color="auto"/>
              <w:bottom w:val="single" w:sz="4" w:space="0" w:color="auto"/>
              <w:right w:val="single" w:sz="4" w:space="0" w:color="auto"/>
            </w:tcBorders>
            <w:vAlign w:val="center"/>
            <w:hideMark/>
          </w:tcPr>
          <w:p w14:paraId="7E23C669"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6AA0A2DF" w14:textId="77777777">
        <w:trPr>
          <w:trHeight w:val="141"/>
        </w:trPr>
        <w:tc>
          <w:tcPr>
            <w:tcW w:w="2189" w:type="dxa"/>
            <w:vMerge/>
            <w:tcBorders>
              <w:top w:val="nil"/>
              <w:left w:val="single" w:sz="4" w:space="0" w:color="auto"/>
              <w:bottom w:val="single" w:sz="4" w:space="0" w:color="auto"/>
              <w:right w:val="single" w:sz="4" w:space="0" w:color="auto"/>
            </w:tcBorders>
            <w:vAlign w:val="center"/>
            <w:hideMark/>
          </w:tcPr>
          <w:p w14:paraId="6480780B"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2F8A356F"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6430AB54"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Ejecución presupuestaria.</w:t>
            </w:r>
          </w:p>
        </w:tc>
        <w:tc>
          <w:tcPr>
            <w:tcW w:w="2069" w:type="dxa"/>
            <w:vMerge/>
            <w:tcBorders>
              <w:top w:val="nil"/>
              <w:left w:val="single" w:sz="4" w:space="0" w:color="auto"/>
              <w:bottom w:val="single" w:sz="4" w:space="0" w:color="auto"/>
              <w:right w:val="single" w:sz="4" w:space="0" w:color="auto"/>
            </w:tcBorders>
            <w:vAlign w:val="center"/>
            <w:hideMark/>
          </w:tcPr>
          <w:p w14:paraId="3A29A4B6"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22BCE428" w14:textId="77777777">
        <w:trPr>
          <w:trHeight w:val="204"/>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2F952D2A"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Capacitar en herramientas de comunicación</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08F26A2B"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$10.000</w:t>
            </w:r>
          </w:p>
        </w:tc>
        <w:tc>
          <w:tcPr>
            <w:tcW w:w="2457" w:type="dxa"/>
            <w:tcBorders>
              <w:top w:val="nil"/>
              <w:left w:val="nil"/>
              <w:bottom w:val="single" w:sz="4" w:space="0" w:color="auto"/>
              <w:right w:val="single" w:sz="4" w:space="0" w:color="auto"/>
            </w:tcBorders>
            <w:shd w:val="clear" w:color="auto" w:fill="auto"/>
            <w:vAlign w:val="center"/>
            <w:hideMark/>
          </w:tcPr>
          <w:p w14:paraId="56DFB927"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5FCEFC96"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361B63ED" w14:textId="77777777">
        <w:trPr>
          <w:trHeight w:val="81"/>
        </w:trPr>
        <w:tc>
          <w:tcPr>
            <w:tcW w:w="2189" w:type="dxa"/>
            <w:vMerge/>
            <w:tcBorders>
              <w:top w:val="nil"/>
              <w:left w:val="single" w:sz="4" w:space="0" w:color="auto"/>
              <w:bottom w:val="single" w:sz="4" w:space="0" w:color="auto"/>
              <w:right w:val="single" w:sz="4" w:space="0" w:color="auto"/>
            </w:tcBorders>
            <w:vAlign w:val="center"/>
            <w:hideMark/>
          </w:tcPr>
          <w:p w14:paraId="438987F5"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0E31890A"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1D62FF9B"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79F48EE8"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305F8F62" w14:textId="77777777">
        <w:trPr>
          <w:trHeight w:val="187"/>
        </w:trPr>
        <w:tc>
          <w:tcPr>
            <w:tcW w:w="2189" w:type="dxa"/>
            <w:vMerge/>
            <w:tcBorders>
              <w:top w:val="nil"/>
              <w:left w:val="single" w:sz="4" w:space="0" w:color="auto"/>
              <w:bottom w:val="single" w:sz="4" w:space="0" w:color="auto"/>
              <w:right w:val="single" w:sz="4" w:space="0" w:color="auto"/>
            </w:tcBorders>
            <w:vAlign w:val="center"/>
            <w:hideMark/>
          </w:tcPr>
          <w:p w14:paraId="53D5487F"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384B2254"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3570C376"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Ejecución presupuestaria.</w:t>
            </w:r>
          </w:p>
        </w:tc>
        <w:tc>
          <w:tcPr>
            <w:tcW w:w="2069" w:type="dxa"/>
            <w:vMerge/>
            <w:tcBorders>
              <w:top w:val="nil"/>
              <w:left w:val="single" w:sz="4" w:space="0" w:color="auto"/>
              <w:bottom w:val="single" w:sz="4" w:space="0" w:color="auto"/>
              <w:right w:val="single" w:sz="4" w:space="0" w:color="auto"/>
            </w:tcBorders>
            <w:vAlign w:val="center"/>
            <w:hideMark/>
          </w:tcPr>
          <w:p w14:paraId="420762A1"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5180B6F2" w14:textId="77777777">
        <w:trPr>
          <w:trHeight w:val="167"/>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5D0C74B9"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Desarrollar materiales de difusión</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41E6BA0B"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$94.289,45</w:t>
            </w:r>
          </w:p>
        </w:tc>
        <w:tc>
          <w:tcPr>
            <w:tcW w:w="2457" w:type="dxa"/>
            <w:tcBorders>
              <w:top w:val="nil"/>
              <w:left w:val="nil"/>
              <w:bottom w:val="single" w:sz="4" w:space="0" w:color="auto"/>
              <w:right w:val="single" w:sz="4" w:space="0" w:color="auto"/>
            </w:tcBorders>
            <w:shd w:val="clear" w:color="auto" w:fill="auto"/>
            <w:vAlign w:val="center"/>
            <w:hideMark/>
          </w:tcPr>
          <w:p w14:paraId="4B7C13DC"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7212ACEB"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7045EAE2" w14:textId="77777777">
        <w:trPr>
          <w:trHeight w:val="159"/>
        </w:trPr>
        <w:tc>
          <w:tcPr>
            <w:tcW w:w="2189" w:type="dxa"/>
            <w:vMerge/>
            <w:tcBorders>
              <w:top w:val="nil"/>
              <w:left w:val="single" w:sz="4" w:space="0" w:color="auto"/>
              <w:bottom w:val="single" w:sz="4" w:space="0" w:color="auto"/>
              <w:right w:val="single" w:sz="4" w:space="0" w:color="auto"/>
            </w:tcBorders>
            <w:vAlign w:val="center"/>
            <w:hideMark/>
          </w:tcPr>
          <w:p w14:paraId="51F73A41"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1482AF60"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748EAE98"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20CCEA51"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13C8C0D0" w14:textId="77777777">
        <w:trPr>
          <w:trHeight w:val="151"/>
        </w:trPr>
        <w:tc>
          <w:tcPr>
            <w:tcW w:w="2189" w:type="dxa"/>
            <w:vMerge/>
            <w:tcBorders>
              <w:top w:val="nil"/>
              <w:left w:val="single" w:sz="4" w:space="0" w:color="auto"/>
              <w:bottom w:val="single" w:sz="4" w:space="0" w:color="auto"/>
              <w:right w:val="single" w:sz="4" w:space="0" w:color="auto"/>
            </w:tcBorders>
            <w:vAlign w:val="center"/>
            <w:hideMark/>
          </w:tcPr>
          <w:p w14:paraId="4550C88D"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472AAB27"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4AF4E084"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Ejecución presupuestaria.</w:t>
            </w:r>
          </w:p>
        </w:tc>
        <w:tc>
          <w:tcPr>
            <w:tcW w:w="2069" w:type="dxa"/>
            <w:vMerge/>
            <w:tcBorders>
              <w:top w:val="nil"/>
              <w:left w:val="single" w:sz="4" w:space="0" w:color="auto"/>
              <w:bottom w:val="single" w:sz="4" w:space="0" w:color="auto"/>
              <w:right w:val="single" w:sz="4" w:space="0" w:color="auto"/>
            </w:tcBorders>
            <w:vAlign w:val="center"/>
            <w:hideMark/>
          </w:tcPr>
          <w:p w14:paraId="2F5610A1"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1134A387" w14:textId="77777777">
        <w:trPr>
          <w:trHeight w:val="132"/>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1799BA9D"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Realizar una encuesta ciudadana de percepción</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7F98E4B6"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$10.000</w:t>
            </w:r>
          </w:p>
        </w:tc>
        <w:tc>
          <w:tcPr>
            <w:tcW w:w="2457" w:type="dxa"/>
            <w:tcBorders>
              <w:top w:val="nil"/>
              <w:left w:val="nil"/>
              <w:bottom w:val="single" w:sz="4" w:space="0" w:color="auto"/>
              <w:right w:val="single" w:sz="4" w:space="0" w:color="auto"/>
            </w:tcBorders>
            <w:shd w:val="clear" w:color="auto" w:fill="auto"/>
            <w:vAlign w:val="center"/>
            <w:hideMark/>
          </w:tcPr>
          <w:p w14:paraId="278B057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1B5E717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48879BAA" w14:textId="77777777">
        <w:trPr>
          <w:trHeight w:val="124"/>
        </w:trPr>
        <w:tc>
          <w:tcPr>
            <w:tcW w:w="2189" w:type="dxa"/>
            <w:vMerge/>
            <w:tcBorders>
              <w:top w:val="nil"/>
              <w:left w:val="single" w:sz="4" w:space="0" w:color="auto"/>
              <w:bottom w:val="single" w:sz="4" w:space="0" w:color="auto"/>
              <w:right w:val="single" w:sz="4" w:space="0" w:color="auto"/>
            </w:tcBorders>
            <w:vAlign w:val="center"/>
            <w:hideMark/>
          </w:tcPr>
          <w:p w14:paraId="2B7220BA"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545E3944"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3DC7BA4C"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3242D239"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11A58045" w14:textId="77777777">
        <w:trPr>
          <w:trHeight w:val="116"/>
        </w:trPr>
        <w:tc>
          <w:tcPr>
            <w:tcW w:w="2189" w:type="dxa"/>
            <w:vMerge/>
            <w:tcBorders>
              <w:top w:val="nil"/>
              <w:left w:val="single" w:sz="4" w:space="0" w:color="auto"/>
              <w:bottom w:val="single" w:sz="4" w:space="0" w:color="auto"/>
              <w:right w:val="single" w:sz="4" w:space="0" w:color="auto"/>
            </w:tcBorders>
            <w:vAlign w:val="center"/>
            <w:hideMark/>
          </w:tcPr>
          <w:p w14:paraId="156BA320"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5D5DB859"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6F76113C"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Ejecución presupuestaria.</w:t>
            </w:r>
          </w:p>
        </w:tc>
        <w:tc>
          <w:tcPr>
            <w:tcW w:w="2069" w:type="dxa"/>
            <w:vMerge/>
            <w:tcBorders>
              <w:top w:val="nil"/>
              <w:left w:val="single" w:sz="4" w:space="0" w:color="auto"/>
              <w:bottom w:val="single" w:sz="4" w:space="0" w:color="auto"/>
              <w:right w:val="single" w:sz="4" w:space="0" w:color="auto"/>
            </w:tcBorders>
            <w:vAlign w:val="center"/>
            <w:hideMark/>
          </w:tcPr>
          <w:p w14:paraId="1F802203"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4FF36B9E" w14:textId="77777777">
        <w:trPr>
          <w:trHeight w:val="97"/>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15368CDE"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Adquirir equipamiento para comunicación</w:t>
            </w:r>
          </w:p>
        </w:tc>
        <w:tc>
          <w:tcPr>
            <w:tcW w:w="2199" w:type="dxa"/>
            <w:vMerge w:val="restart"/>
            <w:tcBorders>
              <w:top w:val="nil"/>
              <w:left w:val="single" w:sz="4" w:space="0" w:color="auto"/>
              <w:bottom w:val="single" w:sz="4" w:space="0" w:color="auto"/>
              <w:right w:val="single" w:sz="4" w:space="0" w:color="auto"/>
            </w:tcBorders>
            <w:shd w:val="clear" w:color="auto" w:fill="auto"/>
            <w:vAlign w:val="center"/>
            <w:hideMark/>
          </w:tcPr>
          <w:p w14:paraId="68C6E428"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$49.279,62</w:t>
            </w:r>
          </w:p>
        </w:tc>
        <w:tc>
          <w:tcPr>
            <w:tcW w:w="2457" w:type="dxa"/>
            <w:tcBorders>
              <w:top w:val="nil"/>
              <w:left w:val="nil"/>
              <w:bottom w:val="single" w:sz="4" w:space="0" w:color="auto"/>
              <w:right w:val="single" w:sz="4" w:space="0" w:color="auto"/>
            </w:tcBorders>
            <w:shd w:val="clear" w:color="auto" w:fill="auto"/>
            <w:vAlign w:val="center"/>
            <w:hideMark/>
          </w:tcPr>
          <w:p w14:paraId="312BC59F"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Contrato.</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14:paraId="77493E99"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Asignación presupuestaria para el cumplimiento del cronograma establecido.</w:t>
            </w:r>
          </w:p>
        </w:tc>
      </w:tr>
      <w:tr w:rsidR="007B3093" w14:paraId="201AF406" w14:textId="77777777">
        <w:trPr>
          <w:trHeight w:val="89"/>
        </w:trPr>
        <w:tc>
          <w:tcPr>
            <w:tcW w:w="2189" w:type="dxa"/>
            <w:vMerge/>
            <w:tcBorders>
              <w:top w:val="nil"/>
              <w:left w:val="single" w:sz="4" w:space="0" w:color="auto"/>
              <w:bottom w:val="single" w:sz="4" w:space="0" w:color="auto"/>
              <w:right w:val="single" w:sz="4" w:space="0" w:color="auto"/>
            </w:tcBorders>
            <w:vAlign w:val="center"/>
            <w:hideMark/>
          </w:tcPr>
          <w:p w14:paraId="487465F0"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3477845A"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681D3434"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Acta entrega recepción.</w:t>
            </w:r>
          </w:p>
        </w:tc>
        <w:tc>
          <w:tcPr>
            <w:tcW w:w="2069" w:type="dxa"/>
            <w:vMerge/>
            <w:tcBorders>
              <w:top w:val="nil"/>
              <w:left w:val="single" w:sz="4" w:space="0" w:color="auto"/>
              <w:bottom w:val="single" w:sz="4" w:space="0" w:color="auto"/>
              <w:right w:val="single" w:sz="4" w:space="0" w:color="auto"/>
            </w:tcBorders>
            <w:vAlign w:val="center"/>
            <w:hideMark/>
          </w:tcPr>
          <w:p w14:paraId="4368A1FB"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439846A2" w14:textId="77777777">
        <w:trPr>
          <w:trHeight w:val="195"/>
        </w:trPr>
        <w:tc>
          <w:tcPr>
            <w:tcW w:w="2189" w:type="dxa"/>
            <w:vMerge/>
            <w:tcBorders>
              <w:top w:val="nil"/>
              <w:left w:val="single" w:sz="4" w:space="0" w:color="auto"/>
              <w:bottom w:val="single" w:sz="4" w:space="0" w:color="auto"/>
              <w:right w:val="single" w:sz="4" w:space="0" w:color="auto"/>
            </w:tcBorders>
            <w:vAlign w:val="center"/>
            <w:hideMark/>
          </w:tcPr>
          <w:p w14:paraId="45105BDA" w14:textId="77777777" w:rsidR="007B3093" w:rsidRDefault="007B3093">
            <w:pPr>
              <w:spacing w:after="0" w:line="240" w:lineRule="auto"/>
              <w:rPr>
                <w:rFonts w:ascii="Calibri" w:eastAsia="Times New Roman" w:hAnsi="Calibri" w:cs="Calibri"/>
                <w:color w:val="000000"/>
                <w:sz w:val="14"/>
                <w:szCs w:val="14"/>
                <w:lang w:eastAsia="es-EC"/>
              </w:rPr>
            </w:pPr>
          </w:p>
        </w:tc>
        <w:tc>
          <w:tcPr>
            <w:tcW w:w="2199" w:type="dxa"/>
            <w:vMerge/>
            <w:tcBorders>
              <w:top w:val="nil"/>
              <w:left w:val="single" w:sz="4" w:space="0" w:color="auto"/>
              <w:bottom w:val="single" w:sz="4" w:space="0" w:color="auto"/>
              <w:right w:val="single" w:sz="4" w:space="0" w:color="auto"/>
            </w:tcBorders>
            <w:vAlign w:val="center"/>
            <w:hideMark/>
          </w:tcPr>
          <w:p w14:paraId="1FA09396" w14:textId="77777777" w:rsidR="007B3093" w:rsidRDefault="007B3093">
            <w:pPr>
              <w:spacing w:after="0" w:line="240" w:lineRule="auto"/>
              <w:rPr>
                <w:rFonts w:ascii="Calibri" w:eastAsia="Times New Roman" w:hAnsi="Calibri" w:cs="Calibri"/>
                <w:color w:val="000000"/>
                <w:sz w:val="14"/>
                <w:szCs w:val="14"/>
                <w:lang w:eastAsia="es-EC"/>
              </w:rPr>
            </w:pPr>
          </w:p>
        </w:tc>
        <w:tc>
          <w:tcPr>
            <w:tcW w:w="2457" w:type="dxa"/>
            <w:tcBorders>
              <w:top w:val="nil"/>
              <w:left w:val="nil"/>
              <w:bottom w:val="single" w:sz="4" w:space="0" w:color="auto"/>
              <w:right w:val="single" w:sz="4" w:space="0" w:color="auto"/>
            </w:tcBorders>
            <w:shd w:val="clear" w:color="auto" w:fill="auto"/>
            <w:vAlign w:val="center"/>
            <w:hideMark/>
          </w:tcPr>
          <w:p w14:paraId="6E4AAFB7" w14:textId="77777777" w:rsidR="007B3093" w:rsidRDefault="00000000">
            <w:pPr>
              <w:spacing w:after="0" w:line="240" w:lineRule="auto"/>
              <w:jc w:val="both"/>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Ejecución presupuestaria.</w:t>
            </w:r>
          </w:p>
        </w:tc>
        <w:tc>
          <w:tcPr>
            <w:tcW w:w="2069" w:type="dxa"/>
            <w:vMerge/>
            <w:tcBorders>
              <w:top w:val="nil"/>
              <w:left w:val="single" w:sz="4" w:space="0" w:color="auto"/>
              <w:bottom w:val="single" w:sz="4" w:space="0" w:color="auto"/>
              <w:right w:val="single" w:sz="4" w:space="0" w:color="auto"/>
            </w:tcBorders>
            <w:vAlign w:val="center"/>
            <w:hideMark/>
          </w:tcPr>
          <w:p w14:paraId="4243F199" w14:textId="77777777" w:rsidR="007B3093" w:rsidRDefault="007B3093">
            <w:pPr>
              <w:spacing w:after="0" w:line="240" w:lineRule="auto"/>
              <w:rPr>
                <w:rFonts w:ascii="Calibri" w:eastAsia="Times New Roman" w:hAnsi="Calibri" w:cs="Calibri"/>
                <w:color w:val="000000"/>
                <w:sz w:val="14"/>
                <w:szCs w:val="14"/>
                <w:lang w:eastAsia="es-EC"/>
              </w:rPr>
            </w:pPr>
          </w:p>
        </w:tc>
      </w:tr>
      <w:tr w:rsidR="007B3093" w14:paraId="70459C66" w14:textId="77777777">
        <w:trPr>
          <w:trHeight w:val="231"/>
        </w:trPr>
        <w:tc>
          <w:tcPr>
            <w:tcW w:w="6846" w:type="dxa"/>
            <w:gridSpan w:val="3"/>
            <w:tcBorders>
              <w:top w:val="single" w:sz="4" w:space="0" w:color="auto"/>
              <w:left w:val="single" w:sz="4" w:space="0" w:color="auto"/>
              <w:bottom w:val="single" w:sz="4" w:space="0" w:color="auto"/>
              <w:right w:val="single" w:sz="4" w:space="0" w:color="auto"/>
            </w:tcBorders>
            <w:shd w:val="clear" w:color="000000" w:fill="DEEAF6"/>
            <w:vAlign w:val="center"/>
            <w:hideMark/>
          </w:tcPr>
          <w:p w14:paraId="43DA9CB4"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TOTAL MONTO DEL PROYECTO:</w:t>
            </w:r>
          </w:p>
        </w:tc>
        <w:tc>
          <w:tcPr>
            <w:tcW w:w="2069" w:type="dxa"/>
            <w:tcBorders>
              <w:top w:val="nil"/>
              <w:left w:val="nil"/>
              <w:bottom w:val="single" w:sz="4" w:space="0" w:color="auto"/>
              <w:right w:val="single" w:sz="4" w:space="0" w:color="auto"/>
            </w:tcBorders>
            <w:shd w:val="clear" w:color="000000" w:fill="DAE9F8"/>
            <w:vAlign w:val="center"/>
            <w:hideMark/>
          </w:tcPr>
          <w:p w14:paraId="34BA75CA"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$5.174.795,49</w:t>
            </w:r>
          </w:p>
        </w:tc>
      </w:tr>
    </w:tbl>
    <w:p w14:paraId="398DE2FA" w14:textId="77777777" w:rsidR="007B3093" w:rsidRDefault="00000000">
      <w:pPr>
        <w:autoSpaceDE w:val="0"/>
        <w:autoSpaceDN w:val="0"/>
        <w:adjustRightInd w:val="0"/>
        <w:spacing w:after="0" w:line="360" w:lineRule="auto"/>
        <w:rPr>
          <w:rFonts w:cstheme="minorHAnsi"/>
          <w:b/>
          <w:bCs/>
          <w:lang w:eastAsia="es-EC"/>
        </w:rPr>
      </w:pPr>
      <w:r>
        <w:rPr>
          <w:rFonts w:cstheme="minorHAnsi"/>
          <w:b/>
          <w:bCs/>
          <w:lang w:eastAsia="es-EC"/>
        </w:rPr>
        <w:t>Elaboración: EDG PROFIP</w:t>
      </w:r>
    </w:p>
    <w:p w14:paraId="13495648" w14:textId="77777777" w:rsidR="007B3093" w:rsidRDefault="007B3093">
      <w:pPr>
        <w:autoSpaceDE w:val="0"/>
        <w:autoSpaceDN w:val="0"/>
        <w:adjustRightInd w:val="0"/>
        <w:spacing w:after="0" w:line="360" w:lineRule="auto"/>
        <w:rPr>
          <w:rFonts w:cstheme="minorHAnsi"/>
          <w:b/>
          <w:bCs/>
          <w:lang w:eastAsia="es-EC"/>
        </w:rPr>
      </w:pPr>
    </w:p>
    <w:p w14:paraId="7F7FCA3D" w14:textId="77777777" w:rsidR="007B3093" w:rsidRDefault="00000000">
      <w:pPr>
        <w:pStyle w:val="Ttulo2"/>
        <w:numPr>
          <w:ilvl w:val="2"/>
          <w:numId w:val="93"/>
        </w:numPr>
        <w:spacing w:before="240" w:line="360" w:lineRule="auto"/>
        <w:ind w:left="709" w:hanging="425"/>
        <w:rPr>
          <w:rFonts w:asciiTheme="minorHAnsi" w:hAnsiTheme="minorHAnsi" w:cstheme="minorHAnsi"/>
          <w:b/>
          <w:color w:val="auto"/>
          <w:sz w:val="22"/>
          <w:szCs w:val="22"/>
          <w:lang w:eastAsia="es-EC"/>
        </w:rPr>
      </w:pPr>
      <w:bookmarkStart w:id="34" w:name="_Toc195010063"/>
      <w:proofErr w:type="spellStart"/>
      <w:r>
        <w:rPr>
          <w:rFonts w:asciiTheme="minorHAnsi" w:hAnsiTheme="minorHAnsi" w:cstheme="minorHAnsi"/>
          <w:b/>
          <w:color w:val="auto"/>
          <w:sz w:val="22"/>
          <w:szCs w:val="22"/>
          <w:lang w:eastAsia="es-EC"/>
        </w:rPr>
        <w:t>Anualización</w:t>
      </w:r>
      <w:proofErr w:type="spellEnd"/>
      <w:r>
        <w:rPr>
          <w:rFonts w:asciiTheme="minorHAnsi" w:hAnsiTheme="minorHAnsi" w:cstheme="minorHAnsi"/>
          <w:b/>
          <w:color w:val="auto"/>
          <w:sz w:val="22"/>
          <w:szCs w:val="22"/>
          <w:lang w:eastAsia="es-EC"/>
        </w:rPr>
        <w:t xml:space="preserve"> de las metas de los indicadores del propósito</w:t>
      </w:r>
      <w:bookmarkEnd w:id="34"/>
    </w:p>
    <w:p w14:paraId="647E8E4E" w14:textId="77777777" w:rsidR="007B3093" w:rsidRDefault="00000000">
      <w:pPr>
        <w:pStyle w:val="Prrafodelista"/>
        <w:autoSpaceDE w:val="0"/>
        <w:autoSpaceDN w:val="0"/>
        <w:adjustRightInd w:val="0"/>
        <w:spacing w:after="0" w:line="360" w:lineRule="auto"/>
        <w:ind w:left="360"/>
        <w:jc w:val="center"/>
        <w:rPr>
          <w:rFonts w:cstheme="minorHAnsi"/>
          <w:b/>
          <w:bCs/>
          <w:lang w:eastAsia="es-EC"/>
        </w:rPr>
      </w:pPr>
      <w:r>
        <w:rPr>
          <w:rFonts w:cstheme="minorHAnsi"/>
          <w:b/>
          <w:bCs/>
          <w:lang w:eastAsia="es-EC"/>
        </w:rPr>
        <w:t xml:space="preserve">Tabla 15: </w:t>
      </w:r>
      <w:proofErr w:type="spellStart"/>
      <w:r>
        <w:rPr>
          <w:rFonts w:cstheme="minorHAnsi"/>
          <w:b/>
          <w:bCs/>
          <w:lang w:eastAsia="es-EC"/>
        </w:rPr>
        <w:t>Anualización</w:t>
      </w:r>
      <w:proofErr w:type="spellEnd"/>
      <w:r>
        <w:rPr>
          <w:rFonts w:cstheme="minorHAnsi"/>
          <w:b/>
          <w:bCs/>
          <w:lang w:eastAsia="es-EC"/>
        </w:rPr>
        <w:t xml:space="preserve"> de metas de los indicadores propósito</w:t>
      </w:r>
    </w:p>
    <w:tbl>
      <w:tblPr>
        <w:tblW w:w="8989" w:type="dxa"/>
        <w:tblLayout w:type="fixed"/>
        <w:tblCellMar>
          <w:top w:w="15" w:type="dxa"/>
          <w:left w:w="70" w:type="dxa"/>
          <w:right w:w="70" w:type="dxa"/>
        </w:tblCellMar>
        <w:tblLook w:val="04A0" w:firstRow="1" w:lastRow="0" w:firstColumn="1" w:lastColumn="0" w:noHBand="0" w:noVBand="1"/>
      </w:tblPr>
      <w:tblGrid>
        <w:gridCol w:w="1726"/>
        <w:gridCol w:w="865"/>
        <w:gridCol w:w="758"/>
        <w:gridCol w:w="685"/>
        <w:gridCol w:w="637"/>
        <w:gridCol w:w="544"/>
        <w:gridCol w:w="619"/>
        <w:gridCol w:w="580"/>
        <w:gridCol w:w="580"/>
        <w:gridCol w:w="523"/>
        <w:gridCol w:w="584"/>
        <w:gridCol w:w="724"/>
        <w:gridCol w:w="164"/>
      </w:tblGrid>
      <w:tr w:rsidR="007B3093" w14:paraId="0BF88941" w14:textId="77777777">
        <w:trPr>
          <w:gridAfter w:val="1"/>
          <w:wAfter w:w="164" w:type="dxa"/>
          <w:trHeight w:val="157"/>
        </w:trPr>
        <w:tc>
          <w:tcPr>
            <w:tcW w:w="1727"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662621D2"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INDICADOR DE PROPÓSITO</w:t>
            </w:r>
          </w:p>
        </w:tc>
        <w:tc>
          <w:tcPr>
            <w:tcW w:w="865" w:type="dxa"/>
            <w:tcBorders>
              <w:top w:val="single" w:sz="8" w:space="0" w:color="auto"/>
              <w:left w:val="nil"/>
              <w:bottom w:val="single" w:sz="8" w:space="0" w:color="auto"/>
              <w:right w:val="single" w:sz="8" w:space="0" w:color="auto"/>
            </w:tcBorders>
            <w:shd w:val="clear" w:color="000000" w:fill="44546A"/>
            <w:vAlign w:val="center"/>
            <w:hideMark/>
          </w:tcPr>
          <w:p w14:paraId="5FEC6D2C"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UNIDAD</w:t>
            </w:r>
          </w:p>
        </w:tc>
        <w:tc>
          <w:tcPr>
            <w:tcW w:w="758" w:type="dxa"/>
            <w:tcBorders>
              <w:top w:val="single" w:sz="8" w:space="0" w:color="auto"/>
              <w:left w:val="nil"/>
              <w:bottom w:val="single" w:sz="8" w:space="0" w:color="auto"/>
              <w:right w:val="single" w:sz="8" w:space="0" w:color="auto"/>
            </w:tcBorders>
            <w:shd w:val="clear" w:color="000000" w:fill="44546A"/>
            <w:vAlign w:val="center"/>
            <w:hideMark/>
          </w:tcPr>
          <w:p w14:paraId="0C2522CE"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META</w:t>
            </w:r>
          </w:p>
        </w:tc>
        <w:tc>
          <w:tcPr>
            <w:tcW w:w="684"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07B4E8F2"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POND.</w:t>
            </w:r>
          </w:p>
        </w:tc>
        <w:tc>
          <w:tcPr>
            <w:tcW w:w="637"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4259308E"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2019</w:t>
            </w:r>
          </w:p>
        </w:tc>
        <w:tc>
          <w:tcPr>
            <w:tcW w:w="544"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72A88A9B"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2020</w:t>
            </w:r>
          </w:p>
        </w:tc>
        <w:tc>
          <w:tcPr>
            <w:tcW w:w="619"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46DA400A"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2021</w:t>
            </w:r>
          </w:p>
        </w:tc>
        <w:tc>
          <w:tcPr>
            <w:tcW w:w="580"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3DD7907B"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2022</w:t>
            </w:r>
          </w:p>
        </w:tc>
        <w:tc>
          <w:tcPr>
            <w:tcW w:w="580"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11CE9827"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2023</w:t>
            </w:r>
          </w:p>
        </w:tc>
        <w:tc>
          <w:tcPr>
            <w:tcW w:w="523"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3DAFBF00"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2024</w:t>
            </w:r>
          </w:p>
        </w:tc>
        <w:tc>
          <w:tcPr>
            <w:tcW w:w="584"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1A3F2AA2"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2025</w:t>
            </w:r>
          </w:p>
        </w:tc>
        <w:tc>
          <w:tcPr>
            <w:tcW w:w="724"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04535535"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TOTAL</w:t>
            </w:r>
            <w:r>
              <w:rPr>
                <w:rFonts w:ascii="Calibri" w:eastAsia="Times New Roman" w:hAnsi="Calibri" w:cs="Calibri"/>
                <w:color w:val="000000"/>
                <w:sz w:val="16"/>
                <w:szCs w:val="16"/>
                <w:lang w:eastAsia="es-EC"/>
              </w:rPr>
              <w:t> </w:t>
            </w:r>
          </w:p>
        </w:tc>
      </w:tr>
      <w:tr w:rsidR="007B3093" w14:paraId="630AE70C" w14:textId="77777777">
        <w:trPr>
          <w:gridAfter w:val="1"/>
          <w:wAfter w:w="164" w:type="dxa"/>
          <w:trHeight w:val="157"/>
        </w:trPr>
        <w:tc>
          <w:tcPr>
            <w:tcW w:w="1727" w:type="dxa"/>
            <w:vMerge/>
            <w:tcBorders>
              <w:top w:val="single" w:sz="8" w:space="0" w:color="auto"/>
              <w:left w:val="single" w:sz="8" w:space="0" w:color="auto"/>
              <w:bottom w:val="single" w:sz="8" w:space="0" w:color="000000"/>
              <w:right w:val="single" w:sz="8" w:space="0" w:color="auto"/>
            </w:tcBorders>
            <w:vAlign w:val="center"/>
            <w:hideMark/>
          </w:tcPr>
          <w:p w14:paraId="58B64287" w14:textId="77777777" w:rsidR="007B3093" w:rsidRDefault="007B3093">
            <w:pPr>
              <w:spacing w:after="0" w:line="240" w:lineRule="auto"/>
              <w:rPr>
                <w:rFonts w:ascii="Calibri" w:eastAsia="Times New Roman" w:hAnsi="Calibri" w:cs="Calibri"/>
                <w:color w:val="FFFFFF"/>
                <w:sz w:val="16"/>
                <w:szCs w:val="16"/>
                <w:lang w:eastAsia="es-EC"/>
              </w:rPr>
            </w:pPr>
          </w:p>
        </w:tc>
        <w:tc>
          <w:tcPr>
            <w:tcW w:w="865" w:type="dxa"/>
            <w:tcBorders>
              <w:top w:val="nil"/>
              <w:left w:val="nil"/>
              <w:bottom w:val="single" w:sz="8" w:space="0" w:color="auto"/>
              <w:right w:val="single" w:sz="8" w:space="0" w:color="auto"/>
            </w:tcBorders>
            <w:shd w:val="clear" w:color="000000" w:fill="44546A"/>
            <w:vAlign w:val="center"/>
            <w:hideMark/>
          </w:tcPr>
          <w:p w14:paraId="63230C8F"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DE MEDIDA</w:t>
            </w:r>
          </w:p>
        </w:tc>
        <w:tc>
          <w:tcPr>
            <w:tcW w:w="758" w:type="dxa"/>
            <w:tcBorders>
              <w:top w:val="nil"/>
              <w:left w:val="nil"/>
              <w:bottom w:val="single" w:sz="8" w:space="0" w:color="auto"/>
              <w:right w:val="single" w:sz="8" w:space="0" w:color="auto"/>
            </w:tcBorders>
            <w:shd w:val="clear" w:color="000000" w:fill="44546A"/>
            <w:vAlign w:val="center"/>
            <w:hideMark/>
          </w:tcPr>
          <w:p w14:paraId="52A5A9C8"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PROPOSITO</w:t>
            </w:r>
          </w:p>
        </w:tc>
        <w:tc>
          <w:tcPr>
            <w:tcW w:w="684" w:type="dxa"/>
            <w:vMerge/>
            <w:tcBorders>
              <w:top w:val="single" w:sz="8" w:space="0" w:color="auto"/>
              <w:left w:val="single" w:sz="8" w:space="0" w:color="auto"/>
              <w:bottom w:val="single" w:sz="8" w:space="0" w:color="000000"/>
              <w:right w:val="single" w:sz="8" w:space="0" w:color="auto"/>
            </w:tcBorders>
            <w:vAlign w:val="center"/>
            <w:hideMark/>
          </w:tcPr>
          <w:p w14:paraId="386F43B6" w14:textId="77777777" w:rsidR="007B3093" w:rsidRDefault="007B3093">
            <w:pPr>
              <w:spacing w:after="0" w:line="240" w:lineRule="auto"/>
              <w:rPr>
                <w:rFonts w:ascii="Calibri" w:eastAsia="Times New Roman" w:hAnsi="Calibri" w:cs="Calibri"/>
                <w:color w:val="FFFFFF"/>
                <w:sz w:val="16"/>
                <w:szCs w:val="16"/>
                <w:lang w:eastAsia="es-EC"/>
              </w:rPr>
            </w:pPr>
          </w:p>
        </w:tc>
        <w:tc>
          <w:tcPr>
            <w:tcW w:w="637" w:type="dxa"/>
            <w:vMerge/>
            <w:tcBorders>
              <w:top w:val="single" w:sz="8" w:space="0" w:color="auto"/>
              <w:left w:val="single" w:sz="8" w:space="0" w:color="auto"/>
              <w:bottom w:val="single" w:sz="8" w:space="0" w:color="000000"/>
              <w:right w:val="single" w:sz="8" w:space="0" w:color="auto"/>
            </w:tcBorders>
            <w:vAlign w:val="center"/>
            <w:hideMark/>
          </w:tcPr>
          <w:p w14:paraId="1F855FBB" w14:textId="77777777" w:rsidR="007B3093" w:rsidRDefault="007B3093">
            <w:pPr>
              <w:spacing w:after="0" w:line="240" w:lineRule="auto"/>
              <w:rPr>
                <w:rFonts w:ascii="Calibri" w:eastAsia="Times New Roman" w:hAnsi="Calibri" w:cs="Calibri"/>
                <w:color w:val="FFFFFF"/>
                <w:sz w:val="16"/>
                <w:szCs w:val="16"/>
                <w:lang w:eastAsia="es-EC"/>
              </w:rPr>
            </w:pPr>
          </w:p>
        </w:tc>
        <w:tc>
          <w:tcPr>
            <w:tcW w:w="544" w:type="dxa"/>
            <w:vMerge/>
            <w:tcBorders>
              <w:top w:val="single" w:sz="8" w:space="0" w:color="auto"/>
              <w:left w:val="single" w:sz="8" w:space="0" w:color="auto"/>
              <w:bottom w:val="single" w:sz="8" w:space="0" w:color="000000"/>
              <w:right w:val="single" w:sz="8" w:space="0" w:color="auto"/>
            </w:tcBorders>
            <w:vAlign w:val="center"/>
            <w:hideMark/>
          </w:tcPr>
          <w:p w14:paraId="5AB64EC4" w14:textId="77777777" w:rsidR="007B3093" w:rsidRDefault="007B3093">
            <w:pPr>
              <w:spacing w:after="0" w:line="240" w:lineRule="auto"/>
              <w:rPr>
                <w:rFonts w:ascii="Calibri" w:eastAsia="Times New Roman" w:hAnsi="Calibri" w:cs="Calibri"/>
                <w:color w:val="FFFFFF"/>
                <w:sz w:val="16"/>
                <w:szCs w:val="16"/>
                <w:lang w:eastAsia="es-EC"/>
              </w:rPr>
            </w:pPr>
          </w:p>
        </w:tc>
        <w:tc>
          <w:tcPr>
            <w:tcW w:w="619" w:type="dxa"/>
            <w:vMerge/>
            <w:tcBorders>
              <w:top w:val="single" w:sz="8" w:space="0" w:color="auto"/>
              <w:left w:val="single" w:sz="8" w:space="0" w:color="auto"/>
              <w:bottom w:val="single" w:sz="8" w:space="0" w:color="000000"/>
              <w:right w:val="single" w:sz="8" w:space="0" w:color="auto"/>
            </w:tcBorders>
            <w:vAlign w:val="center"/>
            <w:hideMark/>
          </w:tcPr>
          <w:p w14:paraId="1EF89A22" w14:textId="77777777" w:rsidR="007B3093" w:rsidRDefault="007B3093">
            <w:pPr>
              <w:spacing w:after="0" w:line="240" w:lineRule="auto"/>
              <w:rPr>
                <w:rFonts w:ascii="Calibri" w:eastAsia="Times New Roman" w:hAnsi="Calibri" w:cs="Calibri"/>
                <w:color w:val="FFFFFF"/>
                <w:sz w:val="16"/>
                <w:szCs w:val="16"/>
                <w:lang w:eastAsia="es-EC"/>
              </w:rPr>
            </w:pP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423DD787" w14:textId="77777777" w:rsidR="007B3093" w:rsidRDefault="007B3093">
            <w:pPr>
              <w:spacing w:after="0" w:line="240" w:lineRule="auto"/>
              <w:rPr>
                <w:rFonts w:ascii="Calibri" w:eastAsia="Times New Roman" w:hAnsi="Calibri" w:cs="Calibri"/>
                <w:color w:val="FFFFFF"/>
                <w:sz w:val="16"/>
                <w:szCs w:val="16"/>
                <w:lang w:eastAsia="es-EC"/>
              </w:rPr>
            </w:pP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59823354" w14:textId="77777777" w:rsidR="007B3093" w:rsidRDefault="007B3093">
            <w:pPr>
              <w:spacing w:after="0" w:line="240" w:lineRule="auto"/>
              <w:rPr>
                <w:rFonts w:ascii="Calibri" w:eastAsia="Times New Roman" w:hAnsi="Calibri" w:cs="Calibri"/>
                <w:color w:val="FFFFFF"/>
                <w:sz w:val="16"/>
                <w:szCs w:val="16"/>
                <w:lang w:eastAsia="es-EC"/>
              </w:rPr>
            </w:pPr>
          </w:p>
        </w:tc>
        <w:tc>
          <w:tcPr>
            <w:tcW w:w="523" w:type="dxa"/>
            <w:vMerge/>
            <w:tcBorders>
              <w:top w:val="single" w:sz="8" w:space="0" w:color="auto"/>
              <w:left w:val="single" w:sz="8" w:space="0" w:color="auto"/>
              <w:bottom w:val="single" w:sz="8" w:space="0" w:color="000000"/>
              <w:right w:val="single" w:sz="8" w:space="0" w:color="auto"/>
            </w:tcBorders>
            <w:vAlign w:val="center"/>
            <w:hideMark/>
          </w:tcPr>
          <w:p w14:paraId="72F7FCD2" w14:textId="77777777" w:rsidR="007B3093" w:rsidRDefault="007B3093">
            <w:pPr>
              <w:spacing w:after="0" w:line="240" w:lineRule="auto"/>
              <w:rPr>
                <w:rFonts w:ascii="Calibri" w:eastAsia="Times New Roman" w:hAnsi="Calibri" w:cs="Calibri"/>
                <w:color w:val="FFFFFF"/>
                <w:sz w:val="16"/>
                <w:szCs w:val="16"/>
                <w:lang w:eastAsia="es-EC"/>
              </w:rPr>
            </w:pPr>
          </w:p>
        </w:tc>
        <w:tc>
          <w:tcPr>
            <w:tcW w:w="584" w:type="dxa"/>
            <w:vMerge/>
            <w:tcBorders>
              <w:top w:val="single" w:sz="8" w:space="0" w:color="auto"/>
              <w:left w:val="single" w:sz="8" w:space="0" w:color="auto"/>
              <w:bottom w:val="single" w:sz="8" w:space="0" w:color="000000"/>
              <w:right w:val="single" w:sz="8" w:space="0" w:color="auto"/>
            </w:tcBorders>
            <w:vAlign w:val="center"/>
            <w:hideMark/>
          </w:tcPr>
          <w:p w14:paraId="2EAB064B" w14:textId="77777777" w:rsidR="007B3093" w:rsidRDefault="007B3093">
            <w:pPr>
              <w:spacing w:after="0" w:line="240" w:lineRule="auto"/>
              <w:rPr>
                <w:rFonts w:ascii="Calibri" w:eastAsia="Times New Roman" w:hAnsi="Calibri" w:cs="Calibri"/>
                <w:color w:val="FFFFFF"/>
                <w:sz w:val="16"/>
                <w:szCs w:val="16"/>
                <w:lang w:eastAsia="es-EC"/>
              </w:rPr>
            </w:pPr>
          </w:p>
        </w:tc>
        <w:tc>
          <w:tcPr>
            <w:tcW w:w="724" w:type="dxa"/>
            <w:vMerge/>
            <w:tcBorders>
              <w:top w:val="single" w:sz="8" w:space="0" w:color="auto"/>
              <w:left w:val="single" w:sz="8" w:space="0" w:color="auto"/>
              <w:bottom w:val="single" w:sz="8" w:space="0" w:color="000000"/>
              <w:right w:val="single" w:sz="8" w:space="0" w:color="auto"/>
            </w:tcBorders>
            <w:vAlign w:val="center"/>
            <w:hideMark/>
          </w:tcPr>
          <w:p w14:paraId="721D246A" w14:textId="77777777" w:rsidR="007B3093" w:rsidRDefault="007B3093">
            <w:pPr>
              <w:spacing w:after="0" w:line="240" w:lineRule="auto"/>
              <w:rPr>
                <w:rFonts w:ascii="Calibri" w:eastAsia="Times New Roman" w:hAnsi="Calibri" w:cs="Calibri"/>
                <w:color w:val="FFFFFF"/>
                <w:sz w:val="16"/>
                <w:szCs w:val="16"/>
                <w:lang w:eastAsia="es-EC"/>
              </w:rPr>
            </w:pPr>
          </w:p>
        </w:tc>
      </w:tr>
      <w:tr w:rsidR="007B3093" w14:paraId="005CC742" w14:textId="77777777">
        <w:trPr>
          <w:gridAfter w:val="1"/>
          <w:wAfter w:w="164" w:type="dxa"/>
          <w:trHeight w:val="450"/>
        </w:trPr>
        <w:tc>
          <w:tcPr>
            <w:tcW w:w="1727" w:type="dxa"/>
            <w:vMerge w:val="restart"/>
            <w:tcBorders>
              <w:top w:val="nil"/>
              <w:left w:val="single" w:sz="8" w:space="0" w:color="auto"/>
              <w:bottom w:val="single" w:sz="8" w:space="0" w:color="000000"/>
              <w:right w:val="single" w:sz="8" w:space="0" w:color="auto"/>
            </w:tcBorders>
            <w:shd w:val="clear" w:color="auto" w:fill="auto"/>
            <w:vAlign w:val="center"/>
            <w:hideMark/>
          </w:tcPr>
          <w:p w14:paraId="344EB0F8"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Al terminar el año 2025 se disminuirá el número de casos activos en el stock de la PGE por lo menos en un 10%, en relación con su línea base</w:t>
            </w:r>
          </w:p>
        </w:tc>
        <w:tc>
          <w:tcPr>
            <w:tcW w:w="865" w:type="dxa"/>
            <w:vMerge w:val="restart"/>
            <w:tcBorders>
              <w:top w:val="nil"/>
              <w:left w:val="single" w:sz="8" w:space="0" w:color="auto"/>
              <w:bottom w:val="single" w:sz="8" w:space="0" w:color="000000"/>
              <w:right w:val="single" w:sz="8" w:space="0" w:color="auto"/>
            </w:tcBorders>
            <w:shd w:val="clear" w:color="auto" w:fill="auto"/>
            <w:vAlign w:val="center"/>
            <w:hideMark/>
          </w:tcPr>
          <w:p w14:paraId="49E7EC5D"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Casos (%)</w:t>
            </w:r>
          </w:p>
        </w:tc>
        <w:tc>
          <w:tcPr>
            <w:tcW w:w="758" w:type="dxa"/>
            <w:vMerge w:val="restart"/>
            <w:tcBorders>
              <w:top w:val="nil"/>
              <w:left w:val="single" w:sz="8" w:space="0" w:color="auto"/>
              <w:bottom w:val="single" w:sz="8" w:space="0" w:color="000000"/>
              <w:right w:val="single" w:sz="8" w:space="0" w:color="auto"/>
            </w:tcBorders>
            <w:shd w:val="clear" w:color="auto" w:fill="auto"/>
            <w:vAlign w:val="center"/>
            <w:hideMark/>
          </w:tcPr>
          <w:p w14:paraId="6163968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-10%</w:t>
            </w:r>
          </w:p>
        </w:tc>
        <w:tc>
          <w:tcPr>
            <w:tcW w:w="684" w:type="dxa"/>
            <w:vMerge w:val="restart"/>
            <w:tcBorders>
              <w:top w:val="nil"/>
              <w:left w:val="single" w:sz="8" w:space="0" w:color="auto"/>
              <w:bottom w:val="single" w:sz="8" w:space="0" w:color="000000"/>
              <w:right w:val="single" w:sz="8" w:space="0" w:color="auto"/>
            </w:tcBorders>
            <w:shd w:val="clear" w:color="auto" w:fill="auto"/>
            <w:vAlign w:val="center"/>
            <w:hideMark/>
          </w:tcPr>
          <w:p w14:paraId="4493BF92"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100%</w:t>
            </w:r>
          </w:p>
        </w:tc>
        <w:tc>
          <w:tcPr>
            <w:tcW w:w="637" w:type="dxa"/>
            <w:vMerge w:val="restart"/>
            <w:tcBorders>
              <w:top w:val="nil"/>
              <w:left w:val="single" w:sz="8" w:space="0" w:color="auto"/>
              <w:bottom w:val="single" w:sz="8" w:space="0" w:color="000000"/>
              <w:right w:val="single" w:sz="8" w:space="0" w:color="auto"/>
            </w:tcBorders>
            <w:shd w:val="clear" w:color="auto" w:fill="auto"/>
            <w:vAlign w:val="center"/>
            <w:hideMark/>
          </w:tcPr>
          <w:p w14:paraId="732912C9"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544" w:type="dxa"/>
            <w:vMerge w:val="restart"/>
            <w:tcBorders>
              <w:top w:val="nil"/>
              <w:left w:val="single" w:sz="8" w:space="0" w:color="auto"/>
              <w:bottom w:val="single" w:sz="8" w:space="0" w:color="000000"/>
              <w:right w:val="single" w:sz="8" w:space="0" w:color="auto"/>
            </w:tcBorders>
            <w:shd w:val="clear" w:color="auto" w:fill="auto"/>
            <w:vAlign w:val="center"/>
            <w:hideMark/>
          </w:tcPr>
          <w:p w14:paraId="09C2A58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619" w:type="dxa"/>
            <w:vMerge w:val="restart"/>
            <w:tcBorders>
              <w:top w:val="nil"/>
              <w:left w:val="single" w:sz="8" w:space="0" w:color="auto"/>
              <w:bottom w:val="single" w:sz="8" w:space="0" w:color="000000"/>
              <w:right w:val="single" w:sz="8" w:space="0" w:color="auto"/>
            </w:tcBorders>
            <w:shd w:val="clear" w:color="auto" w:fill="auto"/>
            <w:vAlign w:val="center"/>
            <w:hideMark/>
          </w:tcPr>
          <w:p w14:paraId="0B55E7DF"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14:paraId="79ACFAB9"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14:paraId="7C1B8B8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523" w:type="dxa"/>
            <w:vMerge w:val="restart"/>
            <w:tcBorders>
              <w:top w:val="nil"/>
              <w:left w:val="single" w:sz="8" w:space="0" w:color="auto"/>
              <w:bottom w:val="single" w:sz="8" w:space="0" w:color="000000"/>
              <w:right w:val="single" w:sz="8" w:space="0" w:color="auto"/>
            </w:tcBorders>
            <w:shd w:val="clear" w:color="auto" w:fill="auto"/>
            <w:vAlign w:val="center"/>
            <w:hideMark/>
          </w:tcPr>
          <w:p w14:paraId="47C5CCA2"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584" w:type="dxa"/>
            <w:vMerge w:val="restart"/>
            <w:tcBorders>
              <w:top w:val="nil"/>
              <w:left w:val="single" w:sz="8" w:space="0" w:color="auto"/>
              <w:bottom w:val="single" w:sz="8" w:space="0" w:color="000000"/>
              <w:right w:val="single" w:sz="8" w:space="0" w:color="auto"/>
            </w:tcBorders>
            <w:shd w:val="clear" w:color="auto" w:fill="auto"/>
            <w:vAlign w:val="center"/>
            <w:hideMark/>
          </w:tcPr>
          <w:p w14:paraId="0A483B0C"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9,94 </w:t>
            </w:r>
          </w:p>
        </w:tc>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14:paraId="100DE6D2"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10,00 </w:t>
            </w:r>
          </w:p>
        </w:tc>
      </w:tr>
      <w:tr w:rsidR="007B3093" w14:paraId="7E862A0C" w14:textId="77777777">
        <w:trPr>
          <w:trHeight w:val="66"/>
        </w:trPr>
        <w:tc>
          <w:tcPr>
            <w:tcW w:w="1727" w:type="dxa"/>
            <w:vMerge/>
            <w:tcBorders>
              <w:top w:val="nil"/>
              <w:left w:val="single" w:sz="8" w:space="0" w:color="auto"/>
              <w:bottom w:val="single" w:sz="8" w:space="0" w:color="000000"/>
              <w:right w:val="single" w:sz="8" w:space="0" w:color="auto"/>
            </w:tcBorders>
            <w:vAlign w:val="center"/>
            <w:hideMark/>
          </w:tcPr>
          <w:p w14:paraId="0254CE9A" w14:textId="77777777" w:rsidR="007B3093" w:rsidRDefault="007B3093">
            <w:pPr>
              <w:spacing w:after="0" w:line="240" w:lineRule="auto"/>
              <w:rPr>
                <w:rFonts w:ascii="Calibri" w:eastAsia="Times New Roman" w:hAnsi="Calibri" w:cs="Calibri"/>
                <w:color w:val="000000"/>
                <w:sz w:val="16"/>
                <w:szCs w:val="16"/>
                <w:lang w:eastAsia="es-EC"/>
              </w:rPr>
            </w:pPr>
          </w:p>
        </w:tc>
        <w:tc>
          <w:tcPr>
            <w:tcW w:w="865" w:type="dxa"/>
            <w:vMerge/>
            <w:tcBorders>
              <w:top w:val="nil"/>
              <w:left w:val="single" w:sz="8" w:space="0" w:color="auto"/>
              <w:bottom w:val="single" w:sz="8" w:space="0" w:color="000000"/>
              <w:right w:val="single" w:sz="8" w:space="0" w:color="auto"/>
            </w:tcBorders>
            <w:vAlign w:val="center"/>
            <w:hideMark/>
          </w:tcPr>
          <w:p w14:paraId="0A869017" w14:textId="77777777" w:rsidR="007B3093" w:rsidRDefault="007B3093">
            <w:pPr>
              <w:spacing w:after="0" w:line="240" w:lineRule="auto"/>
              <w:rPr>
                <w:rFonts w:ascii="Calibri" w:eastAsia="Times New Roman" w:hAnsi="Calibri" w:cs="Calibri"/>
                <w:color w:val="000000"/>
                <w:sz w:val="16"/>
                <w:szCs w:val="16"/>
                <w:lang w:eastAsia="es-EC"/>
              </w:rPr>
            </w:pPr>
          </w:p>
        </w:tc>
        <w:tc>
          <w:tcPr>
            <w:tcW w:w="758" w:type="dxa"/>
            <w:vMerge/>
            <w:tcBorders>
              <w:top w:val="nil"/>
              <w:left w:val="single" w:sz="8" w:space="0" w:color="auto"/>
              <w:bottom w:val="single" w:sz="8" w:space="0" w:color="000000"/>
              <w:right w:val="single" w:sz="8" w:space="0" w:color="auto"/>
            </w:tcBorders>
            <w:vAlign w:val="center"/>
            <w:hideMark/>
          </w:tcPr>
          <w:p w14:paraId="67526F4C" w14:textId="77777777" w:rsidR="007B3093" w:rsidRDefault="007B3093">
            <w:pPr>
              <w:spacing w:after="0" w:line="240" w:lineRule="auto"/>
              <w:rPr>
                <w:rFonts w:ascii="Calibri" w:eastAsia="Times New Roman" w:hAnsi="Calibri" w:cs="Calibri"/>
                <w:color w:val="000000"/>
                <w:sz w:val="16"/>
                <w:szCs w:val="16"/>
                <w:lang w:eastAsia="es-EC"/>
              </w:rPr>
            </w:pPr>
          </w:p>
        </w:tc>
        <w:tc>
          <w:tcPr>
            <w:tcW w:w="684" w:type="dxa"/>
            <w:vMerge/>
            <w:tcBorders>
              <w:top w:val="nil"/>
              <w:left w:val="single" w:sz="8" w:space="0" w:color="auto"/>
              <w:bottom w:val="single" w:sz="8" w:space="0" w:color="000000"/>
              <w:right w:val="single" w:sz="8" w:space="0" w:color="auto"/>
            </w:tcBorders>
            <w:vAlign w:val="center"/>
            <w:hideMark/>
          </w:tcPr>
          <w:p w14:paraId="6084B653" w14:textId="77777777" w:rsidR="007B3093" w:rsidRDefault="007B3093">
            <w:pPr>
              <w:spacing w:after="0" w:line="240" w:lineRule="auto"/>
              <w:rPr>
                <w:rFonts w:ascii="Calibri" w:eastAsia="Times New Roman" w:hAnsi="Calibri" w:cs="Calibri"/>
                <w:color w:val="000000"/>
                <w:sz w:val="16"/>
                <w:szCs w:val="16"/>
                <w:lang w:eastAsia="es-EC"/>
              </w:rPr>
            </w:pPr>
          </w:p>
        </w:tc>
        <w:tc>
          <w:tcPr>
            <w:tcW w:w="637" w:type="dxa"/>
            <w:vMerge/>
            <w:tcBorders>
              <w:top w:val="nil"/>
              <w:left w:val="single" w:sz="8" w:space="0" w:color="auto"/>
              <w:bottom w:val="single" w:sz="8" w:space="0" w:color="000000"/>
              <w:right w:val="single" w:sz="8" w:space="0" w:color="auto"/>
            </w:tcBorders>
            <w:vAlign w:val="center"/>
            <w:hideMark/>
          </w:tcPr>
          <w:p w14:paraId="5E536C1C" w14:textId="77777777" w:rsidR="007B3093" w:rsidRDefault="007B3093">
            <w:pPr>
              <w:spacing w:after="0" w:line="240" w:lineRule="auto"/>
              <w:rPr>
                <w:rFonts w:ascii="Calibri" w:eastAsia="Times New Roman" w:hAnsi="Calibri" w:cs="Calibri"/>
                <w:color w:val="000000"/>
                <w:sz w:val="16"/>
                <w:szCs w:val="16"/>
                <w:lang w:eastAsia="es-EC"/>
              </w:rPr>
            </w:pPr>
          </w:p>
        </w:tc>
        <w:tc>
          <w:tcPr>
            <w:tcW w:w="544" w:type="dxa"/>
            <w:vMerge/>
            <w:tcBorders>
              <w:top w:val="nil"/>
              <w:left w:val="single" w:sz="8" w:space="0" w:color="auto"/>
              <w:bottom w:val="single" w:sz="8" w:space="0" w:color="000000"/>
              <w:right w:val="single" w:sz="8" w:space="0" w:color="auto"/>
            </w:tcBorders>
            <w:vAlign w:val="center"/>
            <w:hideMark/>
          </w:tcPr>
          <w:p w14:paraId="416765D5" w14:textId="77777777" w:rsidR="007B3093" w:rsidRDefault="007B3093">
            <w:pPr>
              <w:spacing w:after="0" w:line="240" w:lineRule="auto"/>
              <w:rPr>
                <w:rFonts w:ascii="Calibri" w:eastAsia="Times New Roman" w:hAnsi="Calibri" w:cs="Calibri"/>
                <w:color w:val="000000"/>
                <w:sz w:val="16"/>
                <w:szCs w:val="16"/>
                <w:lang w:eastAsia="es-EC"/>
              </w:rPr>
            </w:pPr>
          </w:p>
        </w:tc>
        <w:tc>
          <w:tcPr>
            <w:tcW w:w="619" w:type="dxa"/>
            <w:vMerge/>
            <w:tcBorders>
              <w:top w:val="nil"/>
              <w:left w:val="single" w:sz="8" w:space="0" w:color="auto"/>
              <w:bottom w:val="single" w:sz="8" w:space="0" w:color="000000"/>
              <w:right w:val="single" w:sz="8" w:space="0" w:color="auto"/>
            </w:tcBorders>
            <w:vAlign w:val="center"/>
            <w:hideMark/>
          </w:tcPr>
          <w:p w14:paraId="36BA794A" w14:textId="77777777" w:rsidR="007B3093" w:rsidRDefault="007B3093">
            <w:pPr>
              <w:spacing w:after="0" w:line="240" w:lineRule="auto"/>
              <w:rPr>
                <w:rFonts w:ascii="Calibri" w:eastAsia="Times New Roman" w:hAnsi="Calibri" w:cs="Calibri"/>
                <w:color w:val="000000"/>
                <w:sz w:val="16"/>
                <w:szCs w:val="16"/>
                <w:lang w:eastAsia="es-EC"/>
              </w:rPr>
            </w:pPr>
          </w:p>
        </w:tc>
        <w:tc>
          <w:tcPr>
            <w:tcW w:w="580" w:type="dxa"/>
            <w:vMerge/>
            <w:tcBorders>
              <w:top w:val="nil"/>
              <w:left w:val="single" w:sz="8" w:space="0" w:color="auto"/>
              <w:bottom w:val="single" w:sz="8" w:space="0" w:color="000000"/>
              <w:right w:val="single" w:sz="8" w:space="0" w:color="auto"/>
            </w:tcBorders>
            <w:vAlign w:val="center"/>
            <w:hideMark/>
          </w:tcPr>
          <w:p w14:paraId="2ACBEEB7" w14:textId="77777777" w:rsidR="007B3093" w:rsidRDefault="007B3093">
            <w:pPr>
              <w:spacing w:after="0" w:line="240" w:lineRule="auto"/>
              <w:rPr>
                <w:rFonts w:ascii="Calibri" w:eastAsia="Times New Roman" w:hAnsi="Calibri" w:cs="Calibri"/>
                <w:color w:val="000000"/>
                <w:sz w:val="16"/>
                <w:szCs w:val="16"/>
                <w:lang w:eastAsia="es-EC"/>
              </w:rPr>
            </w:pPr>
          </w:p>
        </w:tc>
        <w:tc>
          <w:tcPr>
            <w:tcW w:w="580" w:type="dxa"/>
            <w:vMerge/>
            <w:tcBorders>
              <w:top w:val="nil"/>
              <w:left w:val="single" w:sz="8" w:space="0" w:color="auto"/>
              <w:bottom w:val="single" w:sz="8" w:space="0" w:color="000000"/>
              <w:right w:val="single" w:sz="8" w:space="0" w:color="auto"/>
            </w:tcBorders>
            <w:vAlign w:val="center"/>
            <w:hideMark/>
          </w:tcPr>
          <w:p w14:paraId="6C91AC5B" w14:textId="77777777" w:rsidR="007B3093" w:rsidRDefault="007B3093">
            <w:pPr>
              <w:spacing w:after="0" w:line="240" w:lineRule="auto"/>
              <w:rPr>
                <w:rFonts w:ascii="Calibri" w:eastAsia="Times New Roman" w:hAnsi="Calibri" w:cs="Calibri"/>
                <w:color w:val="000000"/>
                <w:sz w:val="16"/>
                <w:szCs w:val="16"/>
                <w:lang w:eastAsia="es-EC"/>
              </w:rPr>
            </w:pPr>
          </w:p>
        </w:tc>
        <w:tc>
          <w:tcPr>
            <w:tcW w:w="523" w:type="dxa"/>
            <w:vMerge/>
            <w:tcBorders>
              <w:top w:val="nil"/>
              <w:left w:val="single" w:sz="8" w:space="0" w:color="auto"/>
              <w:bottom w:val="single" w:sz="8" w:space="0" w:color="000000"/>
              <w:right w:val="single" w:sz="8" w:space="0" w:color="auto"/>
            </w:tcBorders>
            <w:vAlign w:val="center"/>
            <w:hideMark/>
          </w:tcPr>
          <w:p w14:paraId="2B8E2302" w14:textId="77777777" w:rsidR="007B3093" w:rsidRDefault="007B3093">
            <w:pPr>
              <w:spacing w:after="0" w:line="240" w:lineRule="auto"/>
              <w:rPr>
                <w:rFonts w:ascii="Calibri" w:eastAsia="Times New Roman" w:hAnsi="Calibri" w:cs="Calibri"/>
                <w:color w:val="000000"/>
                <w:sz w:val="16"/>
                <w:szCs w:val="16"/>
                <w:lang w:eastAsia="es-EC"/>
              </w:rPr>
            </w:pPr>
          </w:p>
        </w:tc>
        <w:tc>
          <w:tcPr>
            <w:tcW w:w="584" w:type="dxa"/>
            <w:vMerge/>
            <w:tcBorders>
              <w:top w:val="nil"/>
              <w:left w:val="single" w:sz="8" w:space="0" w:color="auto"/>
              <w:bottom w:val="single" w:sz="8" w:space="0" w:color="000000"/>
              <w:right w:val="single" w:sz="8" w:space="0" w:color="auto"/>
            </w:tcBorders>
            <w:vAlign w:val="center"/>
            <w:hideMark/>
          </w:tcPr>
          <w:p w14:paraId="06E1D8A0" w14:textId="77777777" w:rsidR="007B3093" w:rsidRDefault="007B3093">
            <w:pPr>
              <w:spacing w:after="0" w:line="240" w:lineRule="auto"/>
              <w:rPr>
                <w:rFonts w:ascii="Calibri" w:eastAsia="Times New Roman" w:hAnsi="Calibri" w:cs="Calibri"/>
                <w:color w:val="000000"/>
                <w:sz w:val="16"/>
                <w:szCs w:val="16"/>
                <w:lang w:eastAsia="es-EC"/>
              </w:rPr>
            </w:pPr>
          </w:p>
        </w:tc>
        <w:tc>
          <w:tcPr>
            <w:tcW w:w="724" w:type="dxa"/>
            <w:vMerge/>
            <w:tcBorders>
              <w:top w:val="nil"/>
              <w:left w:val="single" w:sz="8" w:space="0" w:color="auto"/>
              <w:bottom w:val="single" w:sz="8" w:space="0" w:color="000000"/>
              <w:right w:val="single" w:sz="8" w:space="0" w:color="auto"/>
            </w:tcBorders>
            <w:vAlign w:val="center"/>
            <w:hideMark/>
          </w:tcPr>
          <w:p w14:paraId="21401DE3" w14:textId="77777777" w:rsidR="007B3093" w:rsidRDefault="007B3093">
            <w:pPr>
              <w:spacing w:after="0" w:line="240" w:lineRule="auto"/>
              <w:rPr>
                <w:rFonts w:ascii="Calibri" w:eastAsia="Times New Roman" w:hAnsi="Calibri" w:cs="Calibri"/>
                <w:color w:val="000000"/>
                <w:sz w:val="16"/>
                <w:szCs w:val="16"/>
                <w:lang w:eastAsia="es-EC"/>
              </w:rPr>
            </w:pPr>
          </w:p>
        </w:tc>
        <w:tc>
          <w:tcPr>
            <w:tcW w:w="163" w:type="dxa"/>
            <w:tcBorders>
              <w:top w:val="nil"/>
              <w:left w:val="nil"/>
              <w:bottom w:val="nil"/>
              <w:right w:val="nil"/>
            </w:tcBorders>
            <w:shd w:val="clear" w:color="auto" w:fill="auto"/>
            <w:noWrap/>
            <w:vAlign w:val="bottom"/>
            <w:hideMark/>
          </w:tcPr>
          <w:p w14:paraId="33C743F0" w14:textId="77777777" w:rsidR="007B3093" w:rsidRDefault="007B3093">
            <w:pPr>
              <w:spacing w:after="0" w:line="240" w:lineRule="auto"/>
              <w:jc w:val="center"/>
              <w:rPr>
                <w:rFonts w:ascii="Calibri" w:eastAsia="Times New Roman" w:hAnsi="Calibri" w:cs="Calibri"/>
                <w:color w:val="000000"/>
                <w:sz w:val="16"/>
                <w:szCs w:val="16"/>
                <w:lang w:eastAsia="es-EC"/>
              </w:rPr>
            </w:pPr>
          </w:p>
        </w:tc>
      </w:tr>
      <w:tr w:rsidR="007B3093" w14:paraId="2740AA1D" w14:textId="77777777">
        <w:trPr>
          <w:trHeight w:val="214"/>
        </w:trPr>
        <w:tc>
          <w:tcPr>
            <w:tcW w:w="1727" w:type="dxa"/>
            <w:vMerge/>
            <w:tcBorders>
              <w:top w:val="nil"/>
              <w:left w:val="single" w:sz="8" w:space="0" w:color="auto"/>
              <w:bottom w:val="single" w:sz="8" w:space="0" w:color="000000"/>
              <w:right w:val="single" w:sz="8" w:space="0" w:color="auto"/>
            </w:tcBorders>
            <w:vAlign w:val="center"/>
            <w:hideMark/>
          </w:tcPr>
          <w:p w14:paraId="7C0802B8" w14:textId="77777777" w:rsidR="007B3093" w:rsidRDefault="007B3093">
            <w:pPr>
              <w:spacing w:after="0" w:line="240" w:lineRule="auto"/>
              <w:rPr>
                <w:rFonts w:ascii="Calibri" w:eastAsia="Times New Roman" w:hAnsi="Calibri" w:cs="Calibri"/>
                <w:color w:val="000000"/>
                <w:sz w:val="16"/>
                <w:szCs w:val="16"/>
                <w:lang w:eastAsia="es-EC"/>
              </w:rPr>
            </w:pPr>
          </w:p>
        </w:tc>
        <w:tc>
          <w:tcPr>
            <w:tcW w:w="865" w:type="dxa"/>
            <w:vMerge/>
            <w:tcBorders>
              <w:top w:val="nil"/>
              <w:left w:val="single" w:sz="8" w:space="0" w:color="auto"/>
              <w:bottom w:val="single" w:sz="8" w:space="0" w:color="000000"/>
              <w:right w:val="single" w:sz="8" w:space="0" w:color="auto"/>
            </w:tcBorders>
            <w:vAlign w:val="center"/>
            <w:hideMark/>
          </w:tcPr>
          <w:p w14:paraId="5A5D507E" w14:textId="77777777" w:rsidR="007B3093" w:rsidRDefault="007B3093">
            <w:pPr>
              <w:spacing w:after="0" w:line="240" w:lineRule="auto"/>
              <w:rPr>
                <w:rFonts w:ascii="Calibri" w:eastAsia="Times New Roman" w:hAnsi="Calibri" w:cs="Calibri"/>
                <w:color w:val="000000"/>
                <w:sz w:val="16"/>
                <w:szCs w:val="16"/>
                <w:lang w:eastAsia="es-EC"/>
              </w:rPr>
            </w:pPr>
          </w:p>
        </w:tc>
        <w:tc>
          <w:tcPr>
            <w:tcW w:w="1443"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8E5D128"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Meta Ponderada</w:t>
            </w:r>
          </w:p>
        </w:tc>
        <w:tc>
          <w:tcPr>
            <w:tcW w:w="637" w:type="dxa"/>
            <w:vMerge w:val="restart"/>
            <w:tcBorders>
              <w:top w:val="nil"/>
              <w:left w:val="single" w:sz="8" w:space="0" w:color="auto"/>
              <w:bottom w:val="single" w:sz="8" w:space="0" w:color="000000"/>
              <w:right w:val="single" w:sz="8" w:space="0" w:color="auto"/>
            </w:tcBorders>
            <w:shd w:val="clear" w:color="auto" w:fill="auto"/>
            <w:vAlign w:val="center"/>
            <w:hideMark/>
          </w:tcPr>
          <w:p w14:paraId="3395CE2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544" w:type="dxa"/>
            <w:vMerge w:val="restart"/>
            <w:tcBorders>
              <w:top w:val="nil"/>
              <w:left w:val="single" w:sz="8" w:space="0" w:color="auto"/>
              <w:bottom w:val="single" w:sz="8" w:space="0" w:color="000000"/>
              <w:right w:val="single" w:sz="8" w:space="0" w:color="auto"/>
            </w:tcBorders>
            <w:shd w:val="clear" w:color="auto" w:fill="auto"/>
            <w:vAlign w:val="center"/>
            <w:hideMark/>
          </w:tcPr>
          <w:p w14:paraId="1511F00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619" w:type="dxa"/>
            <w:vMerge w:val="restart"/>
            <w:tcBorders>
              <w:top w:val="nil"/>
              <w:left w:val="single" w:sz="8" w:space="0" w:color="auto"/>
              <w:bottom w:val="single" w:sz="8" w:space="0" w:color="000000"/>
              <w:right w:val="single" w:sz="8" w:space="0" w:color="auto"/>
            </w:tcBorders>
            <w:shd w:val="clear" w:color="auto" w:fill="auto"/>
            <w:vAlign w:val="center"/>
            <w:hideMark/>
          </w:tcPr>
          <w:p w14:paraId="6C330CA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14:paraId="7D79F62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14:paraId="4AE61881"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523" w:type="dxa"/>
            <w:vMerge w:val="restart"/>
            <w:tcBorders>
              <w:top w:val="nil"/>
              <w:left w:val="single" w:sz="8" w:space="0" w:color="auto"/>
              <w:bottom w:val="single" w:sz="8" w:space="0" w:color="000000"/>
              <w:right w:val="single" w:sz="8" w:space="0" w:color="auto"/>
            </w:tcBorders>
            <w:shd w:val="clear" w:color="auto" w:fill="auto"/>
            <w:vAlign w:val="center"/>
            <w:hideMark/>
          </w:tcPr>
          <w:p w14:paraId="7846E5F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584" w:type="dxa"/>
            <w:vMerge w:val="restart"/>
            <w:tcBorders>
              <w:top w:val="nil"/>
              <w:left w:val="single" w:sz="8" w:space="0" w:color="auto"/>
              <w:bottom w:val="single" w:sz="8" w:space="0" w:color="000000"/>
              <w:right w:val="single" w:sz="8" w:space="0" w:color="auto"/>
            </w:tcBorders>
            <w:shd w:val="clear" w:color="auto" w:fill="auto"/>
            <w:vAlign w:val="center"/>
            <w:hideMark/>
          </w:tcPr>
          <w:p w14:paraId="52F09A5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99,40 </w:t>
            </w:r>
          </w:p>
        </w:tc>
        <w:tc>
          <w:tcPr>
            <w:tcW w:w="724" w:type="dxa"/>
            <w:vMerge w:val="restart"/>
            <w:tcBorders>
              <w:top w:val="nil"/>
              <w:left w:val="single" w:sz="8" w:space="0" w:color="auto"/>
              <w:bottom w:val="single" w:sz="8" w:space="0" w:color="000000"/>
              <w:right w:val="single" w:sz="8" w:space="0" w:color="auto"/>
            </w:tcBorders>
            <w:shd w:val="clear" w:color="auto" w:fill="auto"/>
            <w:vAlign w:val="center"/>
            <w:hideMark/>
          </w:tcPr>
          <w:p w14:paraId="735E714B"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100,00 </w:t>
            </w:r>
          </w:p>
        </w:tc>
        <w:tc>
          <w:tcPr>
            <w:tcW w:w="163" w:type="dxa"/>
            <w:vAlign w:val="center"/>
            <w:hideMark/>
          </w:tcPr>
          <w:p w14:paraId="092D3B17" w14:textId="77777777" w:rsidR="007B3093" w:rsidRDefault="007B3093">
            <w:pPr>
              <w:spacing w:after="0" w:line="240" w:lineRule="auto"/>
              <w:rPr>
                <w:rFonts w:ascii="Times New Roman" w:eastAsia="Times New Roman" w:hAnsi="Times New Roman" w:cs="Times New Roman"/>
                <w:sz w:val="20"/>
                <w:szCs w:val="20"/>
                <w:lang w:eastAsia="es-EC"/>
              </w:rPr>
            </w:pPr>
          </w:p>
        </w:tc>
      </w:tr>
      <w:tr w:rsidR="007B3093" w14:paraId="5769A299" w14:textId="77777777">
        <w:trPr>
          <w:trHeight w:val="246"/>
        </w:trPr>
        <w:tc>
          <w:tcPr>
            <w:tcW w:w="1727" w:type="dxa"/>
            <w:vMerge/>
            <w:tcBorders>
              <w:top w:val="nil"/>
              <w:left w:val="single" w:sz="8" w:space="0" w:color="auto"/>
              <w:bottom w:val="single" w:sz="8" w:space="0" w:color="000000"/>
              <w:right w:val="single" w:sz="8" w:space="0" w:color="auto"/>
            </w:tcBorders>
            <w:vAlign w:val="center"/>
            <w:hideMark/>
          </w:tcPr>
          <w:p w14:paraId="76CADC52" w14:textId="77777777" w:rsidR="007B3093" w:rsidRDefault="007B3093">
            <w:pPr>
              <w:spacing w:after="0" w:line="240" w:lineRule="auto"/>
              <w:rPr>
                <w:rFonts w:ascii="Calibri" w:eastAsia="Times New Roman" w:hAnsi="Calibri" w:cs="Calibri"/>
                <w:color w:val="000000"/>
                <w:sz w:val="16"/>
                <w:szCs w:val="16"/>
                <w:lang w:eastAsia="es-EC"/>
              </w:rPr>
            </w:pPr>
          </w:p>
        </w:tc>
        <w:tc>
          <w:tcPr>
            <w:tcW w:w="865" w:type="dxa"/>
            <w:vMerge/>
            <w:tcBorders>
              <w:top w:val="nil"/>
              <w:left w:val="single" w:sz="8" w:space="0" w:color="auto"/>
              <w:bottom w:val="single" w:sz="8" w:space="0" w:color="000000"/>
              <w:right w:val="single" w:sz="8" w:space="0" w:color="auto"/>
            </w:tcBorders>
            <w:vAlign w:val="center"/>
            <w:hideMark/>
          </w:tcPr>
          <w:p w14:paraId="5F73220F" w14:textId="77777777" w:rsidR="007B3093" w:rsidRDefault="007B3093">
            <w:pPr>
              <w:spacing w:after="0" w:line="240" w:lineRule="auto"/>
              <w:rPr>
                <w:rFonts w:ascii="Calibri" w:eastAsia="Times New Roman" w:hAnsi="Calibri" w:cs="Calibri"/>
                <w:color w:val="000000"/>
                <w:sz w:val="16"/>
                <w:szCs w:val="16"/>
                <w:lang w:eastAsia="es-EC"/>
              </w:rPr>
            </w:pPr>
          </w:p>
        </w:tc>
        <w:tc>
          <w:tcPr>
            <w:tcW w:w="1443" w:type="dxa"/>
            <w:gridSpan w:val="2"/>
            <w:vMerge/>
            <w:tcBorders>
              <w:top w:val="single" w:sz="8" w:space="0" w:color="auto"/>
              <w:left w:val="single" w:sz="8" w:space="0" w:color="auto"/>
              <w:bottom w:val="single" w:sz="8" w:space="0" w:color="000000"/>
              <w:right w:val="single" w:sz="8" w:space="0" w:color="000000"/>
            </w:tcBorders>
            <w:vAlign w:val="center"/>
            <w:hideMark/>
          </w:tcPr>
          <w:p w14:paraId="5EEE856B" w14:textId="77777777" w:rsidR="007B3093" w:rsidRDefault="007B3093">
            <w:pPr>
              <w:spacing w:after="0" w:line="240" w:lineRule="auto"/>
              <w:rPr>
                <w:rFonts w:ascii="Calibri" w:eastAsia="Times New Roman" w:hAnsi="Calibri" w:cs="Calibri"/>
                <w:color w:val="000000"/>
                <w:sz w:val="16"/>
                <w:szCs w:val="16"/>
                <w:lang w:eastAsia="es-EC"/>
              </w:rPr>
            </w:pPr>
          </w:p>
        </w:tc>
        <w:tc>
          <w:tcPr>
            <w:tcW w:w="637" w:type="dxa"/>
            <w:vMerge/>
            <w:tcBorders>
              <w:top w:val="nil"/>
              <w:left w:val="single" w:sz="8" w:space="0" w:color="auto"/>
              <w:bottom w:val="single" w:sz="8" w:space="0" w:color="000000"/>
              <w:right w:val="single" w:sz="8" w:space="0" w:color="auto"/>
            </w:tcBorders>
            <w:vAlign w:val="center"/>
            <w:hideMark/>
          </w:tcPr>
          <w:p w14:paraId="7F815041" w14:textId="77777777" w:rsidR="007B3093" w:rsidRDefault="007B3093">
            <w:pPr>
              <w:spacing w:after="0" w:line="240" w:lineRule="auto"/>
              <w:rPr>
                <w:rFonts w:ascii="Calibri" w:eastAsia="Times New Roman" w:hAnsi="Calibri" w:cs="Calibri"/>
                <w:color w:val="000000"/>
                <w:sz w:val="16"/>
                <w:szCs w:val="16"/>
                <w:lang w:eastAsia="es-EC"/>
              </w:rPr>
            </w:pPr>
          </w:p>
        </w:tc>
        <w:tc>
          <w:tcPr>
            <w:tcW w:w="544" w:type="dxa"/>
            <w:vMerge/>
            <w:tcBorders>
              <w:top w:val="nil"/>
              <w:left w:val="single" w:sz="8" w:space="0" w:color="auto"/>
              <w:bottom w:val="single" w:sz="8" w:space="0" w:color="000000"/>
              <w:right w:val="single" w:sz="8" w:space="0" w:color="auto"/>
            </w:tcBorders>
            <w:vAlign w:val="center"/>
            <w:hideMark/>
          </w:tcPr>
          <w:p w14:paraId="1EF0CD85" w14:textId="77777777" w:rsidR="007B3093" w:rsidRDefault="007B3093">
            <w:pPr>
              <w:spacing w:after="0" w:line="240" w:lineRule="auto"/>
              <w:rPr>
                <w:rFonts w:ascii="Calibri" w:eastAsia="Times New Roman" w:hAnsi="Calibri" w:cs="Calibri"/>
                <w:color w:val="000000"/>
                <w:sz w:val="16"/>
                <w:szCs w:val="16"/>
                <w:lang w:eastAsia="es-EC"/>
              </w:rPr>
            </w:pPr>
          </w:p>
        </w:tc>
        <w:tc>
          <w:tcPr>
            <w:tcW w:w="619" w:type="dxa"/>
            <w:vMerge/>
            <w:tcBorders>
              <w:top w:val="nil"/>
              <w:left w:val="single" w:sz="8" w:space="0" w:color="auto"/>
              <w:bottom w:val="single" w:sz="8" w:space="0" w:color="000000"/>
              <w:right w:val="single" w:sz="8" w:space="0" w:color="auto"/>
            </w:tcBorders>
            <w:vAlign w:val="center"/>
            <w:hideMark/>
          </w:tcPr>
          <w:p w14:paraId="17091D31" w14:textId="77777777" w:rsidR="007B3093" w:rsidRDefault="007B3093">
            <w:pPr>
              <w:spacing w:after="0" w:line="240" w:lineRule="auto"/>
              <w:rPr>
                <w:rFonts w:ascii="Calibri" w:eastAsia="Times New Roman" w:hAnsi="Calibri" w:cs="Calibri"/>
                <w:color w:val="000000"/>
                <w:sz w:val="16"/>
                <w:szCs w:val="16"/>
                <w:lang w:eastAsia="es-EC"/>
              </w:rPr>
            </w:pPr>
          </w:p>
        </w:tc>
        <w:tc>
          <w:tcPr>
            <w:tcW w:w="580" w:type="dxa"/>
            <w:vMerge/>
            <w:tcBorders>
              <w:top w:val="nil"/>
              <w:left w:val="single" w:sz="8" w:space="0" w:color="auto"/>
              <w:bottom w:val="single" w:sz="8" w:space="0" w:color="000000"/>
              <w:right w:val="single" w:sz="8" w:space="0" w:color="auto"/>
            </w:tcBorders>
            <w:vAlign w:val="center"/>
            <w:hideMark/>
          </w:tcPr>
          <w:p w14:paraId="53B1AB47" w14:textId="77777777" w:rsidR="007B3093" w:rsidRDefault="007B3093">
            <w:pPr>
              <w:spacing w:after="0" w:line="240" w:lineRule="auto"/>
              <w:rPr>
                <w:rFonts w:ascii="Calibri" w:eastAsia="Times New Roman" w:hAnsi="Calibri" w:cs="Calibri"/>
                <w:color w:val="000000"/>
                <w:sz w:val="16"/>
                <w:szCs w:val="16"/>
                <w:lang w:eastAsia="es-EC"/>
              </w:rPr>
            </w:pPr>
          </w:p>
        </w:tc>
        <w:tc>
          <w:tcPr>
            <w:tcW w:w="580" w:type="dxa"/>
            <w:vMerge/>
            <w:tcBorders>
              <w:top w:val="nil"/>
              <w:left w:val="single" w:sz="8" w:space="0" w:color="auto"/>
              <w:bottom w:val="single" w:sz="8" w:space="0" w:color="000000"/>
              <w:right w:val="single" w:sz="8" w:space="0" w:color="auto"/>
            </w:tcBorders>
            <w:vAlign w:val="center"/>
            <w:hideMark/>
          </w:tcPr>
          <w:p w14:paraId="6204B1C3" w14:textId="77777777" w:rsidR="007B3093" w:rsidRDefault="007B3093">
            <w:pPr>
              <w:spacing w:after="0" w:line="240" w:lineRule="auto"/>
              <w:rPr>
                <w:rFonts w:ascii="Calibri" w:eastAsia="Times New Roman" w:hAnsi="Calibri" w:cs="Calibri"/>
                <w:color w:val="000000"/>
                <w:sz w:val="16"/>
                <w:szCs w:val="16"/>
                <w:lang w:eastAsia="es-EC"/>
              </w:rPr>
            </w:pPr>
          </w:p>
        </w:tc>
        <w:tc>
          <w:tcPr>
            <w:tcW w:w="523" w:type="dxa"/>
            <w:vMerge/>
            <w:tcBorders>
              <w:top w:val="nil"/>
              <w:left w:val="single" w:sz="8" w:space="0" w:color="auto"/>
              <w:bottom w:val="single" w:sz="8" w:space="0" w:color="000000"/>
              <w:right w:val="single" w:sz="8" w:space="0" w:color="auto"/>
            </w:tcBorders>
            <w:vAlign w:val="center"/>
            <w:hideMark/>
          </w:tcPr>
          <w:p w14:paraId="6924600D" w14:textId="77777777" w:rsidR="007B3093" w:rsidRDefault="007B3093">
            <w:pPr>
              <w:spacing w:after="0" w:line="240" w:lineRule="auto"/>
              <w:rPr>
                <w:rFonts w:ascii="Calibri" w:eastAsia="Times New Roman" w:hAnsi="Calibri" w:cs="Calibri"/>
                <w:color w:val="000000"/>
                <w:sz w:val="16"/>
                <w:szCs w:val="16"/>
                <w:lang w:eastAsia="es-EC"/>
              </w:rPr>
            </w:pPr>
          </w:p>
        </w:tc>
        <w:tc>
          <w:tcPr>
            <w:tcW w:w="584" w:type="dxa"/>
            <w:vMerge/>
            <w:tcBorders>
              <w:top w:val="nil"/>
              <w:left w:val="single" w:sz="8" w:space="0" w:color="auto"/>
              <w:bottom w:val="single" w:sz="8" w:space="0" w:color="000000"/>
              <w:right w:val="single" w:sz="8" w:space="0" w:color="auto"/>
            </w:tcBorders>
            <w:vAlign w:val="center"/>
            <w:hideMark/>
          </w:tcPr>
          <w:p w14:paraId="3385C73D" w14:textId="77777777" w:rsidR="007B3093" w:rsidRDefault="007B3093">
            <w:pPr>
              <w:spacing w:after="0" w:line="240" w:lineRule="auto"/>
              <w:rPr>
                <w:rFonts w:ascii="Calibri" w:eastAsia="Times New Roman" w:hAnsi="Calibri" w:cs="Calibri"/>
                <w:color w:val="000000"/>
                <w:sz w:val="16"/>
                <w:szCs w:val="16"/>
                <w:lang w:eastAsia="es-EC"/>
              </w:rPr>
            </w:pPr>
          </w:p>
        </w:tc>
        <w:tc>
          <w:tcPr>
            <w:tcW w:w="724" w:type="dxa"/>
            <w:vMerge/>
            <w:tcBorders>
              <w:top w:val="nil"/>
              <w:left w:val="single" w:sz="8" w:space="0" w:color="auto"/>
              <w:bottom w:val="single" w:sz="8" w:space="0" w:color="000000"/>
              <w:right w:val="single" w:sz="8" w:space="0" w:color="auto"/>
            </w:tcBorders>
            <w:vAlign w:val="center"/>
            <w:hideMark/>
          </w:tcPr>
          <w:p w14:paraId="2E3933F2" w14:textId="77777777" w:rsidR="007B3093" w:rsidRDefault="007B3093">
            <w:pPr>
              <w:spacing w:after="0" w:line="240" w:lineRule="auto"/>
              <w:rPr>
                <w:rFonts w:ascii="Calibri" w:eastAsia="Times New Roman" w:hAnsi="Calibri" w:cs="Calibri"/>
                <w:color w:val="000000"/>
                <w:sz w:val="16"/>
                <w:szCs w:val="16"/>
                <w:lang w:eastAsia="es-EC"/>
              </w:rPr>
            </w:pPr>
          </w:p>
        </w:tc>
        <w:tc>
          <w:tcPr>
            <w:tcW w:w="163" w:type="dxa"/>
            <w:tcBorders>
              <w:top w:val="nil"/>
              <w:left w:val="nil"/>
              <w:bottom w:val="nil"/>
              <w:right w:val="nil"/>
            </w:tcBorders>
            <w:shd w:val="clear" w:color="auto" w:fill="auto"/>
            <w:noWrap/>
            <w:vAlign w:val="bottom"/>
            <w:hideMark/>
          </w:tcPr>
          <w:p w14:paraId="638A9B03" w14:textId="77777777" w:rsidR="007B3093" w:rsidRDefault="007B3093">
            <w:pPr>
              <w:spacing w:after="0" w:line="240" w:lineRule="auto"/>
              <w:rPr>
                <w:rFonts w:ascii="Calibri" w:eastAsia="Times New Roman" w:hAnsi="Calibri" w:cs="Calibri"/>
                <w:color w:val="000000"/>
                <w:sz w:val="16"/>
                <w:szCs w:val="16"/>
                <w:lang w:eastAsia="es-EC"/>
              </w:rPr>
            </w:pPr>
          </w:p>
        </w:tc>
      </w:tr>
      <w:tr w:rsidR="007B3093" w14:paraId="75AA16B3" w14:textId="77777777">
        <w:trPr>
          <w:trHeight w:val="246"/>
        </w:trPr>
        <w:tc>
          <w:tcPr>
            <w:tcW w:w="1727" w:type="dxa"/>
            <w:vMerge/>
            <w:tcBorders>
              <w:top w:val="nil"/>
              <w:left w:val="single" w:sz="8" w:space="0" w:color="auto"/>
              <w:bottom w:val="single" w:sz="8" w:space="0" w:color="000000"/>
              <w:right w:val="single" w:sz="8" w:space="0" w:color="auto"/>
            </w:tcBorders>
            <w:vAlign w:val="center"/>
            <w:hideMark/>
          </w:tcPr>
          <w:p w14:paraId="0A8F9FA0" w14:textId="77777777" w:rsidR="007B3093" w:rsidRDefault="007B3093">
            <w:pPr>
              <w:spacing w:after="0" w:line="240" w:lineRule="auto"/>
              <w:rPr>
                <w:rFonts w:ascii="Calibri" w:eastAsia="Times New Roman" w:hAnsi="Calibri" w:cs="Calibri"/>
                <w:color w:val="000000"/>
                <w:sz w:val="16"/>
                <w:szCs w:val="16"/>
                <w:lang w:eastAsia="es-EC"/>
              </w:rPr>
            </w:pPr>
          </w:p>
        </w:tc>
        <w:tc>
          <w:tcPr>
            <w:tcW w:w="865" w:type="dxa"/>
            <w:vMerge/>
            <w:tcBorders>
              <w:top w:val="nil"/>
              <w:left w:val="single" w:sz="8" w:space="0" w:color="auto"/>
              <w:bottom w:val="single" w:sz="8" w:space="0" w:color="000000"/>
              <w:right w:val="single" w:sz="8" w:space="0" w:color="auto"/>
            </w:tcBorders>
            <w:vAlign w:val="center"/>
            <w:hideMark/>
          </w:tcPr>
          <w:p w14:paraId="42EB8103" w14:textId="77777777" w:rsidR="007B3093" w:rsidRDefault="007B3093">
            <w:pPr>
              <w:spacing w:after="0" w:line="240" w:lineRule="auto"/>
              <w:rPr>
                <w:rFonts w:ascii="Calibri" w:eastAsia="Times New Roman" w:hAnsi="Calibri" w:cs="Calibri"/>
                <w:color w:val="000000"/>
                <w:sz w:val="16"/>
                <w:szCs w:val="16"/>
                <w:lang w:eastAsia="es-EC"/>
              </w:rPr>
            </w:pPr>
          </w:p>
        </w:tc>
        <w:tc>
          <w:tcPr>
            <w:tcW w:w="1443" w:type="dxa"/>
            <w:gridSpan w:val="2"/>
            <w:vMerge/>
            <w:tcBorders>
              <w:top w:val="single" w:sz="8" w:space="0" w:color="auto"/>
              <w:left w:val="single" w:sz="8" w:space="0" w:color="auto"/>
              <w:bottom w:val="single" w:sz="8" w:space="0" w:color="000000"/>
              <w:right w:val="single" w:sz="8" w:space="0" w:color="000000"/>
            </w:tcBorders>
            <w:vAlign w:val="center"/>
            <w:hideMark/>
          </w:tcPr>
          <w:p w14:paraId="5FC1194B" w14:textId="77777777" w:rsidR="007B3093" w:rsidRDefault="007B3093">
            <w:pPr>
              <w:spacing w:after="0" w:line="240" w:lineRule="auto"/>
              <w:rPr>
                <w:rFonts w:ascii="Calibri" w:eastAsia="Times New Roman" w:hAnsi="Calibri" w:cs="Calibri"/>
                <w:color w:val="000000"/>
                <w:sz w:val="16"/>
                <w:szCs w:val="16"/>
                <w:lang w:eastAsia="es-EC"/>
              </w:rPr>
            </w:pPr>
          </w:p>
        </w:tc>
        <w:tc>
          <w:tcPr>
            <w:tcW w:w="637" w:type="dxa"/>
            <w:vMerge/>
            <w:tcBorders>
              <w:top w:val="nil"/>
              <w:left w:val="single" w:sz="8" w:space="0" w:color="auto"/>
              <w:bottom w:val="single" w:sz="8" w:space="0" w:color="000000"/>
              <w:right w:val="single" w:sz="8" w:space="0" w:color="auto"/>
            </w:tcBorders>
            <w:vAlign w:val="center"/>
            <w:hideMark/>
          </w:tcPr>
          <w:p w14:paraId="0DF43DD9" w14:textId="77777777" w:rsidR="007B3093" w:rsidRDefault="007B3093">
            <w:pPr>
              <w:spacing w:after="0" w:line="240" w:lineRule="auto"/>
              <w:rPr>
                <w:rFonts w:ascii="Calibri" w:eastAsia="Times New Roman" w:hAnsi="Calibri" w:cs="Calibri"/>
                <w:color w:val="000000"/>
                <w:sz w:val="16"/>
                <w:szCs w:val="16"/>
                <w:lang w:eastAsia="es-EC"/>
              </w:rPr>
            </w:pPr>
          </w:p>
        </w:tc>
        <w:tc>
          <w:tcPr>
            <w:tcW w:w="544" w:type="dxa"/>
            <w:vMerge/>
            <w:tcBorders>
              <w:top w:val="nil"/>
              <w:left w:val="single" w:sz="8" w:space="0" w:color="auto"/>
              <w:bottom w:val="single" w:sz="8" w:space="0" w:color="000000"/>
              <w:right w:val="single" w:sz="8" w:space="0" w:color="auto"/>
            </w:tcBorders>
            <w:vAlign w:val="center"/>
            <w:hideMark/>
          </w:tcPr>
          <w:p w14:paraId="6DF55B03" w14:textId="77777777" w:rsidR="007B3093" w:rsidRDefault="007B3093">
            <w:pPr>
              <w:spacing w:after="0" w:line="240" w:lineRule="auto"/>
              <w:rPr>
                <w:rFonts w:ascii="Calibri" w:eastAsia="Times New Roman" w:hAnsi="Calibri" w:cs="Calibri"/>
                <w:color w:val="000000"/>
                <w:sz w:val="16"/>
                <w:szCs w:val="16"/>
                <w:lang w:eastAsia="es-EC"/>
              </w:rPr>
            </w:pPr>
          </w:p>
        </w:tc>
        <w:tc>
          <w:tcPr>
            <w:tcW w:w="619" w:type="dxa"/>
            <w:vMerge/>
            <w:tcBorders>
              <w:top w:val="nil"/>
              <w:left w:val="single" w:sz="8" w:space="0" w:color="auto"/>
              <w:bottom w:val="single" w:sz="8" w:space="0" w:color="000000"/>
              <w:right w:val="single" w:sz="8" w:space="0" w:color="auto"/>
            </w:tcBorders>
            <w:vAlign w:val="center"/>
            <w:hideMark/>
          </w:tcPr>
          <w:p w14:paraId="78B1703B" w14:textId="77777777" w:rsidR="007B3093" w:rsidRDefault="007B3093">
            <w:pPr>
              <w:spacing w:after="0" w:line="240" w:lineRule="auto"/>
              <w:rPr>
                <w:rFonts w:ascii="Calibri" w:eastAsia="Times New Roman" w:hAnsi="Calibri" w:cs="Calibri"/>
                <w:color w:val="000000"/>
                <w:sz w:val="16"/>
                <w:szCs w:val="16"/>
                <w:lang w:eastAsia="es-EC"/>
              </w:rPr>
            </w:pPr>
          </w:p>
        </w:tc>
        <w:tc>
          <w:tcPr>
            <w:tcW w:w="580" w:type="dxa"/>
            <w:vMerge/>
            <w:tcBorders>
              <w:top w:val="nil"/>
              <w:left w:val="single" w:sz="8" w:space="0" w:color="auto"/>
              <w:bottom w:val="single" w:sz="8" w:space="0" w:color="000000"/>
              <w:right w:val="single" w:sz="8" w:space="0" w:color="auto"/>
            </w:tcBorders>
            <w:vAlign w:val="center"/>
            <w:hideMark/>
          </w:tcPr>
          <w:p w14:paraId="4A2B883C" w14:textId="77777777" w:rsidR="007B3093" w:rsidRDefault="007B3093">
            <w:pPr>
              <w:spacing w:after="0" w:line="240" w:lineRule="auto"/>
              <w:rPr>
                <w:rFonts w:ascii="Calibri" w:eastAsia="Times New Roman" w:hAnsi="Calibri" w:cs="Calibri"/>
                <w:color w:val="000000"/>
                <w:sz w:val="16"/>
                <w:szCs w:val="16"/>
                <w:lang w:eastAsia="es-EC"/>
              </w:rPr>
            </w:pPr>
          </w:p>
        </w:tc>
        <w:tc>
          <w:tcPr>
            <w:tcW w:w="580" w:type="dxa"/>
            <w:vMerge/>
            <w:tcBorders>
              <w:top w:val="nil"/>
              <w:left w:val="single" w:sz="8" w:space="0" w:color="auto"/>
              <w:bottom w:val="single" w:sz="8" w:space="0" w:color="000000"/>
              <w:right w:val="single" w:sz="8" w:space="0" w:color="auto"/>
            </w:tcBorders>
            <w:vAlign w:val="center"/>
            <w:hideMark/>
          </w:tcPr>
          <w:p w14:paraId="031648EE" w14:textId="77777777" w:rsidR="007B3093" w:rsidRDefault="007B3093">
            <w:pPr>
              <w:spacing w:after="0" w:line="240" w:lineRule="auto"/>
              <w:rPr>
                <w:rFonts w:ascii="Calibri" w:eastAsia="Times New Roman" w:hAnsi="Calibri" w:cs="Calibri"/>
                <w:color w:val="000000"/>
                <w:sz w:val="16"/>
                <w:szCs w:val="16"/>
                <w:lang w:eastAsia="es-EC"/>
              </w:rPr>
            </w:pPr>
          </w:p>
        </w:tc>
        <w:tc>
          <w:tcPr>
            <w:tcW w:w="523" w:type="dxa"/>
            <w:vMerge/>
            <w:tcBorders>
              <w:top w:val="nil"/>
              <w:left w:val="single" w:sz="8" w:space="0" w:color="auto"/>
              <w:bottom w:val="single" w:sz="8" w:space="0" w:color="000000"/>
              <w:right w:val="single" w:sz="8" w:space="0" w:color="auto"/>
            </w:tcBorders>
            <w:vAlign w:val="center"/>
            <w:hideMark/>
          </w:tcPr>
          <w:p w14:paraId="08F891DB" w14:textId="77777777" w:rsidR="007B3093" w:rsidRDefault="007B3093">
            <w:pPr>
              <w:spacing w:after="0" w:line="240" w:lineRule="auto"/>
              <w:rPr>
                <w:rFonts w:ascii="Calibri" w:eastAsia="Times New Roman" w:hAnsi="Calibri" w:cs="Calibri"/>
                <w:color w:val="000000"/>
                <w:sz w:val="16"/>
                <w:szCs w:val="16"/>
                <w:lang w:eastAsia="es-EC"/>
              </w:rPr>
            </w:pPr>
          </w:p>
        </w:tc>
        <w:tc>
          <w:tcPr>
            <w:tcW w:w="584" w:type="dxa"/>
            <w:vMerge/>
            <w:tcBorders>
              <w:top w:val="nil"/>
              <w:left w:val="single" w:sz="8" w:space="0" w:color="auto"/>
              <w:bottom w:val="single" w:sz="8" w:space="0" w:color="000000"/>
              <w:right w:val="single" w:sz="8" w:space="0" w:color="auto"/>
            </w:tcBorders>
            <w:vAlign w:val="center"/>
            <w:hideMark/>
          </w:tcPr>
          <w:p w14:paraId="4300254D" w14:textId="77777777" w:rsidR="007B3093" w:rsidRDefault="007B3093">
            <w:pPr>
              <w:spacing w:after="0" w:line="240" w:lineRule="auto"/>
              <w:rPr>
                <w:rFonts w:ascii="Calibri" w:eastAsia="Times New Roman" w:hAnsi="Calibri" w:cs="Calibri"/>
                <w:color w:val="000000"/>
                <w:sz w:val="16"/>
                <w:szCs w:val="16"/>
                <w:lang w:eastAsia="es-EC"/>
              </w:rPr>
            </w:pPr>
          </w:p>
        </w:tc>
        <w:tc>
          <w:tcPr>
            <w:tcW w:w="724" w:type="dxa"/>
            <w:vMerge/>
            <w:tcBorders>
              <w:top w:val="nil"/>
              <w:left w:val="single" w:sz="8" w:space="0" w:color="auto"/>
              <w:bottom w:val="single" w:sz="8" w:space="0" w:color="000000"/>
              <w:right w:val="single" w:sz="8" w:space="0" w:color="auto"/>
            </w:tcBorders>
            <w:vAlign w:val="center"/>
            <w:hideMark/>
          </w:tcPr>
          <w:p w14:paraId="77A3C1EB" w14:textId="77777777" w:rsidR="007B3093" w:rsidRDefault="007B3093">
            <w:pPr>
              <w:spacing w:after="0" w:line="240" w:lineRule="auto"/>
              <w:rPr>
                <w:rFonts w:ascii="Calibri" w:eastAsia="Times New Roman" w:hAnsi="Calibri" w:cs="Calibri"/>
                <w:color w:val="000000"/>
                <w:sz w:val="16"/>
                <w:szCs w:val="16"/>
                <w:lang w:eastAsia="es-EC"/>
              </w:rPr>
            </w:pPr>
          </w:p>
        </w:tc>
        <w:tc>
          <w:tcPr>
            <w:tcW w:w="163" w:type="dxa"/>
            <w:tcBorders>
              <w:top w:val="nil"/>
              <w:left w:val="nil"/>
              <w:bottom w:val="nil"/>
              <w:right w:val="nil"/>
            </w:tcBorders>
            <w:shd w:val="clear" w:color="auto" w:fill="auto"/>
            <w:noWrap/>
            <w:vAlign w:val="bottom"/>
            <w:hideMark/>
          </w:tcPr>
          <w:p w14:paraId="605345D0" w14:textId="77777777" w:rsidR="007B3093" w:rsidRDefault="007B3093">
            <w:pPr>
              <w:spacing w:after="0" w:line="240" w:lineRule="auto"/>
              <w:rPr>
                <w:rFonts w:ascii="Times New Roman" w:eastAsia="Times New Roman" w:hAnsi="Times New Roman" w:cs="Times New Roman"/>
                <w:sz w:val="20"/>
                <w:szCs w:val="20"/>
                <w:lang w:eastAsia="es-EC"/>
              </w:rPr>
            </w:pPr>
          </w:p>
        </w:tc>
      </w:tr>
    </w:tbl>
    <w:p w14:paraId="1935BE93" w14:textId="77777777" w:rsidR="007B3093" w:rsidRDefault="007B3093">
      <w:pPr>
        <w:pStyle w:val="Ttulo2"/>
        <w:spacing w:before="360" w:line="360" w:lineRule="auto"/>
        <w:ind w:left="357"/>
        <w:rPr>
          <w:rFonts w:asciiTheme="minorHAnsi" w:hAnsiTheme="minorHAnsi" w:cstheme="minorHAnsi"/>
          <w:b/>
          <w:color w:val="auto"/>
          <w:sz w:val="22"/>
          <w:szCs w:val="22"/>
          <w:lang w:eastAsia="es-EC"/>
        </w:rPr>
      </w:pPr>
      <w:bookmarkStart w:id="35" w:name="_Toc195010064"/>
    </w:p>
    <w:p w14:paraId="3DDCD675" w14:textId="77777777" w:rsidR="007B3093" w:rsidRDefault="00000000">
      <w:pPr>
        <w:pStyle w:val="Ttulo2"/>
        <w:numPr>
          <w:ilvl w:val="0"/>
          <w:numId w:val="93"/>
        </w:numPr>
        <w:spacing w:before="360" w:line="360" w:lineRule="auto"/>
        <w:ind w:left="357" w:hanging="357"/>
        <w:rPr>
          <w:rFonts w:asciiTheme="minorHAnsi" w:hAnsiTheme="minorHAnsi" w:cstheme="minorHAnsi"/>
          <w:b/>
          <w:color w:val="auto"/>
          <w:sz w:val="22"/>
          <w:szCs w:val="22"/>
          <w:lang w:eastAsia="es-EC"/>
        </w:rPr>
      </w:pPr>
      <w:r>
        <w:rPr>
          <w:rFonts w:asciiTheme="minorHAnsi" w:hAnsiTheme="minorHAnsi" w:cstheme="minorHAnsi"/>
          <w:b/>
          <w:color w:val="auto"/>
          <w:sz w:val="22"/>
          <w:szCs w:val="22"/>
          <w:lang w:eastAsia="es-EC"/>
        </w:rPr>
        <w:t>ANÁLISIS INTEGRAL</w:t>
      </w:r>
      <w:bookmarkEnd w:id="35"/>
    </w:p>
    <w:p w14:paraId="5C1C242A" w14:textId="77777777" w:rsidR="007B3093" w:rsidRDefault="00000000">
      <w:pPr>
        <w:pStyle w:val="Prrafodelista"/>
        <w:spacing w:before="120" w:after="120" w:line="360" w:lineRule="auto"/>
        <w:ind w:left="142"/>
        <w:contextualSpacing w:val="0"/>
        <w:jc w:val="both"/>
      </w:pPr>
      <w:r>
        <w:t xml:space="preserve">Los contenidos y costos que constan en el documento fueron establecidos por la misión y los consultores del BID y las contrapartes de la Procuraduría General del Estado, después del análisis de la situación de las capacidades de gestión institucional. El equipo de consultoría participó en las reuniones de </w:t>
      </w:r>
      <w:r>
        <w:rPr>
          <w:rFonts w:cstheme="minorHAnsi"/>
        </w:rPr>
        <w:t>coordinación</w:t>
      </w:r>
      <w:r>
        <w:t xml:space="preserve"> con BID y PGE. Los costos corresponden a referencias internacionales en proyectos similares auspiciados por BID. El BID es el líder regional en la modernización de este tipo de instituciones con experiencias similares en Chile y en Colombia. La definición de los costos se realizó en base a la experiencia de los equipos técnicos que participaron en el proceso (BID, PGE y equipo consultor).</w:t>
      </w:r>
    </w:p>
    <w:p w14:paraId="3EA43B0C" w14:textId="77777777" w:rsidR="007B3093" w:rsidRDefault="007B3093">
      <w:pPr>
        <w:pStyle w:val="Prrafodelista"/>
        <w:spacing w:before="120" w:after="120" w:line="360" w:lineRule="auto"/>
        <w:ind w:left="142" w:firstLine="425"/>
        <w:contextualSpacing w:val="0"/>
        <w:jc w:val="both"/>
      </w:pPr>
    </w:p>
    <w:p w14:paraId="3D7A0264" w14:textId="77777777" w:rsidR="007B3093" w:rsidRDefault="00000000">
      <w:pPr>
        <w:pStyle w:val="Ttulo2"/>
        <w:numPr>
          <w:ilvl w:val="1"/>
          <w:numId w:val="93"/>
        </w:numPr>
        <w:spacing w:before="0" w:line="360" w:lineRule="auto"/>
        <w:ind w:left="567"/>
        <w:rPr>
          <w:rFonts w:asciiTheme="minorHAnsi" w:hAnsiTheme="minorHAnsi" w:cstheme="minorHAnsi"/>
          <w:b/>
          <w:color w:val="auto"/>
          <w:sz w:val="22"/>
          <w:szCs w:val="22"/>
          <w:lang w:eastAsia="es-EC"/>
        </w:rPr>
      </w:pPr>
      <w:bookmarkStart w:id="36" w:name="_Toc195010065"/>
      <w:r>
        <w:rPr>
          <w:rFonts w:asciiTheme="minorHAnsi" w:hAnsiTheme="minorHAnsi" w:cstheme="minorHAnsi"/>
          <w:b/>
          <w:color w:val="auto"/>
          <w:sz w:val="22"/>
          <w:szCs w:val="22"/>
          <w:lang w:eastAsia="es-EC"/>
        </w:rPr>
        <w:lastRenderedPageBreak/>
        <w:t>Vialidad técnica</w:t>
      </w:r>
      <w:bookmarkEnd w:id="36"/>
    </w:p>
    <w:p w14:paraId="0CBA97AA" w14:textId="77777777" w:rsidR="007B3093" w:rsidRDefault="00000000">
      <w:pPr>
        <w:pStyle w:val="Prrafodelista"/>
        <w:spacing w:before="120" w:after="120" w:line="360" w:lineRule="auto"/>
        <w:ind w:left="142"/>
        <w:contextualSpacing w:val="0"/>
        <w:jc w:val="both"/>
      </w:pPr>
      <w:r>
        <w:t>El Programa de Modernización de la Administración Financiera (EC-L1249), establece en el capítulo IV Reglamento Operativo, en el literal b) Gestión de Adquisiciones y Contrataciones del Programa, que las adquisiciones y contrataciones, financiadas total o parcialmente por recursos del préstamo, se ejecutarán conforme a lo dispuesto por:</w:t>
      </w:r>
    </w:p>
    <w:p w14:paraId="6D59065C" w14:textId="77777777" w:rsidR="007B3093" w:rsidRDefault="00000000">
      <w:pPr>
        <w:pStyle w:val="Prrafodelista"/>
        <w:numPr>
          <w:ilvl w:val="1"/>
          <w:numId w:val="3"/>
        </w:numPr>
        <w:spacing w:after="0" w:line="360" w:lineRule="auto"/>
        <w:ind w:left="1080"/>
        <w:jc w:val="both"/>
      </w:pPr>
      <w:r>
        <w:t xml:space="preserve">El contrato de Préstamo; </w:t>
      </w:r>
    </w:p>
    <w:p w14:paraId="0B55DAB5" w14:textId="77777777" w:rsidR="007B3093" w:rsidRDefault="00000000">
      <w:pPr>
        <w:pStyle w:val="Prrafodelista"/>
        <w:numPr>
          <w:ilvl w:val="1"/>
          <w:numId w:val="3"/>
        </w:numPr>
        <w:spacing w:after="0" w:line="360" w:lineRule="auto"/>
        <w:ind w:left="1080"/>
        <w:jc w:val="both"/>
      </w:pPr>
      <w:r>
        <w:t xml:space="preserve">El ROP; </w:t>
      </w:r>
    </w:p>
    <w:p w14:paraId="77B3F8CA" w14:textId="77777777" w:rsidR="007B3093" w:rsidRDefault="00000000">
      <w:pPr>
        <w:pStyle w:val="Prrafodelista"/>
        <w:numPr>
          <w:ilvl w:val="1"/>
          <w:numId w:val="3"/>
        </w:numPr>
        <w:spacing w:after="0" w:line="360" w:lineRule="auto"/>
        <w:ind w:left="1080"/>
        <w:jc w:val="both"/>
      </w:pPr>
      <w:r>
        <w:t xml:space="preserve">Políticas de Adquisiciones de Obras y Bienes Financiados por el BID (GN-2349-15); </w:t>
      </w:r>
    </w:p>
    <w:p w14:paraId="4E5C4F93" w14:textId="77777777" w:rsidR="007B3093" w:rsidRDefault="00000000">
      <w:pPr>
        <w:pStyle w:val="Prrafodelista"/>
        <w:numPr>
          <w:ilvl w:val="1"/>
          <w:numId w:val="3"/>
        </w:numPr>
        <w:spacing w:after="0" w:line="360" w:lineRule="auto"/>
        <w:ind w:left="1080"/>
        <w:jc w:val="both"/>
      </w:pPr>
      <w:r>
        <w:t xml:space="preserve">Las Políticas para la Selección y Contratación de Consultores Financiados por el BID (GN-2350-15); y </w:t>
      </w:r>
    </w:p>
    <w:p w14:paraId="46658D59" w14:textId="77777777" w:rsidR="007B3093" w:rsidRDefault="00000000">
      <w:pPr>
        <w:pStyle w:val="Prrafodelista"/>
        <w:numPr>
          <w:ilvl w:val="1"/>
          <w:numId w:val="3"/>
        </w:numPr>
        <w:spacing w:after="0" w:line="360" w:lineRule="auto"/>
        <w:ind w:left="1080"/>
        <w:jc w:val="both"/>
      </w:pPr>
      <w:r>
        <w:t>La Ley Orgánica del Sistema Nacional de Contratación Pública (LOSNCP)</w:t>
      </w:r>
    </w:p>
    <w:p w14:paraId="40EC6C18" w14:textId="77777777" w:rsidR="007B3093" w:rsidRDefault="00000000">
      <w:pPr>
        <w:pStyle w:val="Prrafodelista"/>
        <w:spacing w:before="120" w:after="120" w:line="360" w:lineRule="auto"/>
        <w:ind w:left="142"/>
        <w:contextualSpacing w:val="0"/>
        <w:jc w:val="both"/>
      </w:pPr>
      <w:r>
        <w:t xml:space="preserve">La Programación de Adquisiciones detalla el conjunto de todas las adquisiciones a ser desarrolladas en el </w:t>
      </w:r>
      <w:r>
        <w:rPr>
          <w:rFonts w:cstheme="minorHAnsi"/>
        </w:rPr>
        <w:t>Programa</w:t>
      </w:r>
      <w:r>
        <w:t>, el mismo contiene el detalle de los métodos de licitación o contratación y revisión de todas las adquisiciones y contrataciones del Proyecto.</w:t>
      </w:r>
    </w:p>
    <w:p w14:paraId="48FBA99D" w14:textId="77777777" w:rsidR="007B3093" w:rsidRDefault="00000000">
      <w:pPr>
        <w:pStyle w:val="Prrafodelista"/>
        <w:spacing w:before="120" w:after="120" w:line="360" w:lineRule="auto"/>
        <w:ind w:left="142"/>
        <w:contextualSpacing w:val="0"/>
        <w:jc w:val="both"/>
      </w:pPr>
      <w:r>
        <w:t xml:space="preserve">Los acuerdos y requisitos </w:t>
      </w:r>
      <w:r>
        <w:rPr>
          <w:rFonts w:cstheme="minorHAnsi"/>
        </w:rPr>
        <w:t>específicos</w:t>
      </w:r>
      <w:r>
        <w:t xml:space="preserve"> para la ejecución de las adquisiciones y contrataciones son:</w:t>
      </w:r>
    </w:p>
    <w:p w14:paraId="79A6BE27" w14:textId="77777777" w:rsidR="007B3093" w:rsidRDefault="00000000">
      <w:pPr>
        <w:pStyle w:val="Prrafodelista"/>
        <w:numPr>
          <w:ilvl w:val="1"/>
          <w:numId w:val="3"/>
        </w:numPr>
        <w:spacing w:after="0" w:line="360" w:lineRule="auto"/>
        <w:ind w:left="567"/>
        <w:jc w:val="both"/>
      </w:pPr>
      <w:r>
        <w:t xml:space="preserve">Adquisiciones de obras, bienes y servicios diferentes de consultoría, estarán generados bajo el proyecto y sujetos a Licitación Pública Internacional (LPI), serán en el marco del umbral previsto en la página www.iadb.org/procurement del Banco. </w:t>
      </w:r>
    </w:p>
    <w:p w14:paraId="0CD9E15F" w14:textId="77777777" w:rsidR="007B3093" w:rsidRDefault="00000000">
      <w:pPr>
        <w:pStyle w:val="Prrafodelista"/>
        <w:numPr>
          <w:ilvl w:val="1"/>
          <w:numId w:val="3"/>
        </w:numPr>
        <w:spacing w:after="0" w:line="360" w:lineRule="auto"/>
        <w:ind w:left="567"/>
        <w:jc w:val="both"/>
      </w:pPr>
      <w:r>
        <w:t xml:space="preserve">Selección y Contratación de Consultores, se ejecutarán utilizando la Solicitud Estándar de Propuestas (SEP) emitida o acordada con el Banco. De igual forma se identificarán los procesos de selección que serán contratados de forma directa. Para la selección y contratación de servicios de consultoría, se podrá utilizar cualquiera de los métodos descritos en las Políticas de Consultores, siempre que dicho método haya sido identificado para la respectiva contratación en el PA aprobado por el BID.  </w:t>
      </w:r>
    </w:p>
    <w:p w14:paraId="1DA7AF16" w14:textId="77777777" w:rsidR="007B3093" w:rsidRDefault="00000000">
      <w:pPr>
        <w:pStyle w:val="Prrafodelista"/>
        <w:numPr>
          <w:ilvl w:val="1"/>
          <w:numId w:val="3"/>
        </w:numPr>
        <w:spacing w:after="0" w:line="360" w:lineRule="auto"/>
        <w:ind w:left="567"/>
        <w:jc w:val="both"/>
      </w:pPr>
      <w:r>
        <w:t>Selección de los consultores individuales, la contratación de consultores individuales deberá seguir lo establecido en las Políticas de Consultores, GN-2350-15, Sección V, párrafos del 5.1 al 5.4. (GN-2350-09)</w:t>
      </w:r>
    </w:p>
    <w:p w14:paraId="44F4B3F6" w14:textId="77777777" w:rsidR="007B3093" w:rsidRDefault="00000000">
      <w:pPr>
        <w:pStyle w:val="Prrafodelista"/>
        <w:numPr>
          <w:ilvl w:val="1"/>
          <w:numId w:val="3"/>
        </w:numPr>
        <w:spacing w:after="0" w:line="360" w:lineRule="auto"/>
        <w:ind w:left="567"/>
        <w:jc w:val="both"/>
      </w:pPr>
      <w:r>
        <w:t xml:space="preserve">Uso de sistema nacional de adquisiciones, los procesos financiados totalmente (100%) con recursos de contrapartida local, se regirán íntegramente bajo lo dispuesto en la LOSNCP y su Reglamento. </w:t>
      </w:r>
    </w:p>
    <w:p w14:paraId="7AA8BD74" w14:textId="77777777" w:rsidR="007B3093" w:rsidRDefault="00000000">
      <w:pPr>
        <w:pStyle w:val="Prrafodelista"/>
        <w:numPr>
          <w:ilvl w:val="1"/>
          <w:numId w:val="3"/>
        </w:numPr>
        <w:spacing w:after="0" w:line="360" w:lineRule="auto"/>
        <w:ind w:left="567"/>
        <w:jc w:val="both"/>
      </w:pPr>
      <w:r>
        <w:lastRenderedPageBreak/>
        <w:t>Adquisiciones anticipadas y financiamiento retroactivo, el Banco podrá financiar retroactivamente con cargo a los recursos del préstamo, siempre que se hayan cumplido requisitos sustancialmente análogos a los establecidos en el contrato de préstamo.</w:t>
      </w:r>
    </w:p>
    <w:p w14:paraId="36790A38" w14:textId="77777777" w:rsidR="007B3093" w:rsidRDefault="00000000">
      <w:pPr>
        <w:pStyle w:val="Prrafodelista"/>
        <w:numPr>
          <w:ilvl w:val="1"/>
          <w:numId w:val="3"/>
        </w:numPr>
        <w:spacing w:before="120" w:after="0" w:line="360" w:lineRule="auto"/>
        <w:ind w:left="567"/>
        <w:jc w:val="both"/>
      </w:pPr>
      <w:r>
        <w:t>Preferencia nacional, las ofertas de bienes con origen en el país del prestatario tendrán una preferencia de precio equivalente al 15% en contratos sujetos a la LPI.</w:t>
      </w:r>
    </w:p>
    <w:p w14:paraId="5C89E294" w14:textId="77777777" w:rsidR="007B3093" w:rsidRDefault="007B3093">
      <w:pPr>
        <w:pStyle w:val="Prrafodelista"/>
        <w:spacing w:before="120" w:after="0" w:line="360" w:lineRule="auto"/>
        <w:ind w:left="567"/>
        <w:jc w:val="both"/>
      </w:pPr>
    </w:p>
    <w:p w14:paraId="30C6389C" w14:textId="77777777" w:rsidR="007B3093" w:rsidRDefault="00000000">
      <w:pPr>
        <w:pStyle w:val="Ttulo2"/>
        <w:numPr>
          <w:ilvl w:val="2"/>
          <w:numId w:val="93"/>
        </w:numPr>
        <w:spacing w:before="120" w:line="360" w:lineRule="auto"/>
        <w:ind w:left="993"/>
        <w:jc w:val="both"/>
        <w:rPr>
          <w:rFonts w:asciiTheme="minorHAnsi" w:hAnsiTheme="minorHAnsi" w:cstheme="minorHAnsi"/>
          <w:b/>
          <w:color w:val="auto"/>
          <w:sz w:val="22"/>
          <w:szCs w:val="22"/>
          <w:lang w:eastAsia="es-EC"/>
        </w:rPr>
      </w:pPr>
      <w:bookmarkStart w:id="37" w:name="_Toc195010066"/>
      <w:r>
        <w:rPr>
          <w:rFonts w:asciiTheme="minorHAnsi" w:hAnsiTheme="minorHAnsi" w:cstheme="minorHAnsi"/>
          <w:b/>
          <w:color w:val="auto"/>
          <w:sz w:val="22"/>
          <w:szCs w:val="22"/>
          <w:lang w:eastAsia="es-EC"/>
        </w:rPr>
        <w:t>Descripción de la ingeniería del Proyecto</w:t>
      </w:r>
      <w:bookmarkEnd w:id="37"/>
    </w:p>
    <w:p w14:paraId="3F768147" w14:textId="77777777" w:rsidR="007B3093" w:rsidRDefault="00000000">
      <w:pPr>
        <w:pStyle w:val="Prrafodelista"/>
        <w:spacing w:before="120" w:after="120" w:line="360" w:lineRule="auto"/>
        <w:ind w:left="142"/>
        <w:contextualSpacing w:val="0"/>
        <w:jc w:val="both"/>
      </w:pPr>
      <w:r>
        <w:t>El proyecto de Fortalecimiento Institucional de la PGE plantea cinco componentes que permitirán alcanzar el mejoramiento en la asesoría, control y defensa del Estado a nivel nacional e internacional:</w:t>
      </w:r>
    </w:p>
    <w:p w14:paraId="404A5B02" w14:textId="77777777" w:rsidR="007B3093" w:rsidRDefault="00000000">
      <w:pPr>
        <w:pStyle w:val="Prrafodelista"/>
        <w:spacing w:before="120" w:after="120" w:line="360" w:lineRule="auto"/>
        <w:ind w:left="142"/>
        <w:contextualSpacing w:val="0"/>
        <w:jc w:val="both"/>
      </w:pPr>
      <w:r>
        <w:rPr>
          <w:b/>
          <w:bCs/>
        </w:rPr>
        <w:t xml:space="preserve">Componente 1.- Diseñar e implementar el modelo de gestión de la </w:t>
      </w:r>
      <w:proofErr w:type="gramStart"/>
      <w:r>
        <w:rPr>
          <w:b/>
          <w:bCs/>
        </w:rPr>
        <w:t>PGE.-</w:t>
      </w:r>
      <w:proofErr w:type="gramEnd"/>
      <w:r>
        <w:t xml:space="preserve"> Realizar un diagnóstico integral en profundidad hasta llegar a una propuesta de modelo de gestión de la PGE e instrumentos para su redefinición, el cual contiene actividades como: formulación del plan de gestión del cambio, un sistema informático integrado y fortalecer el hardware para soportar el nuevo sistema integrado.</w:t>
      </w:r>
    </w:p>
    <w:p w14:paraId="7F9229E0" w14:textId="77777777" w:rsidR="007B3093" w:rsidRDefault="00000000">
      <w:pPr>
        <w:pStyle w:val="Prrafodelista"/>
        <w:spacing w:before="120" w:after="120" w:line="360" w:lineRule="auto"/>
        <w:ind w:left="142"/>
        <w:contextualSpacing w:val="0"/>
        <w:jc w:val="both"/>
      </w:pPr>
      <w:r>
        <w:rPr>
          <w:b/>
          <w:bCs/>
        </w:rPr>
        <w:t>Componente 2.- Fortalecer la defensa legal del Estado. -</w:t>
      </w:r>
      <w:r>
        <w:t xml:space="preserve"> Este componente apoya la gestión de las áreas de patrocinio, asuntos internacionales y derechos humanos, mediante capacitación a los funcionarios en temas jurídicos y gestión de casos orales, así como jurisprudencia internacional, mejorar la coordinación interinstitucional para la defensa de casos y el acceso a bases de datos especializadas en temas jurídicos.</w:t>
      </w:r>
    </w:p>
    <w:p w14:paraId="255D6186" w14:textId="77777777" w:rsidR="007B3093" w:rsidRDefault="00000000">
      <w:pPr>
        <w:pStyle w:val="Prrafodelista"/>
        <w:spacing w:before="120" w:after="120" w:line="360" w:lineRule="auto"/>
        <w:ind w:left="142"/>
        <w:contextualSpacing w:val="0"/>
        <w:jc w:val="both"/>
      </w:pPr>
      <w:r>
        <w:rPr>
          <w:b/>
          <w:bCs/>
        </w:rPr>
        <w:t xml:space="preserve">Componente 3.- Fortalecer la capacidad de control, consultoría y asesoría legal de la </w:t>
      </w:r>
      <w:proofErr w:type="gramStart"/>
      <w:r>
        <w:rPr>
          <w:b/>
          <w:bCs/>
        </w:rPr>
        <w:t>PGE.-</w:t>
      </w:r>
      <w:proofErr w:type="gramEnd"/>
      <w:r>
        <w:t xml:space="preserve"> Este componente mejora la gestión de las áreas de consultoría y control de la legalidad, generando un sistema informático para brindar asesoría Legal a Organismos del Estado, y capacitando a organismos del Estado y Municipios para la formulación adecuada de sus consultas.</w:t>
      </w:r>
    </w:p>
    <w:p w14:paraId="0A7321EE" w14:textId="77777777" w:rsidR="007B3093" w:rsidRDefault="00000000">
      <w:pPr>
        <w:pStyle w:val="Prrafodelista"/>
        <w:spacing w:before="120" w:after="120" w:line="360" w:lineRule="auto"/>
        <w:ind w:left="142"/>
        <w:contextualSpacing w:val="0"/>
        <w:jc w:val="both"/>
      </w:pPr>
      <w:r>
        <w:rPr>
          <w:b/>
          <w:bCs/>
        </w:rPr>
        <w:t>Componente 4.- Fortalecer los Centros de Mediación de la PGE. -</w:t>
      </w:r>
      <w:r>
        <w:t xml:space="preserve"> Readecuaciones menores de espacios físicos de los centros de mediación de la PGE a nivel nacional, mediante dotación de mobiliario y equipos.</w:t>
      </w:r>
    </w:p>
    <w:p w14:paraId="7DE96F8A" w14:textId="77777777" w:rsidR="007B3093" w:rsidRDefault="00000000">
      <w:pPr>
        <w:pStyle w:val="Prrafodelista"/>
        <w:spacing w:before="120" w:after="120" w:line="360" w:lineRule="auto"/>
        <w:ind w:left="142"/>
        <w:contextualSpacing w:val="0"/>
        <w:jc w:val="both"/>
      </w:pPr>
      <w:r>
        <w:rPr>
          <w:b/>
          <w:bCs/>
        </w:rPr>
        <w:t>Componente 5.- Diseñar e implementar la estrategia de comunicación de la PGE.</w:t>
      </w:r>
      <w:r>
        <w:t xml:space="preserve"> - Posicionar y difundir el trabajo de la PGE, es el objetivo de este componente, mediante el diseño de una </w:t>
      </w:r>
      <w:r>
        <w:lastRenderedPageBreak/>
        <w:t>estrategia de comunicación, capacitación en herramientas comunicacionales, desarrollo de materiales de difusión y encuestas de percepción a la ciudadanía.</w:t>
      </w:r>
    </w:p>
    <w:p w14:paraId="7F68F74B" w14:textId="77777777" w:rsidR="007B3093" w:rsidRDefault="007B3093">
      <w:pPr>
        <w:spacing w:before="120" w:after="120" w:line="360" w:lineRule="auto"/>
        <w:jc w:val="both"/>
      </w:pPr>
    </w:p>
    <w:p w14:paraId="78E3E351" w14:textId="77777777" w:rsidR="007B3093" w:rsidRDefault="00000000">
      <w:pPr>
        <w:pStyle w:val="Prrafodelista"/>
        <w:spacing w:before="120" w:after="120" w:line="360" w:lineRule="auto"/>
        <w:ind w:left="142"/>
        <w:contextualSpacing w:val="0"/>
        <w:jc w:val="both"/>
      </w:pPr>
      <w:r>
        <w:t>Es importante mencionar que existen actividades relacionadas del proyecto, que, a pesar de pertenecer a diferentes componentes, han sido consolidadas en las siguientes estrategias:</w:t>
      </w:r>
    </w:p>
    <w:p w14:paraId="599489FE" w14:textId="77777777" w:rsidR="007B3093" w:rsidRDefault="00000000">
      <w:pPr>
        <w:pStyle w:val="Prrafodelista"/>
        <w:numPr>
          <w:ilvl w:val="0"/>
          <w:numId w:val="47"/>
        </w:numPr>
        <w:spacing w:before="120" w:after="120" w:line="360" w:lineRule="auto"/>
        <w:contextualSpacing w:val="0"/>
        <w:jc w:val="both"/>
      </w:pPr>
      <w:r>
        <w:t>Estrategia Institucional</w:t>
      </w:r>
    </w:p>
    <w:p w14:paraId="327EC0F2" w14:textId="77777777" w:rsidR="007B3093" w:rsidRDefault="00000000">
      <w:pPr>
        <w:pStyle w:val="Prrafodelista"/>
        <w:numPr>
          <w:ilvl w:val="0"/>
          <w:numId w:val="47"/>
        </w:numPr>
        <w:spacing w:before="120" w:after="120" w:line="360" w:lineRule="auto"/>
        <w:contextualSpacing w:val="0"/>
        <w:jc w:val="both"/>
      </w:pPr>
      <w:r>
        <w:t>Estrategia Orgánica Funcional</w:t>
      </w:r>
    </w:p>
    <w:p w14:paraId="43BCDE6D" w14:textId="77777777" w:rsidR="007B3093" w:rsidRDefault="00000000">
      <w:pPr>
        <w:pStyle w:val="Prrafodelista"/>
        <w:numPr>
          <w:ilvl w:val="0"/>
          <w:numId w:val="47"/>
        </w:numPr>
        <w:spacing w:before="120" w:after="120" w:line="360" w:lineRule="auto"/>
        <w:contextualSpacing w:val="0"/>
        <w:jc w:val="both"/>
      </w:pPr>
      <w:r>
        <w:t>Talento Humano</w:t>
      </w:r>
    </w:p>
    <w:p w14:paraId="3FADE59F" w14:textId="77777777" w:rsidR="007B3093" w:rsidRDefault="00000000">
      <w:pPr>
        <w:pStyle w:val="Prrafodelista"/>
        <w:numPr>
          <w:ilvl w:val="0"/>
          <w:numId w:val="47"/>
        </w:numPr>
        <w:spacing w:before="120" w:after="120" w:line="360" w:lineRule="auto"/>
        <w:contextualSpacing w:val="0"/>
        <w:jc w:val="both"/>
      </w:pPr>
      <w:r>
        <w:t>Infraestructura Tecnológica y Equipamiento</w:t>
      </w:r>
    </w:p>
    <w:p w14:paraId="0D4EDF6E" w14:textId="77777777" w:rsidR="007B3093" w:rsidRDefault="00000000">
      <w:pPr>
        <w:pStyle w:val="Prrafodelista"/>
        <w:numPr>
          <w:ilvl w:val="0"/>
          <w:numId w:val="47"/>
        </w:numPr>
        <w:spacing w:before="120" w:after="120" w:line="360" w:lineRule="auto"/>
        <w:contextualSpacing w:val="0"/>
        <w:jc w:val="both"/>
      </w:pPr>
      <w:r>
        <w:t>Estrategia Financiera para la Procuraduría General del Estado</w:t>
      </w:r>
    </w:p>
    <w:p w14:paraId="25DE2A32" w14:textId="77777777" w:rsidR="007B3093" w:rsidRDefault="00000000">
      <w:pPr>
        <w:pStyle w:val="Prrafodelista"/>
        <w:numPr>
          <w:ilvl w:val="0"/>
          <w:numId w:val="47"/>
        </w:numPr>
        <w:spacing w:before="120" w:after="120" w:line="360" w:lineRule="auto"/>
        <w:contextualSpacing w:val="0"/>
        <w:jc w:val="both"/>
      </w:pPr>
      <w:r>
        <w:t>Estrategia de Comunicación</w:t>
      </w:r>
    </w:p>
    <w:p w14:paraId="57059296" w14:textId="77777777" w:rsidR="007B3093" w:rsidRDefault="007B3093">
      <w:pPr>
        <w:pStyle w:val="Prrafodelista"/>
        <w:spacing w:before="120" w:after="120" w:line="360" w:lineRule="auto"/>
        <w:ind w:left="142" w:firstLine="425"/>
        <w:contextualSpacing w:val="0"/>
        <w:jc w:val="both"/>
      </w:pPr>
    </w:p>
    <w:p w14:paraId="0BD556D8" w14:textId="77777777" w:rsidR="007B3093" w:rsidRDefault="00000000">
      <w:pPr>
        <w:pStyle w:val="Ttulo2"/>
        <w:numPr>
          <w:ilvl w:val="3"/>
          <w:numId w:val="93"/>
        </w:numPr>
        <w:spacing w:before="0" w:line="360" w:lineRule="auto"/>
        <w:ind w:left="1134"/>
        <w:rPr>
          <w:rFonts w:asciiTheme="minorHAnsi" w:hAnsiTheme="minorHAnsi" w:cstheme="minorHAnsi"/>
          <w:b/>
          <w:color w:val="auto"/>
          <w:sz w:val="22"/>
          <w:szCs w:val="22"/>
        </w:rPr>
      </w:pPr>
      <w:bookmarkStart w:id="38" w:name="_Toc1089450"/>
      <w:bookmarkStart w:id="39" w:name="_Toc195010067"/>
      <w:r>
        <w:rPr>
          <w:rFonts w:asciiTheme="minorHAnsi" w:hAnsiTheme="minorHAnsi" w:cstheme="minorHAnsi"/>
          <w:b/>
          <w:color w:val="auto"/>
          <w:sz w:val="22"/>
          <w:szCs w:val="22"/>
        </w:rPr>
        <w:t>Estrategia Institucional</w:t>
      </w:r>
      <w:bookmarkEnd w:id="38"/>
      <w:bookmarkEnd w:id="39"/>
    </w:p>
    <w:p w14:paraId="1271417D" w14:textId="77777777" w:rsidR="007B3093" w:rsidRDefault="00000000">
      <w:pPr>
        <w:pStyle w:val="Prrafodelista"/>
        <w:spacing w:before="120" w:after="120" w:line="360" w:lineRule="auto"/>
        <w:ind w:left="142"/>
        <w:contextualSpacing w:val="0"/>
        <w:jc w:val="both"/>
        <w:rPr>
          <w:rFonts w:cstheme="minorHAnsi"/>
        </w:rPr>
      </w:pPr>
      <w:r>
        <w:rPr>
          <w:rFonts w:cstheme="minorHAnsi"/>
        </w:rPr>
        <w:t>En el año 2018, la Contraloría General del Estado ejecutó la revisión de las recomendaciones del Informe 11962-4-2014</w:t>
      </w:r>
      <w:r>
        <w:rPr>
          <w:rFonts w:cstheme="minorHAnsi"/>
          <w:i/>
        </w:rPr>
        <w:t xml:space="preserve"> “Examen especial al seguimiento del Plan Operativo Anual 2013”, </w:t>
      </w:r>
      <w:r>
        <w:rPr>
          <w:rFonts w:cstheme="minorHAnsi"/>
        </w:rPr>
        <w:t>realizado a la Procuraduría General del Estado, en su gestión entre septiembre de 2013 y julio de 2017. En su informe se establecen errores y omisiones en el ámbito del uso de indicadores que habían restringido los resultados que la Procuraduría General del Estado podría haber obtenido</w:t>
      </w:r>
      <w:r>
        <w:rPr>
          <w:vertAlign w:val="superscript"/>
        </w:rPr>
        <w:footnoteReference w:id="8"/>
      </w:r>
      <w:r>
        <w:rPr>
          <w:rFonts w:cstheme="minorHAnsi"/>
        </w:rPr>
        <w:t>.</w:t>
      </w:r>
    </w:p>
    <w:p w14:paraId="1DEA018C" w14:textId="77777777" w:rsidR="007B3093" w:rsidRDefault="00000000">
      <w:pPr>
        <w:pStyle w:val="Prrafodelista"/>
        <w:spacing w:before="120" w:after="120" w:line="360" w:lineRule="auto"/>
        <w:ind w:left="142"/>
        <w:contextualSpacing w:val="0"/>
        <w:jc w:val="both"/>
        <w:rPr>
          <w:rFonts w:cstheme="minorHAnsi"/>
        </w:rPr>
      </w:pPr>
      <w:r>
        <w:rPr>
          <w:rFonts w:cstheme="minorHAnsi"/>
        </w:rPr>
        <w:t>La problemática del párrafo anterior, es un reflejo sintomático de la carencia más grande en la gestión de la Procuraduría General del Estado: el establecimiento de una estrategia institucional, los resultados que se busca (impactos), y una carencia en la búsqueda de una solución de generación de “valor público”: “que</w:t>
      </w:r>
      <w:r>
        <w:rPr>
          <w:rFonts w:cstheme="minorHAnsi"/>
          <w:i/>
        </w:rPr>
        <w:t xml:space="preserve"> refiere a los cambios sociales observables y susceptibles de medición que el Estado realiza como respuesta a las necesidades o demandas sociales establecidas mediante un proceso de legitimación democrática y, por tanto, con sentido para la ciudadanía</w:t>
      </w:r>
      <w:r>
        <w:rPr>
          <w:rFonts w:cstheme="minorHAnsi"/>
        </w:rPr>
        <w:t>”</w:t>
      </w:r>
      <w:r>
        <w:rPr>
          <w:rStyle w:val="Refdenotaalpie"/>
          <w:rFonts w:cstheme="minorHAnsi"/>
        </w:rPr>
        <w:footnoteReference w:id="9"/>
      </w:r>
      <w:r>
        <w:rPr>
          <w:rFonts w:cstheme="minorHAnsi"/>
        </w:rPr>
        <w:t>.</w:t>
      </w:r>
    </w:p>
    <w:p w14:paraId="354A26FC" w14:textId="77777777" w:rsidR="007B3093" w:rsidRDefault="00000000">
      <w:pPr>
        <w:pStyle w:val="Prrafodelista"/>
        <w:spacing w:before="120" w:after="120" w:line="360" w:lineRule="auto"/>
        <w:ind w:left="142"/>
        <w:contextualSpacing w:val="0"/>
        <w:jc w:val="both"/>
        <w:rPr>
          <w:rFonts w:cstheme="minorHAnsi"/>
        </w:rPr>
      </w:pPr>
      <w:r>
        <w:rPr>
          <w:rFonts w:cstheme="minorHAnsi"/>
        </w:rPr>
        <w:lastRenderedPageBreak/>
        <w:t>Para poder entender el elemento clave que representa para una institución el “valor público, cabe destacar cómo una entidad puede crearlo a través de las fuentes de donde este procede. Así, en la Tabla No. 16 se presentan estas fuentes:</w:t>
      </w:r>
    </w:p>
    <w:p w14:paraId="78C66431" w14:textId="77777777" w:rsidR="007B3093" w:rsidRDefault="00000000">
      <w:pPr>
        <w:spacing w:after="0" w:line="360" w:lineRule="auto"/>
        <w:contextualSpacing/>
        <w:jc w:val="center"/>
        <w:rPr>
          <w:rFonts w:cstheme="minorHAnsi"/>
          <w:b/>
        </w:rPr>
      </w:pPr>
      <w:r>
        <w:rPr>
          <w:rFonts w:cstheme="minorHAnsi"/>
          <w:b/>
        </w:rPr>
        <w:t>Tabla 16: Fuentes para la creación de “Valor Público”.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5A5C3F40" w14:textId="77777777">
        <w:tc>
          <w:tcPr>
            <w:tcW w:w="8494" w:type="dxa"/>
            <w:shd w:val="clear" w:color="auto" w:fill="222A35" w:themeFill="text2" w:themeFillShade="80"/>
          </w:tcPr>
          <w:p w14:paraId="6DFE930D" w14:textId="77777777" w:rsidR="007B3093" w:rsidRDefault="00000000">
            <w:pPr>
              <w:contextualSpacing/>
              <w:jc w:val="both"/>
              <w:rPr>
                <w:rFonts w:cstheme="minorHAnsi"/>
              </w:rPr>
            </w:pPr>
            <w:r>
              <w:rPr>
                <w:rFonts w:cstheme="minorHAnsi"/>
              </w:rPr>
              <w:t>Fuentes de “Valor Público”:</w:t>
            </w:r>
          </w:p>
        </w:tc>
      </w:tr>
      <w:tr w:rsidR="007B3093" w14:paraId="55A5BFC0" w14:textId="77777777">
        <w:tc>
          <w:tcPr>
            <w:tcW w:w="8494" w:type="dxa"/>
          </w:tcPr>
          <w:p w14:paraId="1FF358E3" w14:textId="77777777" w:rsidR="007B3093" w:rsidRDefault="00000000">
            <w:pPr>
              <w:contextualSpacing/>
              <w:jc w:val="both"/>
              <w:rPr>
                <w:rFonts w:cstheme="minorHAnsi"/>
              </w:rPr>
            </w:pPr>
            <w:r>
              <w:rPr>
                <w:rFonts w:cstheme="minorHAnsi"/>
                <w:b/>
              </w:rPr>
              <w:t>1. Valor creado por los servicios:</w:t>
            </w:r>
            <w:r>
              <w:rPr>
                <w:rFonts w:cstheme="minorHAnsi"/>
              </w:rPr>
              <w:t xml:space="preserve"> Los ciudadanos derivan beneficios del uso personal de servicios públicos en una lógica similar a los beneficios derivados del consumo de aquellos comprados del sector privado. La satisfacción del usuario es crítica para el valor público, y se evidencia que la satisfacción es mayor en servicios considerados como importantes por los usuarios, para lo cual se requiere de ciudadanos empoderados e informados.</w:t>
            </w:r>
          </w:p>
        </w:tc>
      </w:tr>
      <w:tr w:rsidR="007B3093" w14:paraId="45A8E507" w14:textId="77777777">
        <w:tc>
          <w:tcPr>
            <w:tcW w:w="8494" w:type="dxa"/>
          </w:tcPr>
          <w:p w14:paraId="52BA06EF" w14:textId="77777777" w:rsidR="007B3093" w:rsidRDefault="00000000">
            <w:pPr>
              <w:contextualSpacing/>
              <w:jc w:val="both"/>
              <w:rPr>
                <w:rFonts w:cstheme="minorHAnsi"/>
              </w:rPr>
            </w:pPr>
            <w:r>
              <w:rPr>
                <w:rFonts w:cstheme="minorHAnsi"/>
                <w:b/>
              </w:rPr>
              <w:t xml:space="preserve">2. Valor creado por los resultados (impacto): </w:t>
            </w:r>
            <w:r>
              <w:rPr>
                <w:rFonts w:cstheme="minorHAnsi"/>
              </w:rPr>
              <w:t>Los impactos están directamente ligados a los servicios, llegando en algunos casos a confundirse o traslaparse; sin embargo, deben medirse y manejarse de diferente manera. El impacto puede llegar a ser el valor más esperado por la sociedad respecto de su gobierno, lo que no significa que la sociedad decida o defina cómo debe ser alcanzado dicho valor. Por ejemplo: la disminución del desempleo es un impacto esperado por la sociedad; la forma en que el Gobierno resuelve el problema se transforma en el propio bien o servicio. La decisión que el Gobierno tome y los efectos de dicha decisión determinarán la agregación de valor, o no, según sea el caso.</w:t>
            </w:r>
          </w:p>
        </w:tc>
      </w:tr>
      <w:tr w:rsidR="007B3093" w14:paraId="3B946C4F" w14:textId="77777777">
        <w:tc>
          <w:tcPr>
            <w:tcW w:w="8494" w:type="dxa"/>
          </w:tcPr>
          <w:p w14:paraId="7B670E16" w14:textId="77777777" w:rsidR="007B3093" w:rsidRDefault="00000000">
            <w:pPr>
              <w:contextualSpacing/>
              <w:jc w:val="both"/>
              <w:rPr>
                <w:rFonts w:cstheme="minorHAnsi"/>
              </w:rPr>
            </w:pPr>
            <w:r>
              <w:rPr>
                <w:rFonts w:cstheme="minorHAnsi"/>
                <w:b/>
              </w:rPr>
              <w:t>3. Valor creado por la confianza y la legitimidad:</w:t>
            </w:r>
            <w:r>
              <w:rPr>
                <w:rFonts w:cstheme="minorHAnsi"/>
              </w:rPr>
              <w:t xml:space="preserve"> La confianza se convierte en el centro de la relación entre los ciudadanos y el Gobierno. Vivir en un Estado organizado, democrático y justo, donde las autoridades cumplen sus promesas y obligaciones, desenvolviéndose con corrección y pulcritud administrativa, ofrece beneficios adicionales a cualquier mejora que se produzca en la calidad de las políticas medida por resultados. Alienta un sentimiento de pertenencia, reduce el resentimiento hacia las acciones del Gobierno (legitimidad) y aumenta la confianza en que el Estado tomará con mayor probabilidad las mejores decisiones.</w:t>
            </w:r>
          </w:p>
        </w:tc>
      </w:tr>
    </w:tbl>
    <w:p w14:paraId="480BF887" w14:textId="77777777" w:rsidR="007B3093" w:rsidRDefault="00000000">
      <w:pPr>
        <w:spacing w:after="0" w:line="360" w:lineRule="auto"/>
        <w:ind w:firstLine="142"/>
        <w:contextualSpacing/>
        <w:rPr>
          <w:rFonts w:cstheme="minorHAnsi"/>
          <w:b/>
        </w:rPr>
      </w:pPr>
      <w:r>
        <w:rPr>
          <w:rFonts w:cstheme="minorHAnsi"/>
          <w:b/>
          <w:sz w:val="20"/>
        </w:rPr>
        <w:t>FUENTE:</w:t>
      </w:r>
      <w:r>
        <w:rPr>
          <w:rFonts w:cstheme="minorHAnsi"/>
        </w:rPr>
        <w:t xml:space="preserve"> </w:t>
      </w:r>
      <w:r>
        <w:rPr>
          <w:rFonts w:cstheme="minorHAnsi"/>
          <w:b/>
        </w:rPr>
        <w:t>García (2015: p. 5).</w:t>
      </w:r>
    </w:p>
    <w:p w14:paraId="0E4A271E" w14:textId="77777777" w:rsidR="007B3093" w:rsidRDefault="007B3093">
      <w:pPr>
        <w:spacing w:after="0" w:line="360" w:lineRule="auto"/>
        <w:ind w:firstLine="142"/>
        <w:contextualSpacing/>
        <w:rPr>
          <w:rFonts w:cstheme="minorHAnsi"/>
          <w:b/>
          <w:sz w:val="20"/>
        </w:rPr>
      </w:pPr>
    </w:p>
    <w:p w14:paraId="4DCB55BB" w14:textId="77777777" w:rsidR="007B3093" w:rsidRDefault="00000000">
      <w:pPr>
        <w:spacing w:after="0" w:line="360" w:lineRule="auto"/>
        <w:ind w:firstLine="142"/>
        <w:contextualSpacing/>
        <w:rPr>
          <w:rFonts w:cstheme="minorHAnsi"/>
          <w:b/>
        </w:rPr>
      </w:pPr>
      <w:r>
        <w:rPr>
          <w:rFonts w:cstheme="minorHAnsi"/>
          <w:b/>
          <w:sz w:val="20"/>
        </w:rPr>
        <w:t>Elaboración: Consultoría para el Fortalecimiento de la Gestión Institucional de la PGE.</w:t>
      </w:r>
    </w:p>
    <w:p w14:paraId="0CA4CABE" w14:textId="77777777" w:rsidR="007B3093" w:rsidRDefault="007B3093">
      <w:pPr>
        <w:pStyle w:val="Prrafodelista"/>
        <w:spacing w:before="120" w:after="120" w:line="360" w:lineRule="auto"/>
        <w:ind w:left="142"/>
        <w:contextualSpacing w:val="0"/>
        <w:jc w:val="both"/>
        <w:rPr>
          <w:rFonts w:cstheme="minorHAnsi"/>
        </w:rPr>
      </w:pPr>
    </w:p>
    <w:p w14:paraId="29028C67" w14:textId="77777777" w:rsidR="007B3093" w:rsidRDefault="00000000">
      <w:pPr>
        <w:pStyle w:val="Prrafodelista"/>
        <w:spacing w:before="120" w:after="120" w:line="360" w:lineRule="auto"/>
        <w:ind w:left="142"/>
        <w:contextualSpacing w:val="0"/>
        <w:jc w:val="both"/>
        <w:rPr>
          <w:rFonts w:cstheme="minorHAnsi"/>
        </w:rPr>
      </w:pPr>
      <w:r>
        <w:rPr>
          <w:rFonts w:cstheme="minorHAnsi"/>
        </w:rPr>
        <w:t>El valor público se relaciona con elementos del mapa estratégico institucional: el mandato, la misión y la visión institucionales; estas últimas forman un conjunto que representa lo importante que es concebirlas juntas en el marco de la gestión estratégica</w:t>
      </w:r>
      <w:r>
        <w:rPr>
          <w:vertAlign w:val="superscript"/>
        </w:rPr>
        <w:footnoteReference w:id="10"/>
      </w:r>
      <w:r>
        <w:rPr>
          <w:rFonts w:cstheme="minorHAnsi"/>
        </w:rPr>
        <w:t>.</w:t>
      </w:r>
    </w:p>
    <w:p w14:paraId="61D119CB" w14:textId="77777777" w:rsidR="007B3093" w:rsidRDefault="007B3093">
      <w:pPr>
        <w:pStyle w:val="Prrafodelista"/>
        <w:spacing w:before="120" w:after="120" w:line="360" w:lineRule="auto"/>
        <w:ind w:left="142"/>
        <w:contextualSpacing w:val="0"/>
        <w:jc w:val="both"/>
        <w:rPr>
          <w:rFonts w:cstheme="minorHAnsi"/>
        </w:rPr>
      </w:pPr>
    </w:p>
    <w:p w14:paraId="2DD75A70"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En las instituciones que promueven la generación de valor público, la misión y la visión necesariamente se refieren al valor que se genera para la sociedad, o sea, los beneficios que </w:t>
      </w:r>
      <w:r>
        <w:rPr>
          <w:rFonts w:cstheme="minorHAnsi"/>
        </w:rPr>
        <w:lastRenderedPageBreak/>
        <w:t>se proponen generar sobre las condiciones de vida de diversos segmentos de la población; por tanto, la misión y la visión expresan el “para qué”.</w:t>
      </w:r>
      <w:r>
        <w:rPr>
          <w:vertAlign w:val="superscript"/>
        </w:rPr>
        <w:footnoteReference w:id="11"/>
      </w:r>
    </w:p>
    <w:p w14:paraId="39B53E6C" w14:textId="77777777" w:rsidR="007B3093" w:rsidRDefault="007B3093">
      <w:pPr>
        <w:pStyle w:val="Prrafodelista"/>
        <w:spacing w:before="120" w:after="120" w:line="360" w:lineRule="auto"/>
        <w:ind w:left="142"/>
        <w:contextualSpacing w:val="0"/>
        <w:jc w:val="both"/>
        <w:rPr>
          <w:rFonts w:cstheme="minorHAnsi"/>
        </w:rPr>
      </w:pPr>
    </w:p>
    <w:p w14:paraId="792896DD"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En el caso específico de la Procuraduría General del Estado, si bien se presentan en los documentos formales textos para su misión y visión, se requiere reformularlas. </w:t>
      </w:r>
      <w:proofErr w:type="gramStart"/>
      <w:r>
        <w:rPr>
          <w:rFonts w:cstheme="minorHAnsi"/>
        </w:rPr>
        <w:t>De acuerdo a</w:t>
      </w:r>
      <w:proofErr w:type="gramEnd"/>
      <w:r>
        <w:rPr>
          <w:rFonts w:cstheme="minorHAnsi"/>
        </w:rPr>
        <w:t xml:space="preserve"> lo establecido en esta sección, se justifican las evaluaciones estudios y consultorías que partiendo de las competencias otorgadas a la Procuraduría General del Estado </w:t>
      </w:r>
      <w:proofErr w:type="gramStart"/>
      <w:r>
        <w:rPr>
          <w:rFonts w:cstheme="minorHAnsi"/>
        </w:rPr>
        <w:t>de acuerdo al</w:t>
      </w:r>
      <w:proofErr w:type="gramEnd"/>
      <w:r>
        <w:rPr>
          <w:rFonts w:cstheme="minorHAnsi"/>
        </w:rPr>
        <w:t xml:space="preserve"> marco legal vigente (mandato), ayuden a sus gestores públicos (directivos) a concebir el “para qué”, que la ciudadanía (y sus clientes externos) demanda a la institución. </w:t>
      </w:r>
    </w:p>
    <w:p w14:paraId="25309020" w14:textId="77777777" w:rsidR="007B3093" w:rsidRDefault="007B3093">
      <w:pPr>
        <w:pStyle w:val="Prrafodelista"/>
        <w:spacing w:before="120" w:after="120" w:line="360" w:lineRule="auto"/>
        <w:ind w:left="142"/>
        <w:contextualSpacing w:val="0"/>
        <w:jc w:val="both"/>
        <w:rPr>
          <w:rFonts w:cstheme="minorHAnsi"/>
        </w:rPr>
      </w:pPr>
    </w:p>
    <w:p w14:paraId="5315EE92" w14:textId="77777777" w:rsidR="007B3093" w:rsidRDefault="00000000">
      <w:pPr>
        <w:pStyle w:val="Prrafodelista"/>
        <w:spacing w:before="120" w:after="120" w:line="360" w:lineRule="auto"/>
        <w:ind w:left="142"/>
        <w:contextualSpacing w:val="0"/>
        <w:jc w:val="both"/>
        <w:rPr>
          <w:rFonts w:cstheme="minorHAnsi"/>
        </w:rPr>
      </w:pPr>
      <w:r>
        <w:rPr>
          <w:rFonts w:cstheme="minorHAnsi"/>
        </w:rPr>
        <w:t>Establecida la estrategia, se requiere alinear a esta la gestión operativa institucional, a través de servicios y consultorías destinadas a aplicar la Gestión para Resultados, que “es un marco conceptual cuya función es la de facilitar a las organizaciones públicas la dirección efectiva e integrada de su proceso de creación de valor público, a fin de optimizarlo asegurando la máxima eficacia, eficiencia y efectividad de su desempeño, la consecución de los objetivos de gobierno y la mejora continua de sus instituciones.”</w:t>
      </w:r>
      <w:r>
        <w:rPr>
          <w:vertAlign w:val="superscript"/>
        </w:rPr>
        <w:footnoteReference w:id="12"/>
      </w:r>
      <w:r>
        <w:rPr>
          <w:rFonts w:cstheme="minorHAnsi"/>
        </w:rPr>
        <w:t xml:space="preserve"> De esta forma la gestión de la entidad se orientará a la consecución de los resultados y las metas establecidos previamente a través de la estrategia institucional. </w:t>
      </w:r>
    </w:p>
    <w:p w14:paraId="0B6E33CE" w14:textId="77777777" w:rsidR="007B3093" w:rsidRDefault="007B3093">
      <w:pPr>
        <w:pStyle w:val="Prrafodelista"/>
        <w:spacing w:before="120" w:after="120" w:line="360" w:lineRule="auto"/>
        <w:ind w:left="142"/>
        <w:contextualSpacing w:val="0"/>
        <w:jc w:val="both"/>
        <w:rPr>
          <w:rFonts w:cstheme="minorHAnsi"/>
        </w:rPr>
      </w:pPr>
    </w:p>
    <w:p w14:paraId="1DC6145E" w14:textId="77777777" w:rsidR="007B3093" w:rsidRDefault="00000000">
      <w:pPr>
        <w:pStyle w:val="Prrafodelista"/>
        <w:spacing w:before="120" w:after="120" w:line="360" w:lineRule="auto"/>
        <w:ind w:left="142"/>
        <w:contextualSpacing w:val="0"/>
        <w:jc w:val="both"/>
        <w:rPr>
          <w:rFonts w:cstheme="minorHAnsi"/>
        </w:rPr>
      </w:pPr>
      <w:r>
        <w:rPr>
          <w:rFonts w:cstheme="minorHAnsi"/>
        </w:rPr>
        <w:t>Las tareas del proyecto que corresponden a la Estrategia Institucional, el cambio de cultura institucional y el aumento de cobertura son:</w:t>
      </w:r>
    </w:p>
    <w:p w14:paraId="53082C45" w14:textId="77777777" w:rsidR="007B3093" w:rsidRDefault="00000000">
      <w:pPr>
        <w:autoSpaceDE w:val="0"/>
        <w:autoSpaceDN w:val="0"/>
        <w:adjustRightInd w:val="0"/>
        <w:spacing w:after="0" w:line="360" w:lineRule="auto"/>
        <w:jc w:val="center"/>
        <w:rPr>
          <w:rFonts w:cstheme="minorHAnsi"/>
          <w:b/>
          <w:bCs/>
          <w:lang w:eastAsia="es-EC"/>
        </w:rPr>
      </w:pPr>
      <w:r>
        <w:rPr>
          <w:rFonts w:cstheme="minorHAnsi"/>
          <w:b/>
          <w:bCs/>
          <w:lang w:eastAsia="es-EC"/>
        </w:rPr>
        <w:t>Tabla 17: Tareas correspondientes a la Estrategia Institucional</w:t>
      </w:r>
    </w:p>
    <w:tbl>
      <w:tblPr>
        <w:tblW w:w="9600" w:type="dxa"/>
        <w:tblCellMar>
          <w:left w:w="70" w:type="dxa"/>
          <w:right w:w="70" w:type="dxa"/>
        </w:tblCellMar>
        <w:tblLook w:val="04A0" w:firstRow="1" w:lastRow="0" w:firstColumn="1" w:lastColumn="0" w:noHBand="0" w:noVBand="1"/>
      </w:tblPr>
      <w:tblGrid>
        <w:gridCol w:w="1199"/>
        <w:gridCol w:w="6729"/>
        <w:gridCol w:w="1672"/>
      </w:tblGrid>
      <w:tr w:rsidR="007B3093" w14:paraId="4260A40F" w14:textId="77777777">
        <w:trPr>
          <w:trHeight w:val="245"/>
          <w:tblHeader/>
        </w:trPr>
        <w:tc>
          <w:tcPr>
            <w:tcW w:w="1199" w:type="dxa"/>
            <w:tcBorders>
              <w:top w:val="single" w:sz="8" w:space="0" w:color="auto"/>
              <w:left w:val="single" w:sz="8" w:space="0" w:color="auto"/>
              <w:bottom w:val="single" w:sz="8" w:space="0" w:color="auto"/>
              <w:right w:val="single" w:sz="8" w:space="0" w:color="auto"/>
            </w:tcBorders>
            <w:shd w:val="clear" w:color="000000" w:fill="222A35"/>
            <w:vAlign w:val="center"/>
            <w:hideMark/>
          </w:tcPr>
          <w:p w14:paraId="7B972FE6" w14:textId="77777777" w:rsidR="007B3093" w:rsidRDefault="00000000">
            <w:pPr>
              <w:spacing w:after="0" w:line="240" w:lineRule="auto"/>
              <w:jc w:val="center"/>
              <w:rPr>
                <w:rFonts w:ascii="Calibri" w:eastAsia="Times New Roman" w:hAnsi="Calibri" w:cs="Calibri"/>
                <w:color w:val="FFFFFF"/>
                <w:sz w:val="20"/>
                <w:szCs w:val="20"/>
                <w:lang w:eastAsia="es-EC"/>
              </w:rPr>
            </w:pPr>
            <w:r>
              <w:rPr>
                <w:rFonts w:ascii="Calibri" w:eastAsia="Times New Roman" w:hAnsi="Calibri" w:cs="Calibri"/>
                <w:color w:val="FFFFFF"/>
                <w:sz w:val="20"/>
                <w:szCs w:val="20"/>
                <w:lang w:eastAsia="es-EC"/>
              </w:rPr>
              <w:t>Componente y Actividad</w:t>
            </w:r>
          </w:p>
        </w:tc>
        <w:tc>
          <w:tcPr>
            <w:tcW w:w="6729" w:type="dxa"/>
            <w:tcBorders>
              <w:top w:val="single" w:sz="8" w:space="0" w:color="auto"/>
              <w:left w:val="nil"/>
              <w:bottom w:val="single" w:sz="8" w:space="0" w:color="auto"/>
              <w:right w:val="single" w:sz="8" w:space="0" w:color="auto"/>
            </w:tcBorders>
            <w:shd w:val="clear" w:color="000000" w:fill="222A35"/>
            <w:vAlign w:val="center"/>
            <w:hideMark/>
          </w:tcPr>
          <w:p w14:paraId="72158CC7" w14:textId="77777777" w:rsidR="007B3093" w:rsidRDefault="00000000">
            <w:pPr>
              <w:spacing w:after="0" w:line="240" w:lineRule="auto"/>
              <w:jc w:val="center"/>
              <w:rPr>
                <w:rFonts w:ascii="Calibri" w:eastAsia="Times New Roman" w:hAnsi="Calibri" w:cs="Calibri"/>
                <w:color w:val="FFFFFF"/>
                <w:sz w:val="20"/>
                <w:szCs w:val="20"/>
                <w:lang w:eastAsia="es-EC"/>
              </w:rPr>
            </w:pPr>
            <w:r>
              <w:rPr>
                <w:rFonts w:ascii="Calibri" w:eastAsia="Times New Roman" w:hAnsi="Calibri" w:cs="Calibri"/>
                <w:color w:val="FFFFFF"/>
                <w:sz w:val="20"/>
                <w:szCs w:val="20"/>
                <w:lang w:eastAsia="es-EC"/>
              </w:rPr>
              <w:t>Nombre de tarea</w:t>
            </w:r>
          </w:p>
        </w:tc>
        <w:tc>
          <w:tcPr>
            <w:tcW w:w="1672" w:type="dxa"/>
            <w:tcBorders>
              <w:top w:val="single" w:sz="8" w:space="0" w:color="auto"/>
              <w:left w:val="nil"/>
              <w:bottom w:val="single" w:sz="8" w:space="0" w:color="auto"/>
              <w:right w:val="single" w:sz="8" w:space="0" w:color="auto"/>
            </w:tcBorders>
            <w:shd w:val="clear" w:color="000000" w:fill="222A35"/>
            <w:vAlign w:val="center"/>
            <w:hideMark/>
          </w:tcPr>
          <w:p w14:paraId="3FC6A2CF" w14:textId="77777777" w:rsidR="007B3093" w:rsidRDefault="00000000">
            <w:pPr>
              <w:spacing w:after="0" w:line="240" w:lineRule="auto"/>
              <w:jc w:val="center"/>
              <w:rPr>
                <w:rFonts w:ascii="Calibri" w:eastAsia="Times New Roman" w:hAnsi="Calibri" w:cs="Calibri"/>
                <w:color w:val="FFFFFF"/>
                <w:sz w:val="20"/>
                <w:szCs w:val="20"/>
                <w:lang w:eastAsia="es-EC"/>
              </w:rPr>
            </w:pPr>
            <w:r>
              <w:rPr>
                <w:rFonts w:ascii="Calibri" w:eastAsia="Times New Roman" w:hAnsi="Calibri" w:cs="Calibri"/>
                <w:color w:val="FFFFFF"/>
                <w:sz w:val="20"/>
                <w:szCs w:val="20"/>
                <w:lang w:eastAsia="es-EC"/>
              </w:rPr>
              <w:t>Valor de la tarea</w:t>
            </w:r>
          </w:p>
        </w:tc>
      </w:tr>
      <w:tr w:rsidR="007B3093" w14:paraId="1212D68C" w14:textId="77777777">
        <w:trPr>
          <w:trHeight w:val="296"/>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1082AA85"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1.1</w:t>
            </w:r>
          </w:p>
        </w:tc>
        <w:tc>
          <w:tcPr>
            <w:tcW w:w="6729" w:type="dxa"/>
            <w:tcBorders>
              <w:top w:val="nil"/>
              <w:left w:val="nil"/>
              <w:bottom w:val="single" w:sz="8" w:space="0" w:color="auto"/>
              <w:right w:val="single" w:sz="8" w:space="0" w:color="auto"/>
            </w:tcBorders>
            <w:shd w:val="clear" w:color="auto" w:fill="auto"/>
            <w:vAlign w:val="center"/>
            <w:hideMark/>
          </w:tcPr>
          <w:p w14:paraId="7FD46656" w14:textId="77777777" w:rsidR="007B3093" w:rsidRDefault="00000000">
            <w:pPr>
              <w:spacing w:after="0" w:line="240" w:lineRule="auto"/>
              <w:jc w:val="both"/>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Diagnóstico situacional y propuesta de direccionamiento estratégico</w:t>
            </w:r>
          </w:p>
        </w:tc>
        <w:tc>
          <w:tcPr>
            <w:tcW w:w="1672" w:type="dxa"/>
            <w:tcBorders>
              <w:top w:val="nil"/>
              <w:left w:val="nil"/>
              <w:bottom w:val="single" w:sz="8" w:space="0" w:color="auto"/>
              <w:right w:val="single" w:sz="8" w:space="0" w:color="auto"/>
            </w:tcBorders>
            <w:shd w:val="clear" w:color="000000" w:fill="FFFFFF"/>
            <w:vAlign w:val="center"/>
            <w:hideMark/>
          </w:tcPr>
          <w:p w14:paraId="1266F006"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$166.631,81</w:t>
            </w:r>
          </w:p>
        </w:tc>
      </w:tr>
      <w:tr w:rsidR="007B3093" w14:paraId="2DE11C32" w14:textId="77777777">
        <w:trPr>
          <w:trHeight w:val="271"/>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77BD6D75"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1.1</w:t>
            </w:r>
          </w:p>
        </w:tc>
        <w:tc>
          <w:tcPr>
            <w:tcW w:w="6729" w:type="dxa"/>
            <w:tcBorders>
              <w:top w:val="nil"/>
              <w:left w:val="nil"/>
              <w:bottom w:val="single" w:sz="8" w:space="0" w:color="auto"/>
              <w:right w:val="single" w:sz="8" w:space="0" w:color="auto"/>
            </w:tcBorders>
            <w:shd w:val="clear" w:color="auto" w:fill="auto"/>
            <w:vAlign w:val="center"/>
            <w:hideMark/>
          </w:tcPr>
          <w:p w14:paraId="391D0EFA" w14:textId="77777777" w:rsidR="007B3093" w:rsidRDefault="00000000">
            <w:pPr>
              <w:spacing w:after="0" w:line="240" w:lineRule="auto"/>
              <w:jc w:val="both"/>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Propuesta de agenda digital institucional</w:t>
            </w:r>
          </w:p>
        </w:tc>
        <w:tc>
          <w:tcPr>
            <w:tcW w:w="1672" w:type="dxa"/>
            <w:tcBorders>
              <w:top w:val="nil"/>
              <w:left w:val="nil"/>
              <w:bottom w:val="single" w:sz="8" w:space="0" w:color="auto"/>
              <w:right w:val="single" w:sz="8" w:space="0" w:color="auto"/>
            </w:tcBorders>
            <w:shd w:val="clear" w:color="000000" w:fill="FFFFFF"/>
            <w:vAlign w:val="center"/>
            <w:hideMark/>
          </w:tcPr>
          <w:p w14:paraId="2AD44ED5"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$63.462,99</w:t>
            </w:r>
          </w:p>
        </w:tc>
      </w:tr>
      <w:tr w:rsidR="007B3093" w14:paraId="4039FF37" w14:textId="77777777">
        <w:trPr>
          <w:trHeight w:val="300"/>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30036356"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1.1</w:t>
            </w:r>
          </w:p>
        </w:tc>
        <w:tc>
          <w:tcPr>
            <w:tcW w:w="6729" w:type="dxa"/>
            <w:tcBorders>
              <w:top w:val="nil"/>
              <w:left w:val="nil"/>
              <w:bottom w:val="single" w:sz="8" w:space="0" w:color="auto"/>
              <w:right w:val="single" w:sz="8" w:space="0" w:color="auto"/>
            </w:tcBorders>
            <w:shd w:val="clear" w:color="auto" w:fill="auto"/>
            <w:vAlign w:val="center"/>
            <w:hideMark/>
          </w:tcPr>
          <w:p w14:paraId="0D06A46D" w14:textId="77777777" w:rsidR="007B3093" w:rsidRDefault="00000000">
            <w:pPr>
              <w:spacing w:after="0" w:line="240" w:lineRule="auto"/>
              <w:jc w:val="both"/>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Plan Estratégico Institucional (2020-2024)</w:t>
            </w:r>
          </w:p>
        </w:tc>
        <w:tc>
          <w:tcPr>
            <w:tcW w:w="1672" w:type="dxa"/>
            <w:tcBorders>
              <w:top w:val="nil"/>
              <w:left w:val="nil"/>
              <w:bottom w:val="single" w:sz="8" w:space="0" w:color="auto"/>
              <w:right w:val="single" w:sz="8" w:space="0" w:color="auto"/>
            </w:tcBorders>
            <w:shd w:val="clear" w:color="000000" w:fill="FFFFFF"/>
            <w:vAlign w:val="center"/>
            <w:hideMark/>
          </w:tcPr>
          <w:p w14:paraId="52DE9654"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$99.461,15</w:t>
            </w:r>
          </w:p>
        </w:tc>
      </w:tr>
      <w:tr w:rsidR="007B3093" w14:paraId="32C3CE04" w14:textId="77777777">
        <w:trPr>
          <w:trHeight w:val="316"/>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0C00ADA3"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1.1</w:t>
            </w:r>
          </w:p>
        </w:tc>
        <w:tc>
          <w:tcPr>
            <w:tcW w:w="6729" w:type="dxa"/>
            <w:tcBorders>
              <w:top w:val="nil"/>
              <w:left w:val="nil"/>
              <w:bottom w:val="single" w:sz="8" w:space="0" w:color="auto"/>
              <w:right w:val="single" w:sz="8" w:space="0" w:color="auto"/>
            </w:tcBorders>
            <w:shd w:val="clear" w:color="auto" w:fill="auto"/>
            <w:vAlign w:val="center"/>
            <w:hideMark/>
          </w:tcPr>
          <w:p w14:paraId="1111F2BA" w14:textId="77777777" w:rsidR="007B3093" w:rsidRDefault="00000000">
            <w:pPr>
              <w:spacing w:after="0" w:line="240" w:lineRule="auto"/>
              <w:jc w:val="both"/>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Informes de ejecución de la fase de acompañamiento</w:t>
            </w:r>
          </w:p>
        </w:tc>
        <w:tc>
          <w:tcPr>
            <w:tcW w:w="1672" w:type="dxa"/>
            <w:tcBorders>
              <w:top w:val="nil"/>
              <w:left w:val="nil"/>
              <w:bottom w:val="single" w:sz="8" w:space="0" w:color="auto"/>
              <w:right w:val="single" w:sz="8" w:space="0" w:color="auto"/>
            </w:tcBorders>
            <w:shd w:val="clear" w:color="000000" w:fill="FFFFFF"/>
            <w:vAlign w:val="center"/>
            <w:hideMark/>
          </w:tcPr>
          <w:p w14:paraId="789978FF"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$66.148,43</w:t>
            </w:r>
          </w:p>
        </w:tc>
      </w:tr>
      <w:tr w:rsidR="007B3093" w14:paraId="7FDF6C2A" w14:textId="77777777">
        <w:trPr>
          <w:trHeight w:val="300"/>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1CC34134"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1.2</w:t>
            </w:r>
          </w:p>
        </w:tc>
        <w:tc>
          <w:tcPr>
            <w:tcW w:w="6729" w:type="dxa"/>
            <w:tcBorders>
              <w:top w:val="nil"/>
              <w:left w:val="nil"/>
              <w:bottom w:val="single" w:sz="8" w:space="0" w:color="auto"/>
              <w:right w:val="single" w:sz="8" w:space="0" w:color="auto"/>
            </w:tcBorders>
            <w:shd w:val="clear" w:color="auto" w:fill="auto"/>
            <w:vAlign w:val="center"/>
            <w:hideMark/>
          </w:tcPr>
          <w:p w14:paraId="09A921E4" w14:textId="77777777" w:rsidR="007B3093" w:rsidRDefault="00000000">
            <w:pPr>
              <w:spacing w:after="0" w:line="240" w:lineRule="auto"/>
              <w:jc w:val="both"/>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Preparación para la gestión del cambio</w:t>
            </w:r>
          </w:p>
        </w:tc>
        <w:tc>
          <w:tcPr>
            <w:tcW w:w="1672" w:type="dxa"/>
            <w:tcBorders>
              <w:top w:val="nil"/>
              <w:left w:val="nil"/>
              <w:bottom w:val="single" w:sz="8" w:space="0" w:color="auto"/>
              <w:right w:val="single" w:sz="8" w:space="0" w:color="auto"/>
            </w:tcBorders>
            <w:shd w:val="clear" w:color="000000" w:fill="FFFFFF"/>
            <w:vAlign w:val="center"/>
            <w:hideMark/>
          </w:tcPr>
          <w:p w14:paraId="3885CB92"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$23.270,24</w:t>
            </w:r>
          </w:p>
        </w:tc>
      </w:tr>
      <w:tr w:rsidR="007B3093" w14:paraId="65BCCBC0" w14:textId="77777777">
        <w:trPr>
          <w:trHeight w:val="278"/>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39457614"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1.2</w:t>
            </w:r>
          </w:p>
        </w:tc>
        <w:tc>
          <w:tcPr>
            <w:tcW w:w="6729" w:type="dxa"/>
            <w:tcBorders>
              <w:top w:val="nil"/>
              <w:left w:val="nil"/>
              <w:bottom w:val="single" w:sz="8" w:space="0" w:color="auto"/>
              <w:right w:val="single" w:sz="8" w:space="0" w:color="auto"/>
            </w:tcBorders>
            <w:shd w:val="clear" w:color="auto" w:fill="auto"/>
            <w:vAlign w:val="center"/>
            <w:hideMark/>
          </w:tcPr>
          <w:p w14:paraId="38CFA99E" w14:textId="77777777" w:rsidR="007B3093" w:rsidRDefault="00000000">
            <w:pPr>
              <w:spacing w:after="0" w:line="240" w:lineRule="auto"/>
              <w:jc w:val="both"/>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Fortalecer las competencias de Talento Humano sobre Gestión de Cambio</w:t>
            </w:r>
          </w:p>
        </w:tc>
        <w:tc>
          <w:tcPr>
            <w:tcW w:w="1672" w:type="dxa"/>
            <w:tcBorders>
              <w:top w:val="nil"/>
              <w:left w:val="nil"/>
              <w:bottom w:val="single" w:sz="8" w:space="0" w:color="auto"/>
              <w:right w:val="single" w:sz="8" w:space="0" w:color="auto"/>
            </w:tcBorders>
            <w:shd w:val="clear" w:color="000000" w:fill="FFFFFF"/>
            <w:vAlign w:val="center"/>
            <w:hideMark/>
          </w:tcPr>
          <w:p w14:paraId="11AAEFC3"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$21.840,00</w:t>
            </w:r>
          </w:p>
        </w:tc>
      </w:tr>
      <w:tr w:rsidR="007B3093" w14:paraId="1751BE15" w14:textId="77777777">
        <w:trPr>
          <w:trHeight w:val="268"/>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16E182A2"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1.5</w:t>
            </w:r>
          </w:p>
        </w:tc>
        <w:tc>
          <w:tcPr>
            <w:tcW w:w="6729" w:type="dxa"/>
            <w:tcBorders>
              <w:top w:val="nil"/>
              <w:left w:val="nil"/>
              <w:bottom w:val="single" w:sz="8" w:space="0" w:color="auto"/>
              <w:right w:val="single" w:sz="8" w:space="0" w:color="auto"/>
            </w:tcBorders>
            <w:shd w:val="clear" w:color="auto" w:fill="auto"/>
            <w:vAlign w:val="center"/>
            <w:hideMark/>
          </w:tcPr>
          <w:p w14:paraId="645D3A52" w14:textId="77777777" w:rsidR="007B3093" w:rsidRDefault="00000000">
            <w:pPr>
              <w:spacing w:after="0" w:line="240" w:lineRule="auto"/>
              <w:jc w:val="both"/>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Administración del Proyecto</w:t>
            </w:r>
          </w:p>
        </w:tc>
        <w:tc>
          <w:tcPr>
            <w:tcW w:w="1672" w:type="dxa"/>
            <w:tcBorders>
              <w:top w:val="nil"/>
              <w:left w:val="nil"/>
              <w:bottom w:val="single" w:sz="8" w:space="0" w:color="auto"/>
              <w:right w:val="single" w:sz="8" w:space="0" w:color="auto"/>
            </w:tcBorders>
            <w:shd w:val="clear" w:color="000000" w:fill="FFFFFF"/>
            <w:vAlign w:val="center"/>
            <w:hideMark/>
          </w:tcPr>
          <w:p w14:paraId="679341D7"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$543.664,07</w:t>
            </w:r>
          </w:p>
        </w:tc>
      </w:tr>
      <w:tr w:rsidR="007B3093" w14:paraId="499170CE" w14:textId="77777777">
        <w:trPr>
          <w:trHeight w:val="404"/>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35F5F177"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lastRenderedPageBreak/>
              <w:t>2.3</w:t>
            </w:r>
          </w:p>
        </w:tc>
        <w:tc>
          <w:tcPr>
            <w:tcW w:w="6729" w:type="dxa"/>
            <w:tcBorders>
              <w:top w:val="nil"/>
              <w:left w:val="nil"/>
              <w:bottom w:val="single" w:sz="8" w:space="0" w:color="auto"/>
              <w:right w:val="single" w:sz="8" w:space="0" w:color="auto"/>
            </w:tcBorders>
            <w:shd w:val="clear" w:color="auto" w:fill="auto"/>
            <w:vAlign w:val="center"/>
            <w:hideMark/>
          </w:tcPr>
          <w:p w14:paraId="373D20CC" w14:textId="77777777" w:rsidR="007B3093" w:rsidRDefault="00000000">
            <w:pPr>
              <w:spacing w:after="0" w:line="240" w:lineRule="auto"/>
              <w:jc w:val="both"/>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Protocolos para y guías para la coordinación interinstitucional para la defensa de casos</w:t>
            </w:r>
          </w:p>
        </w:tc>
        <w:tc>
          <w:tcPr>
            <w:tcW w:w="1672" w:type="dxa"/>
            <w:tcBorders>
              <w:top w:val="nil"/>
              <w:left w:val="nil"/>
              <w:bottom w:val="single" w:sz="8" w:space="0" w:color="auto"/>
              <w:right w:val="single" w:sz="8" w:space="0" w:color="auto"/>
            </w:tcBorders>
            <w:shd w:val="clear" w:color="000000" w:fill="FFFFFF"/>
            <w:vAlign w:val="center"/>
            <w:hideMark/>
          </w:tcPr>
          <w:p w14:paraId="3F1FFF49"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$39.374,00</w:t>
            </w:r>
          </w:p>
        </w:tc>
      </w:tr>
      <w:tr w:rsidR="007B3093" w14:paraId="5D782DA6" w14:textId="77777777">
        <w:trPr>
          <w:trHeight w:val="311"/>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6BA16E24"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2.4</w:t>
            </w:r>
          </w:p>
        </w:tc>
        <w:tc>
          <w:tcPr>
            <w:tcW w:w="6729" w:type="dxa"/>
            <w:tcBorders>
              <w:top w:val="nil"/>
              <w:left w:val="nil"/>
              <w:bottom w:val="single" w:sz="8" w:space="0" w:color="auto"/>
              <w:right w:val="single" w:sz="8" w:space="0" w:color="auto"/>
            </w:tcBorders>
            <w:shd w:val="clear" w:color="auto" w:fill="auto"/>
            <w:vAlign w:val="center"/>
            <w:hideMark/>
          </w:tcPr>
          <w:p w14:paraId="2B0B5D15" w14:textId="77777777" w:rsidR="007B3093" w:rsidRDefault="00000000">
            <w:pPr>
              <w:spacing w:after="0" w:line="240" w:lineRule="auto"/>
              <w:jc w:val="both"/>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Licencias de bases de datos especializadas en temas jurídicos</w:t>
            </w:r>
          </w:p>
        </w:tc>
        <w:tc>
          <w:tcPr>
            <w:tcW w:w="1672" w:type="dxa"/>
            <w:tcBorders>
              <w:top w:val="nil"/>
              <w:left w:val="nil"/>
              <w:bottom w:val="single" w:sz="8" w:space="0" w:color="auto"/>
              <w:right w:val="single" w:sz="8" w:space="0" w:color="auto"/>
            </w:tcBorders>
            <w:shd w:val="clear" w:color="000000" w:fill="FFFFFF"/>
            <w:vAlign w:val="center"/>
            <w:hideMark/>
          </w:tcPr>
          <w:p w14:paraId="6DFEA7CC"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$8.870,16</w:t>
            </w:r>
          </w:p>
        </w:tc>
      </w:tr>
      <w:tr w:rsidR="007B3093" w14:paraId="3F72594C" w14:textId="77777777">
        <w:trPr>
          <w:trHeight w:val="308"/>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667C32E9"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3.2</w:t>
            </w:r>
          </w:p>
        </w:tc>
        <w:tc>
          <w:tcPr>
            <w:tcW w:w="6729" w:type="dxa"/>
            <w:tcBorders>
              <w:top w:val="nil"/>
              <w:left w:val="nil"/>
              <w:bottom w:val="single" w:sz="8" w:space="0" w:color="auto"/>
              <w:right w:val="single" w:sz="8" w:space="0" w:color="auto"/>
            </w:tcBorders>
            <w:shd w:val="clear" w:color="auto" w:fill="auto"/>
            <w:vAlign w:val="center"/>
            <w:hideMark/>
          </w:tcPr>
          <w:p w14:paraId="45BA0D47" w14:textId="77777777" w:rsidR="007B3093" w:rsidRDefault="00000000">
            <w:pPr>
              <w:spacing w:after="0" w:line="240" w:lineRule="auto"/>
              <w:jc w:val="both"/>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Capacitación a Organismos del Estado o Municipios</w:t>
            </w:r>
          </w:p>
        </w:tc>
        <w:tc>
          <w:tcPr>
            <w:tcW w:w="1672" w:type="dxa"/>
            <w:tcBorders>
              <w:top w:val="nil"/>
              <w:left w:val="nil"/>
              <w:bottom w:val="single" w:sz="8" w:space="0" w:color="auto"/>
              <w:right w:val="single" w:sz="8" w:space="0" w:color="auto"/>
            </w:tcBorders>
            <w:shd w:val="clear" w:color="000000" w:fill="FFFFFF"/>
            <w:vAlign w:val="center"/>
            <w:hideMark/>
          </w:tcPr>
          <w:p w14:paraId="0D9C4792" w14:textId="77777777" w:rsidR="007B3093" w:rsidRDefault="00000000">
            <w:pPr>
              <w:spacing w:after="0" w:line="240" w:lineRule="auto"/>
              <w:jc w:val="center"/>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$131.947,36</w:t>
            </w:r>
          </w:p>
        </w:tc>
      </w:tr>
      <w:tr w:rsidR="007B3093" w14:paraId="46163859" w14:textId="77777777">
        <w:trPr>
          <w:trHeight w:val="300"/>
        </w:trPr>
        <w:tc>
          <w:tcPr>
            <w:tcW w:w="792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0D8875C" w14:textId="77777777" w:rsidR="007B3093" w:rsidRDefault="00000000">
            <w:pPr>
              <w:spacing w:after="0" w:line="240" w:lineRule="auto"/>
              <w:jc w:val="center"/>
              <w:rPr>
                <w:rFonts w:ascii="Calibri" w:eastAsia="Times New Roman" w:hAnsi="Calibri" w:cs="Calibri"/>
                <w:b/>
                <w:bCs/>
                <w:color w:val="000000"/>
                <w:sz w:val="20"/>
                <w:szCs w:val="20"/>
                <w:lang w:eastAsia="es-EC"/>
              </w:rPr>
            </w:pPr>
            <w:r>
              <w:rPr>
                <w:rFonts w:ascii="Calibri" w:eastAsia="Times New Roman" w:hAnsi="Calibri" w:cs="Calibri"/>
                <w:b/>
                <w:bCs/>
                <w:color w:val="000000"/>
                <w:sz w:val="20"/>
                <w:szCs w:val="20"/>
                <w:lang w:eastAsia="es-EC"/>
              </w:rPr>
              <w:t>TOTAL</w:t>
            </w:r>
          </w:p>
        </w:tc>
        <w:tc>
          <w:tcPr>
            <w:tcW w:w="1672" w:type="dxa"/>
            <w:tcBorders>
              <w:top w:val="nil"/>
              <w:left w:val="nil"/>
              <w:bottom w:val="single" w:sz="8" w:space="0" w:color="auto"/>
              <w:right w:val="single" w:sz="8" w:space="0" w:color="auto"/>
            </w:tcBorders>
            <w:shd w:val="clear" w:color="000000" w:fill="99A8BD"/>
            <w:vAlign w:val="center"/>
            <w:hideMark/>
          </w:tcPr>
          <w:p w14:paraId="2DCDAA97" w14:textId="77777777" w:rsidR="007B3093" w:rsidRDefault="00000000">
            <w:pPr>
              <w:spacing w:after="0" w:line="240" w:lineRule="auto"/>
              <w:jc w:val="center"/>
              <w:rPr>
                <w:rFonts w:ascii="Calibri" w:eastAsia="Times New Roman" w:hAnsi="Calibri" w:cs="Calibri"/>
                <w:b/>
                <w:bCs/>
                <w:color w:val="000000"/>
                <w:sz w:val="20"/>
                <w:szCs w:val="20"/>
                <w:lang w:eastAsia="es-EC"/>
              </w:rPr>
            </w:pPr>
            <w:r>
              <w:rPr>
                <w:rFonts w:ascii="Calibri" w:eastAsia="Times New Roman" w:hAnsi="Calibri" w:cs="Calibri"/>
                <w:b/>
                <w:bCs/>
                <w:color w:val="000000"/>
                <w:sz w:val="20"/>
                <w:szCs w:val="20"/>
                <w:lang w:eastAsia="es-EC"/>
              </w:rPr>
              <w:t>$1.164.670,21</w:t>
            </w:r>
          </w:p>
        </w:tc>
      </w:tr>
    </w:tbl>
    <w:p w14:paraId="5D7C91D6" w14:textId="77777777" w:rsidR="007B3093" w:rsidRDefault="00000000">
      <w:pPr>
        <w:autoSpaceDE w:val="0"/>
        <w:autoSpaceDN w:val="0"/>
        <w:adjustRightInd w:val="0"/>
        <w:spacing w:after="0" w:line="360" w:lineRule="auto"/>
        <w:jc w:val="center"/>
      </w:pPr>
      <w:r>
        <w:rPr>
          <w:rFonts w:cstheme="minorHAnsi"/>
          <w:b/>
          <w:bCs/>
          <w:lang w:eastAsia="es-EC"/>
        </w:rPr>
        <w:fldChar w:fldCharType="begin"/>
      </w:r>
      <w:r>
        <w:rPr>
          <w:rFonts w:cstheme="minorHAnsi"/>
          <w:b/>
          <w:bCs/>
          <w:lang w:eastAsia="es-EC"/>
        </w:rPr>
        <w:instrText xml:space="preserve"> LINK Excel.Sheet.12 "https://pgeecuador-my.sharepoint.com/personal/maira_cedeno_pge_gob_ec/Documents/Escritorio/REPROG.OCT24/16102024%20TABLAS%20ACTUALIZACION%20DEL%20CRONOGRAMA.xlsx" "TABLAS ACTUALIZADAS102024!F2C2:F13C4" \a \f 4 \h  \* MERGEFORMAT </w:instrText>
      </w:r>
      <w:r>
        <w:rPr>
          <w:rFonts w:cstheme="minorHAnsi"/>
          <w:b/>
          <w:bCs/>
          <w:lang w:eastAsia="es-EC"/>
        </w:rPr>
        <w:fldChar w:fldCharType="separate"/>
      </w:r>
    </w:p>
    <w:p w14:paraId="0EF3A0FA" w14:textId="77777777" w:rsidR="007B3093" w:rsidRDefault="00000000">
      <w:pPr>
        <w:autoSpaceDE w:val="0"/>
        <w:autoSpaceDN w:val="0"/>
        <w:adjustRightInd w:val="0"/>
        <w:spacing w:after="0" w:line="360" w:lineRule="auto"/>
        <w:jc w:val="center"/>
        <w:rPr>
          <w:rFonts w:cstheme="minorHAnsi"/>
          <w:b/>
          <w:sz w:val="28"/>
        </w:rPr>
      </w:pPr>
      <w:r>
        <w:rPr>
          <w:rFonts w:cstheme="minorHAnsi"/>
          <w:b/>
          <w:bCs/>
          <w:lang w:eastAsia="es-EC"/>
        </w:rPr>
        <w:fldChar w:fldCharType="end"/>
      </w:r>
    </w:p>
    <w:p w14:paraId="33734F51" w14:textId="77777777" w:rsidR="007B3093" w:rsidRDefault="00000000">
      <w:pPr>
        <w:pStyle w:val="Ttulo2"/>
        <w:numPr>
          <w:ilvl w:val="3"/>
          <w:numId w:val="93"/>
        </w:numPr>
        <w:spacing w:before="120" w:after="120" w:line="360" w:lineRule="auto"/>
        <w:ind w:left="851"/>
        <w:rPr>
          <w:rFonts w:asciiTheme="minorHAnsi" w:hAnsiTheme="minorHAnsi" w:cstheme="minorHAnsi"/>
          <w:b/>
          <w:color w:val="auto"/>
          <w:sz w:val="22"/>
          <w:szCs w:val="22"/>
        </w:rPr>
      </w:pPr>
      <w:bookmarkStart w:id="40" w:name="_Toc1089451"/>
      <w:bookmarkStart w:id="41" w:name="_Toc195010068"/>
      <w:r>
        <w:rPr>
          <w:rFonts w:asciiTheme="minorHAnsi" w:hAnsiTheme="minorHAnsi" w:cstheme="minorHAnsi"/>
          <w:b/>
          <w:color w:val="auto"/>
          <w:sz w:val="22"/>
          <w:szCs w:val="22"/>
        </w:rPr>
        <w:t>Estructura Orgánica Funcional</w:t>
      </w:r>
      <w:bookmarkEnd w:id="40"/>
      <w:bookmarkEnd w:id="41"/>
    </w:p>
    <w:p w14:paraId="69B6AE9D" w14:textId="77777777" w:rsidR="007B3093" w:rsidRDefault="00000000">
      <w:pPr>
        <w:pStyle w:val="Ttulo2"/>
        <w:numPr>
          <w:ilvl w:val="4"/>
          <w:numId w:val="93"/>
        </w:numPr>
        <w:spacing w:before="120" w:after="120" w:line="360" w:lineRule="auto"/>
        <w:ind w:left="1276"/>
        <w:rPr>
          <w:rFonts w:asciiTheme="minorHAnsi" w:hAnsiTheme="minorHAnsi" w:cstheme="minorHAnsi"/>
          <w:b/>
          <w:color w:val="auto"/>
          <w:sz w:val="22"/>
          <w:szCs w:val="22"/>
        </w:rPr>
      </w:pPr>
      <w:bookmarkStart w:id="42" w:name="_Toc1089452"/>
      <w:bookmarkStart w:id="43" w:name="_Toc195010069"/>
      <w:r>
        <w:rPr>
          <w:rFonts w:asciiTheme="minorHAnsi" w:hAnsiTheme="minorHAnsi" w:cstheme="minorHAnsi"/>
          <w:b/>
          <w:color w:val="auto"/>
          <w:sz w:val="22"/>
          <w:szCs w:val="22"/>
        </w:rPr>
        <w:t>Modelo de Gestión</w:t>
      </w:r>
      <w:bookmarkEnd w:id="42"/>
      <w:bookmarkEnd w:id="43"/>
    </w:p>
    <w:p w14:paraId="2055B539" w14:textId="77777777" w:rsidR="007B3093" w:rsidRDefault="00000000">
      <w:pPr>
        <w:pStyle w:val="Prrafodelista"/>
        <w:spacing w:before="120" w:after="120" w:line="360" w:lineRule="auto"/>
        <w:ind w:left="142"/>
        <w:contextualSpacing w:val="0"/>
        <w:jc w:val="both"/>
        <w:rPr>
          <w:rFonts w:cstheme="minorHAnsi"/>
        </w:rPr>
      </w:pPr>
      <w:r>
        <w:rPr>
          <w:rFonts w:cstheme="minorHAnsi"/>
        </w:rPr>
        <w:t>Una de las deficiencias de la gestión de la Procuraduría General del Estado es la inexistencia de alguna descripción explícita del “Modelo de gestión” de la entidad. Por esta razón dentro del “Proyecto” se ha incluido su estructuración, teniendo en cuenta al menos  cuatro elementos: la “Estrategia institucional” que se establezca; los cambios buscados en la “Cultura Institucional” actual</w:t>
      </w:r>
      <w:r>
        <w:rPr>
          <w:rStyle w:val="Refdenotaalpie"/>
          <w:rFonts w:cstheme="minorHAnsi"/>
        </w:rPr>
        <w:footnoteReference w:id="13"/>
      </w:r>
      <w:r>
        <w:rPr>
          <w:rFonts w:cstheme="minorHAnsi"/>
        </w:rPr>
        <w:t xml:space="preserve">, que se deberán alinear al cumplimiento de las metas que se vinculen a la anterior estrategia (tal como deberá hacerlo todo el modelo de gestión); el “Talento Humano”, teniendo en cuenta la característica clave en la estructura productiva de la entidad, que caracteriza a la Procuraduría General del Estado, como una unidad intensiva en trabajo; y, el elemento “Tecnología y Equipamiento”, que en la actualidad genera una serie de posibilidades de modernización de la gestión. </w:t>
      </w:r>
    </w:p>
    <w:p w14:paraId="13160CAC" w14:textId="77777777" w:rsidR="007B3093" w:rsidRDefault="00000000">
      <w:pPr>
        <w:pStyle w:val="Prrafodelista"/>
        <w:spacing w:before="120" w:after="120" w:line="360" w:lineRule="auto"/>
        <w:ind w:left="142"/>
        <w:contextualSpacing w:val="0"/>
        <w:jc w:val="both"/>
        <w:rPr>
          <w:rFonts w:cstheme="minorHAnsi"/>
          <w:highlight w:val="yellow"/>
        </w:rPr>
      </w:pPr>
      <w:r>
        <w:rPr>
          <w:rFonts w:cstheme="minorHAnsi"/>
        </w:rPr>
        <w:t xml:space="preserve">Dentro de la elaboración del “Modelo de gestión” se deberá tener en cuenta la evolución que requiera la estructura desconcentrada de la Procuraduría General del Estado, de tal manera que permita generar una lógica para atender las demandas territoriales en un horizonte futuro determinado. Estableciendo un horizonte pertinente y estructurando una metodología de proyección, las creaciones de nuevas unidades desconcentradas de la Procuraduría General del Estado, deberá basarse en el análisis de un grupo de variables que caracterizan la demanda potencial de los territorios y garanticen la optimización y eficiencia de la prestación de sus servicios. Ese grupo de variables deberá cubrir por lo menos los siguientes elementos: </w:t>
      </w:r>
    </w:p>
    <w:p w14:paraId="4FF0E877" w14:textId="77777777" w:rsidR="007B3093" w:rsidRDefault="00000000">
      <w:pPr>
        <w:pStyle w:val="Prrafodelista"/>
        <w:numPr>
          <w:ilvl w:val="0"/>
          <w:numId w:val="27"/>
        </w:numPr>
        <w:autoSpaceDE w:val="0"/>
        <w:autoSpaceDN w:val="0"/>
        <w:adjustRightInd w:val="0"/>
        <w:spacing w:after="0" w:line="360" w:lineRule="auto"/>
        <w:jc w:val="both"/>
        <w:rPr>
          <w:rFonts w:cstheme="minorHAnsi"/>
        </w:rPr>
      </w:pPr>
      <w:proofErr w:type="gramStart"/>
      <w:r>
        <w:rPr>
          <w:rFonts w:cstheme="minorHAnsi"/>
        </w:rPr>
        <w:t>Índices demográficos y proyecciones a tomar</w:t>
      </w:r>
      <w:proofErr w:type="gramEnd"/>
      <w:r>
        <w:rPr>
          <w:rFonts w:cstheme="minorHAnsi"/>
        </w:rPr>
        <w:t xml:space="preserve"> en cuenta para la demanda específica de los servicios vinculados a las competencias de la PGE (Análisis APIT)</w:t>
      </w:r>
    </w:p>
    <w:p w14:paraId="68131018" w14:textId="77777777" w:rsidR="007B3093" w:rsidRDefault="00000000">
      <w:pPr>
        <w:pStyle w:val="Prrafodelista"/>
        <w:numPr>
          <w:ilvl w:val="0"/>
          <w:numId w:val="27"/>
        </w:numPr>
        <w:autoSpaceDE w:val="0"/>
        <w:autoSpaceDN w:val="0"/>
        <w:adjustRightInd w:val="0"/>
        <w:spacing w:after="0" w:line="360" w:lineRule="auto"/>
        <w:jc w:val="both"/>
        <w:rPr>
          <w:rFonts w:cstheme="minorHAnsi"/>
        </w:rPr>
      </w:pPr>
      <w:r>
        <w:rPr>
          <w:rFonts w:cstheme="minorHAnsi"/>
        </w:rPr>
        <w:lastRenderedPageBreak/>
        <w:t>Análisis del número de trámites actual y proyectado.</w:t>
      </w:r>
    </w:p>
    <w:p w14:paraId="3E5D5404" w14:textId="77777777" w:rsidR="007B3093" w:rsidRDefault="00000000">
      <w:pPr>
        <w:pStyle w:val="Prrafodelista"/>
        <w:numPr>
          <w:ilvl w:val="0"/>
          <w:numId w:val="27"/>
        </w:numPr>
        <w:autoSpaceDE w:val="0"/>
        <w:autoSpaceDN w:val="0"/>
        <w:adjustRightInd w:val="0"/>
        <w:spacing w:before="120" w:after="120" w:line="360" w:lineRule="auto"/>
        <w:contextualSpacing w:val="0"/>
        <w:jc w:val="both"/>
        <w:rPr>
          <w:rFonts w:cstheme="minorHAnsi"/>
        </w:rPr>
      </w:pPr>
      <w:r>
        <w:rPr>
          <w:rFonts w:cstheme="minorHAnsi"/>
        </w:rPr>
        <w:t xml:space="preserve">Establecimiento de las competencias a ser servidas por las nuevas unidades desconcentradas. </w:t>
      </w:r>
    </w:p>
    <w:p w14:paraId="1D6CFB7E" w14:textId="77777777" w:rsidR="007B3093" w:rsidRDefault="00000000">
      <w:pPr>
        <w:pStyle w:val="Prrafodelista"/>
        <w:numPr>
          <w:ilvl w:val="0"/>
          <w:numId w:val="27"/>
        </w:numPr>
        <w:autoSpaceDE w:val="0"/>
        <w:autoSpaceDN w:val="0"/>
        <w:adjustRightInd w:val="0"/>
        <w:spacing w:before="120" w:after="120" w:line="360" w:lineRule="auto"/>
        <w:contextualSpacing w:val="0"/>
        <w:jc w:val="both"/>
        <w:rPr>
          <w:rFonts w:cstheme="minorHAnsi"/>
        </w:rPr>
      </w:pPr>
      <w:r>
        <w:rPr>
          <w:rFonts w:cstheme="minorHAnsi"/>
        </w:rPr>
        <w:t>Localización que asegure la mayor cobertura, tomando en cuenta factores geográficos como ubicación y características urbano-rurales.</w:t>
      </w:r>
    </w:p>
    <w:p w14:paraId="78F8C2AC" w14:textId="77777777" w:rsidR="007B3093" w:rsidRDefault="007B3093">
      <w:pPr>
        <w:pStyle w:val="Prrafodelista"/>
        <w:autoSpaceDE w:val="0"/>
        <w:autoSpaceDN w:val="0"/>
        <w:adjustRightInd w:val="0"/>
        <w:spacing w:before="120" w:after="120" w:line="360" w:lineRule="auto"/>
        <w:ind w:left="1146"/>
        <w:contextualSpacing w:val="0"/>
        <w:jc w:val="both"/>
        <w:rPr>
          <w:rFonts w:cstheme="minorHAnsi"/>
        </w:rPr>
      </w:pPr>
    </w:p>
    <w:p w14:paraId="7A513FA2" w14:textId="77777777" w:rsidR="007B3093" w:rsidRDefault="00000000">
      <w:pPr>
        <w:pStyle w:val="Ttulo2"/>
        <w:numPr>
          <w:ilvl w:val="4"/>
          <w:numId w:val="93"/>
        </w:numPr>
        <w:spacing w:before="120" w:after="120" w:line="360" w:lineRule="auto"/>
        <w:ind w:left="1276"/>
        <w:rPr>
          <w:rFonts w:asciiTheme="minorHAnsi" w:hAnsiTheme="minorHAnsi" w:cstheme="minorHAnsi"/>
          <w:b/>
          <w:color w:val="auto"/>
          <w:sz w:val="22"/>
          <w:szCs w:val="22"/>
        </w:rPr>
      </w:pPr>
      <w:bookmarkStart w:id="44" w:name="_Toc1089453"/>
      <w:bookmarkStart w:id="45" w:name="_Toc195010070"/>
      <w:r>
        <w:rPr>
          <w:rFonts w:asciiTheme="minorHAnsi" w:hAnsiTheme="minorHAnsi" w:cstheme="minorHAnsi"/>
          <w:b/>
          <w:color w:val="auto"/>
          <w:sz w:val="22"/>
          <w:szCs w:val="22"/>
        </w:rPr>
        <w:t>Estatuto Orgánico Funcional por Procesos</w:t>
      </w:r>
      <w:bookmarkEnd w:id="44"/>
      <w:bookmarkEnd w:id="45"/>
    </w:p>
    <w:p w14:paraId="1A03337F" w14:textId="77777777" w:rsidR="007B3093" w:rsidRDefault="00000000">
      <w:pPr>
        <w:pStyle w:val="Prrafodelista"/>
        <w:spacing w:before="120" w:after="120" w:line="360" w:lineRule="auto"/>
        <w:ind w:left="142"/>
        <w:contextualSpacing w:val="0"/>
        <w:jc w:val="both"/>
        <w:rPr>
          <w:rFonts w:cstheme="minorHAnsi"/>
          <w:bCs/>
        </w:rPr>
      </w:pPr>
      <w:r>
        <w:rPr>
          <w:rFonts w:cstheme="minorHAnsi"/>
          <w:bCs/>
        </w:rPr>
        <w:t xml:space="preserve">La Procuraduría General del Estado cuenta con dos documentos normativos relacionados a los procesos: el Estatuto </w:t>
      </w:r>
      <w:r>
        <w:rPr>
          <w:rFonts w:cstheme="minorHAnsi"/>
        </w:rPr>
        <w:t>Orgánico</w:t>
      </w:r>
      <w:r>
        <w:rPr>
          <w:rFonts w:cstheme="minorHAnsi"/>
          <w:bCs/>
        </w:rPr>
        <w:t xml:space="preserve"> por Procesos y el Reglamento Orgánico Funcional, documentos que tienen el mismo objetivo y alcance, pero que resultan poco prácticos para la Institución.  </w:t>
      </w:r>
    </w:p>
    <w:p w14:paraId="07DB5C8B" w14:textId="77777777" w:rsidR="007B3093" w:rsidRDefault="00000000">
      <w:pPr>
        <w:pStyle w:val="Prrafodelista"/>
        <w:spacing w:before="120" w:after="120" w:line="360" w:lineRule="auto"/>
        <w:ind w:left="142"/>
        <w:contextualSpacing w:val="0"/>
        <w:jc w:val="both"/>
        <w:rPr>
          <w:rFonts w:cstheme="minorHAnsi"/>
          <w:bCs/>
        </w:rPr>
      </w:pPr>
      <w:r>
        <w:rPr>
          <w:rFonts w:cstheme="minorHAnsi"/>
          <w:bCs/>
        </w:rPr>
        <w:t xml:space="preserve">La Procuraduría General del Estado definió su </w:t>
      </w:r>
      <w:r>
        <w:rPr>
          <w:rFonts w:cstheme="minorHAnsi"/>
        </w:rPr>
        <w:t xml:space="preserve">Cadena de Valor, Mapa de Procesos, Manual de Procesos, Manual de </w:t>
      </w:r>
      <w:r>
        <w:rPr>
          <w:rFonts w:cstheme="minorHAnsi"/>
          <w:bCs/>
        </w:rPr>
        <w:t>Descripción</w:t>
      </w:r>
      <w:r>
        <w:rPr>
          <w:rFonts w:cstheme="minorHAnsi"/>
        </w:rPr>
        <w:t xml:space="preserve"> y Valoración de Puestos, Catálogo de procesos, conforme establecen las normas técnicas, sin embargo, se aprecia que están desactualizados y que no se utilizan como </w:t>
      </w:r>
      <w:r>
        <w:rPr>
          <w:rFonts w:cstheme="minorHAnsi"/>
          <w:bCs/>
        </w:rPr>
        <w:t>una herramienta de apoyo a la gestión de la Institución.</w:t>
      </w:r>
    </w:p>
    <w:p w14:paraId="0579E5F7" w14:textId="77777777" w:rsidR="007B3093" w:rsidRDefault="00000000">
      <w:pPr>
        <w:pStyle w:val="Prrafodelista"/>
        <w:spacing w:before="120" w:after="120" w:line="360" w:lineRule="auto"/>
        <w:ind w:left="142"/>
        <w:contextualSpacing w:val="0"/>
        <w:jc w:val="both"/>
        <w:rPr>
          <w:rFonts w:cstheme="minorHAnsi"/>
          <w:bCs/>
        </w:rPr>
      </w:pPr>
      <w:r>
        <w:rPr>
          <w:rFonts w:cstheme="minorHAnsi"/>
          <w:bCs/>
        </w:rPr>
        <w:t xml:space="preserve">En el Catálogo de procesos se puede visualizar los procesos y subprocesos, tanto a nivel de Planta Central como a nivel Regional.  </w:t>
      </w:r>
      <w:proofErr w:type="gramStart"/>
      <w:r>
        <w:rPr>
          <w:rFonts w:cstheme="minorHAnsi"/>
          <w:bCs/>
        </w:rPr>
        <w:t>De acuerdo a</w:t>
      </w:r>
      <w:proofErr w:type="gramEnd"/>
      <w:r>
        <w:rPr>
          <w:rFonts w:cstheme="minorHAnsi"/>
          <w:bCs/>
        </w:rPr>
        <w:t xml:space="preserve"> este documento, con corte al 2018, la Institución contaba con 20 procesos y 90 subprocesos a nivel central.   A nivel regional la Entidad contaba con 7 procesos y 29 subprocesos a nivel de la Dirección Regional 1, y 4 procesos y 9 subprocesos a nivel de las Direcciones Regional de Azuay, Chimborazo, Loja y Manabí.</w:t>
      </w:r>
    </w:p>
    <w:p w14:paraId="3077E150" w14:textId="77777777" w:rsidR="007B3093" w:rsidRDefault="00000000">
      <w:pPr>
        <w:pStyle w:val="Prrafodelista"/>
        <w:spacing w:before="120" w:after="120" w:line="360" w:lineRule="auto"/>
        <w:ind w:left="142"/>
        <w:contextualSpacing w:val="0"/>
        <w:jc w:val="both"/>
        <w:rPr>
          <w:rFonts w:cstheme="minorHAnsi"/>
          <w:bCs/>
        </w:rPr>
      </w:pPr>
      <w:r>
        <w:rPr>
          <w:rFonts w:cstheme="minorHAnsi"/>
          <w:bCs/>
        </w:rPr>
        <w:t xml:space="preserve">Se realizó un cruce de información entre el Catálogo de procesos, el Manual de Procesos y el Estatuto Orgánico por Procesos de la Procuraduría General del Estado y se encontró que los tres documentos mantienen concordancia entre sí, que la Institución cuenta con procedimientos e instructivos documentados que guían el accionar de la entidad, sin embargo, luego de establecerse la estrategia institucional y su modelo de gestión, deben ser diseñados nuevamente, de tal manera que se alineen al cumplimiento de los resultados (e impactos), la solución de gestión que ellos contengan y el nuevo organigrama que para el efecto se estructure. </w:t>
      </w:r>
    </w:p>
    <w:p w14:paraId="020B96D4" w14:textId="77777777" w:rsidR="007B3093" w:rsidRDefault="00000000">
      <w:pPr>
        <w:pStyle w:val="Prrafodelista"/>
        <w:spacing w:before="120" w:after="120" w:line="360" w:lineRule="auto"/>
        <w:ind w:left="142"/>
        <w:contextualSpacing w:val="0"/>
        <w:jc w:val="both"/>
        <w:rPr>
          <w:rFonts w:cstheme="minorHAnsi"/>
          <w:bCs/>
        </w:rPr>
      </w:pPr>
      <w:r>
        <w:rPr>
          <w:rFonts w:cstheme="minorHAnsi"/>
          <w:bCs/>
        </w:rPr>
        <w:t xml:space="preserve">En el Catálogo de procesos (lista maestra) se puede visualizar la estructura basada en la Gestión por Procesos, la misma que contiene: macroprocesos, procesos, subprocesos y </w:t>
      </w:r>
      <w:r>
        <w:rPr>
          <w:rFonts w:cstheme="minorHAnsi"/>
          <w:bCs/>
        </w:rPr>
        <w:lastRenderedPageBreak/>
        <w:t>procedimientos. Con relación al Catálogo con corte a septiembre 2024, la PGE cuenta con: 12 macroprocesos, 21 procesos, 76 subprocesos y 146 procedimientos.</w:t>
      </w:r>
    </w:p>
    <w:p w14:paraId="11A5F18D" w14:textId="77777777" w:rsidR="007B3093" w:rsidRDefault="007B3093">
      <w:pPr>
        <w:pStyle w:val="Prrafodelista"/>
        <w:spacing w:before="120" w:after="120" w:line="360" w:lineRule="auto"/>
        <w:ind w:left="142"/>
        <w:contextualSpacing w:val="0"/>
        <w:jc w:val="both"/>
        <w:rPr>
          <w:rFonts w:cstheme="minorHAnsi"/>
          <w:bCs/>
        </w:rPr>
      </w:pPr>
    </w:p>
    <w:p w14:paraId="263059FC" w14:textId="77777777" w:rsidR="007B3093" w:rsidRDefault="00000000">
      <w:pPr>
        <w:pStyle w:val="Ttulo2"/>
        <w:numPr>
          <w:ilvl w:val="4"/>
          <w:numId w:val="93"/>
        </w:numPr>
        <w:spacing w:before="0" w:line="360" w:lineRule="auto"/>
        <w:ind w:left="1276"/>
        <w:rPr>
          <w:rFonts w:asciiTheme="minorHAnsi" w:hAnsiTheme="minorHAnsi" w:cstheme="minorHAnsi"/>
          <w:b/>
          <w:color w:val="auto"/>
          <w:sz w:val="22"/>
          <w:szCs w:val="22"/>
        </w:rPr>
      </w:pPr>
      <w:bookmarkStart w:id="46" w:name="_Toc1089454"/>
      <w:bookmarkStart w:id="47" w:name="_Toc195010071"/>
      <w:r>
        <w:rPr>
          <w:rFonts w:asciiTheme="minorHAnsi" w:hAnsiTheme="minorHAnsi" w:cstheme="minorHAnsi"/>
          <w:b/>
          <w:color w:val="auto"/>
          <w:sz w:val="22"/>
          <w:szCs w:val="22"/>
        </w:rPr>
        <w:t>Manual de Clasificación de Puestos y Normativa Técnica.</w:t>
      </w:r>
      <w:bookmarkEnd w:id="46"/>
      <w:bookmarkEnd w:id="47"/>
      <w:r>
        <w:rPr>
          <w:rFonts w:asciiTheme="minorHAnsi" w:hAnsiTheme="minorHAnsi" w:cstheme="minorHAnsi"/>
          <w:b/>
          <w:color w:val="auto"/>
          <w:sz w:val="22"/>
          <w:szCs w:val="22"/>
        </w:rPr>
        <w:t xml:space="preserve"> </w:t>
      </w:r>
    </w:p>
    <w:p w14:paraId="27F8E606" w14:textId="77777777" w:rsidR="007B3093" w:rsidRDefault="00000000">
      <w:pPr>
        <w:pStyle w:val="Prrafodelista"/>
        <w:spacing w:before="120" w:after="120" w:line="360" w:lineRule="auto"/>
        <w:ind w:left="142"/>
        <w:contextualSpacing w:val="0"/>
        <w:jc w:val="both"/>
        <w:rPr>
          <w:rFonts w:cstheme="minorHAnsi"/>
        </w:rPr>
      </w:pPr>
      <w:r>
        <w:rPr>
          <w:rFonts w:cstheme="minorHAnsi"/>
        </w:rPr>
        <w:t>En lo que se refiere al documento de “</w:t>
      </w:r>
      <w:r>
        <w:rPr>
          <w:rFonts w:cstheme="minorHAnsi"/>
          <w:bCs/>
          <w:lang w:val="es-MX"/>
        </w:rPr>
        <w:t xml:space="preserve">Manual de </w:t>
      </w:r>
      <w:r>
        <w:rPr>
          <w:rFonts w:cstheme="minorHAnsi"/>
        </w:rPr>
        <w:t xml:space="preserve">Descripción, Valoración y Clasificación de Puestos”, en él se </w:t>
      </w:r>
      <w:r>
        <w:rPr>
          <w:rFonts w:cstheme="minorHAnsi"/>
          <w:bCs/>
        </w:rPr>
        <w:t>puede</w:t>
      </w:r>
      <w:r>
        <w:rPr>
          <w:rFonts w:cstheme="minorHAnsi"/>
        </w:rPr>
        <w:t xml:space="preserve"> identificar el puesto, sus relaciones internas y externas, la instrucción formal requerida y la descripción de las actividades esenciales, conocimientos y destrezas.  En este “Manual” se encuentran documentados los puestos para los Procesos Gobernantes, Sustantivos y Adjetivos, tanto a nivel de planta central como a nivel desconcentrado y oficinas provinciales con sus roles pasando de Dirección, Ejecución y supervisión de procesos a ejecución de procesos en la mayoría de los casos. </w:t>
      </w:r>
    </w:p>
    <w:p w14:paraId="129D46FB" w14:textId="77777777" w:rsidR="007B3093" w:rsidRDefault="00000000">
      <w:pPr>
        <w:pStyle w:val="Prrafodelista"/>
        <w:spacing w:before="120" w:after="120" w:line="360" w:lineRule="auto"/>
        <w:ind w:left="142"/>
        <w:contextualSpacing w:val="0"/>
        <w:jc w:val="both"/>
        <w:rPr>
          <w:rFonts w:cstheme="minorHAnsi"/>
        </w:rPr>
      </w:pPr>
      <w:r>
        <w:rPr>
          <w:rFonts w:cstheme="minorHAnsi"/>
        </w:rPr>
        <w:t>Sin embargo, se presentan deficiencias que hacen que la Procuraduría General del Estado no cuente con el 100% de la descripción de los perfiles de los cargos en base al esquema estandarizado dispuesto por el Ministerio de Trabajo. De igual forma que los documentos institucionales precedentes, de los que el Manual de Clasificación de Puestos y Normativa Técnica dependen, una vez e</w:t>
      </w:r>
      <w:r>
        <w:rPr>
          <w:rFonts w:cstheme="minorHAnsi"/>
          <w:bCs/>
        </w:rPr>
        <w:t xml:space="preserve">stablecida la estrategia institucional y el modelo de gestión, deberá ser </w:t>
      </w:r>
      <w:r>
        <w:rPr>
          <w:rFonts w:cstheme="minorHAnsi"/>
        </w:rPr>
        <w:t xml:space="preserve">estructurada nuevamente, alineada al cumplimiento de los resultados (e impactos), la solución de gestión que ellos contengan, el nuevo organigrama que para el efecto se estructure y el nuevo Estatuto Orgánico Funcional por Procesos.  </w:t>
      </w:r>
    </w:p>
    <w:p w14:paraId="36B8B3A5" w14:textId="77777777" w:rsidR="007B3093" w:rsidRDefault="00000000">
      <w:pPr>
        <w:pStyle w:val="Prrafodelista"/>
        <w:spacing w:before="120" w:after="120" w:line="360" w:lineRule="auto"/>
        <w:ind w:left="142"/>
        <w:contextualSpacing w:val="0"/>
        <w:jc w:val="both"/>
        <w:rPr>
          <w:rFonts w:cstheme="minorHAnsi"/>
        </w:rPr>
      </w:pPr>
      <w:proofErr w:type="gramStart"/>
      <w:r>
        <w:rPr>
          <w:rFonts w:cstheme="minorHAnsi"/>
        </w:rPr>
        <w:t>En relación a</w:t>
      </w:r>
      <w:proofErr w:type="gramEnd"/>
      <w:r>
        <w:rPr>
          <w:rFonts w:cstheme="minorHAnsi"/>
        </w:rPr>
        <w:t xml:space="preserve"> la implementación del Modelo de Gestión y sus instrumentos se puede mencionar que el 23 de noviembre de 2021 se suscribió el Acuerdo de Implementación de la “Procuraduría del Futuro”.  </w:t>
      </w:r>
    </w:p>
    <w:p w14:paraId="66D09E13" w14:textId="77777777" w:rsidR="007B3093" w:rsidRDefault="00000000">
      <w:pPr>
        <w:pStyle w:val="Prrafodelista"/>
        <w:spacing w:before="120" w:after="120" w:line="360" w:lineRule="auto"/>
        <w:ind w:left="142"/>
        <w:contextualSpacing w:val="0"/>
        <w:jc w:val="both"/>
        <w:rPr>
          <w:rFonts w:cstheme="minorHAnsi"/>
        </w:rPr>
      </w:pPr>
      <w:r>
        <w:rPr>
          <w:rFonts w:cstheme="minorHAnsi"/>
        </w:rPr>
        <w:t>Los instrumentos de gestión institucional fueron construidos bajo la asistencia técnica del MDT y Mediante Oficio Nro. MDT-VSP-2024-0488-O de 26 de diciembre de 2024, el Ministerio de Trabajo, emitió la validación técnica a los instrumentos presentados por la Procuraduría General del Estado:</w:t>
      </w:r>
    </w:p>
    <w:p w14:paraId="6C4D36A3" w14:textId="77777777" w:rsidR="007B3093" w:rsidRDefault="007B3093">
      <w:pPr>
        <w:pStyle w:val="Prrafodelista"/>
        <w:spacing w:before="120" w:after="120" w:line="360" w:lineRule="auto"/>
        <w:ind w:left="142"/>
        <w:contextualSpacing w:val="0"/>
        <w:jc w:val="both"/>
        <w:rPr>
          <w:rFonts w:cstheme="minorHAnsi"/>
        </w:rPr>
      </w:pPr>
    </w:p>
    <w:p w14:paraId="6935EF18" w14:textId="77777777" w:rsidR="007B3093" w:rsidRDefault="00000000">
      <w:pPr>
        <w:pStyle w:val="Prrafodelista"/>
        <w:numPr>
          <w:ilvl w:val="3"/>
          <w:numId w:val="98"/>
        </w:numPr>
        <w:spacing w:after="0" w:line="240" w:lineRule="auto"/>
        <w:jc w:val="both"/>
        <w:rPr>
          <w:rFonts w:cstheme="minorHAnsi"/>
        </w:rPr>
      </w:pPr>
      <w:r>
        <w:rPr>
          <w:rFonts w:cstheme="minorHAnsi"/>
        </w:rPr>
        <w:t>Matriz de Competencias</w:t>
      </w:r>
    </w:p>
    <w:p w14:paraId="55224A81" w14:textId="77777777" w:rsidR="007B3093" w:rsidRDefault="00000000">
      <w:pPr>
        <w:pStyle w:val="Prrafodelista"/>
        <w:numPr>
          <w:ilvl w:val="3"/>
          <w:numId w:val="98"/>
        </w:numPr>
        <w:spacing w:after="0" w:line="240" w:lineRule="auto"/>
        <w:jc w:val="both"/>
        <w:rPr>
          <w:rFonts w:cstheme="minorHAnsi"/>
        </w:rPr>
      </w:pPr>
      <w:r>
        <w:rPr>
          <w:rFonts w:cstheme="minorHAnsi"/>
        </w:rPr>
        <w:t>Cadena De Valor</w:t>
      </w:r>
    </w:p>
    <w:p w14:paraId="1F910816" w14:textId="77777777" w:rsidR="007B3093" w:rsidRDefault="00000000">
      <w:pPr>
        <w:pStyle w:val="Prrafodelista"/>
        <w:numPr>
          <w:ilvl w:val="3"/>
          <w:numId w:val="98"/>
        </w:numPr>
        <w:spacing w:after="0" w:line="240" w:lineRule="auto"/>
        <w:jc w:val="both"/>
        <w:rPr>
          <w:rFonts w:cstheme="minorHAnsi"/>
        </w:rPr>
      </w:pPr>
      <w:r>
        <w:rPr>
          <w:rFonts w:cstheme="minorHAnsi"/>
        </w:rPr>
        <w:t>Modelo de Gestión</w:t>
      </w:r>
    </w:p>
    <w:p w14:paraId="19F009F0" w14:textId="77777777" w:rsidR="007B3093" w:rsidRDefault="007B3093">
      <w:pPr>
        <w:spacing w:after="0" w:line="240" w:lineRule="auto"/>
        <w:jc w:val="both"/>
        <w:rPr>
          <w:rFonts w:cstheme="minorHAnsi"/>
        </w:rPr>
      </w:pPr>
    </w:p>
    <w:p w14:paraId="28B9FCC7" w14:textId="77777777" w:rsidR="007B3093" w:rsidRDefault="00000000">
      <w:pPr>
        <w:spacing w:after="0" w:line="276" w:lineRule="auto"/>
        <w:jc w:val="both"/>
        <w:rPr>
          <w:rFonts w:cstheme="minorHAnsi"/>
        </w:rPr>
      </w:pPr>
      <w:r>
        <w:rPr>
          <w:rFonts w:cstheme="minorHAnsi"/>
        </w:rPr>
        <w:t>Aspectos que fueron puestos en conocimiento de Despacho con Memorando Nro. PGE-CNP-2024-0357 el 30 de diciembre de 2024.</w:t>
      </w:r>
    </w:p>
    <w:p w14:paraId="022327CD" w14:textId="77777777" w:rsidR="007B3093" w:rsidRDefault="00000000">
      <w:pPr>
        <w:spacing w:before="120" w:after="120" w:line="276" w:lineRule="auto"/>
        <w:ind w:firstLine="142"/>
        <w:jc w:val="both"/>
        <w:rPr>
          <w:rFonts w:cstheme="minorHAnsi"/>
        </w:rPr>
      </w:pPr>
      <w:r>
        <w:rPr>
          <w:rFonts w:cstheme="minorHAnsi"/>
        </w:rPr>
        <w:lastRenderedPageBreak/>
        <w:t>Las tareas del proyecto que corresponden a la Estructura Orgánica Funcional son:</w:t>
      </w:r>
    </w:p>
    <w:p w14:paraId="19BA9E38" w14:textId="77777777" w:rsidR="007B3093" w:rsidRDefault="007B3093">
      <w:pPr>
        <w:spacing w:before="120" w:after="120" w:line="360" w:lineRule="auto"/>
        <w:ind w:firstLine="142"/>
        <w:jc w:val="both"/>
        <w:rPr>
          <w:rFonts w:cstheme="minorHAnsi"/>
        </w:rPr>
      </w:pPr>
    </w:p>
    <w:p w14:paraId="27548D69" w14:textId="77777777" w:rsidR="007B3093" w:rsidRDefault="00000000">
      <w:pPr>
        <w:autoSpaceDE w:val="0"/>
        <w:autoSpaceDN w:val="0"/>
        <w:adjustRightInd w:val="0"/>
        <w:spacing w:after="0" w:line="360" w:lineRule="auto"/>
        <w:jc w:val="center"/>
        <w:rPr>
          <w:rFonts w:cstheme="minorHAnsi"/>
          <w:b/>
          <w:bCs/>
          <w:lang w:eastAsia="es-EC"/>
        </w:rPr>
      </w:pPr>
      <w:r>
        <w:rPr>
          <w:rFonts w:cstheme="minorHAnsi"/>
          <w:b/>
          <w:bCs/>
          <w:lang w:eastAsia="es-EC"/>
        </w:rPr>
        <w:t>Tabla 18: Tareas correspondientes a la Estructura Orgánica Funcional</w:t>
      </w:r>
    </w:p>
    <w:tbl>
      <w:tblPr>
        <w:tblW w:w="4911" w:type="pct"/>
        <w:tblLook w:val="04A0" w:firstRow="1" w:lastRow="0" w:firstColumn="1" w:lastColumn="0" w:noHBand="0" w:noVBand="1"/>
      </w:tblPr>
      <w:tblGrid>
        <w:gridCol w:w="1649"/>
        <w:gridCol w:w="5348"/>
        <w:gridCol w:w="1336"/>
      </w:tblGrid>
      <w:tr w:rsidR="007B3093" w14:paraId="6561B024" w14:textId="77777777">
        <w:trPr>
          <w:trHeight w:val="464"/>
        </w:trPr>
        <w:tc>
          <w:tcPr>
            <w:tcW w:w="997" w:type="pct"/>
            <w:tcBorders>
              <w:top w:val="single" w:sz="8" w:space="0" w:color="auto"/>
              <w:left w:val="single" w:sz="8" w:space="0" w:color="auto"/>
              <w:bottom w:val="single" w:sz="8" w:space="0" w:color="auto"/>
              <w:right w:val="single" w:sz="8" w:space="0" w:color="auto"/>
            </w:tcBorders>
            <w:shd w:val="clear" w:color="000000" w:fill="222A35"/>
            <w:vAlign w:val="center"/>
            <w:hideMark/>
          </w:tcPr>
          <w:p w14:paraId="71C1AF10" w14:textId="77777777" w:rsidR="007B3093" w:rsidRDefault="00000000">
            <w:pPr>
              <w:spacing w:after="0" w:line="240" w:lineRule="auto"/>
              <w:jc w:val="center"/>
              <w:rPr>
                <w:rFonts w:ascii="Calibri" w:eastAsia="Times New Roman" w:hAnsi="Calibri" w:cs="Calibri"/>
                <w:color w:val="FFFFFF"/>
                <w:lang w:val="en-US"/>
              </w:rPr>
            </w:pPr>
            <w:r>
              <w:rPr>
                <w:rFonts w:ascii="Calibri" w:eastAsia="Times New Roman" w:hAnsi="Calibri" w:cs="Calibri"/>
                <w:color w:val="FFFFFF"/>
              </w:rPr>
              <w:t>Componente y Actividad</w:t>
            </w:r>
          </w:p>
        </w:tc>
        <w:tc>
          <w:tcPr>
            <w:tcW w:w="3216" w:type="pct"/>
            <w:tcBorders>
              <w:top w:val="single" w:sz="8" w:space="0" w:color="auto"/>
              <w:left w:val="nil"/>
              <w:bottom w:val="single" w:sz="8" w:space="0" w:color="auto"/>
              <w:right w:val="single" w:sz="8" w:space="0" w:color="auto"/>
            </w:tcBorders>
            <w:shd w:val="clear" w:color="000000" w:fill="222A35"/>
            <w:vAlign w:val="center"/>
            <w:hideMark/>
          </w:tcPr>
          <w:p w14:paraId="2E65E250" w14:textId="77777777" w:rsidR="007B3093" w:rsidRDefault="00000000">
            <w:pPr>
              <w:spacing w:after="0" w:line="240" w:lineRule="auto"/>
              <w:jc w:val="center"/>
              <w:rPr>
                <w:rFonts w:ascii="Calibri" w:eastAsia="Times New Roman" w:hAnsi="Calibri" w:cs="Calibri"/>
                <w:color w:val="FFFFFF"/>
                <w:lang w:val="en-US"/>
              </w:rPr>
            </w:pPr>
            <w:r>
              <w:rPr>
                <w:rFonts w:ascii="Calibri" w:eastAsia="Times New Roman" w:hAnsi="Calibri" w:cs="Calibri"/>
                <w:color w:val="FFFFFF"/>
              </w:rPr>
              <w:t>Nombre de tarea</w:t>
            </w:r>
          </w:p>
        </w:tc>
        <w:tc>
          <w:tcPr>
            <w:tcW w:w="787" w:type="pct"/>
            <w:tcBorders>
              <w:top w:val="single" w:sz="8" w:space="0" w:color="auto"/>
              <w:left w:val="nil"/>
              <w:bottom w:val="single" w:sz="8" w:space="0" w:color="auto"/>
              <w:right w:val="single" w:sz="8" w:space="0" w:color="auto"/>
            </w:tcBorders>
            <w:shd w:val="clear" w:color="000000" w:fill="222A35"/>
            <w:vAlign w:val="center"/>
            <w:hideMark/>
          </w:tcPr>
          <w:p w14:paraId="15A7E750" w14:textId="77777777" w:rsidR="007B3093" w:rsidRDefault="00000000">
            <w:pPr>
              <w:spacing w:after="0" w:line="240" w:lineRule="auto"/>
              <w:jc w:val="center"/>
              <w:rPr>
                <w:rFonts w:ascii="Calibri" w:eastAsia="Times New Roman" w:hAnsi="Calibri" w:cs="Calibri"/>
                <w:color w:val="FFFFFF"/>
                <w:lang w:val="en-US"/>
              </w:rPr>
            </w:pPr>
            <w:r>
              <w:rPr>
                <w:rFonts w:ascii="Calibri" w:eastAsia="Times New Roman" w:hAnsi="Calibri" w:cs="Calibri"/>
                <w:color w:val="FFFFFF"/>
              </w:rPr>
              <w:t>Valor de la Tarea</w:t>
            </w:r>
          </w:p>
        </w:tc>
      </w:tr>
      <w:tr w:rsidR="007B3093" w14:paraId="6FA02AD5" w14:textId="77777777">
        <w:trPr>
          <w:trHeight w:val="311"/>
        </w:trPr>
        <w:tc>
          <w:tcPr>
            <w:tcW w:w="997" w:type="pct"/>
            <w:tcBorders>
              <w:top w:val="nil"/>
              <w:left w:val="single" w:sz="8" w:space="0" w:color="auto"/>
              <w:bottom w:val="single" w:sz="8" w:space="0" w:color="auto"/>
              <w:right w:val="single" w:sz="8" w:space="0" w:color="auto"/>
            </w:tcBorders>
            <w:shd w:val="clear" w:color="auto" w:fill="auto"/>
            <w:vAlign w:val="center"/>
            <w:hideMark/>
          </w:tcPr>
          <w:p w14:paraId="6FAF4B3D"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1.1</w:t>
            </w:r>
          </w:p>
        </w:tc>
        <w:tc>
          <w:tcPr>
            <w:tcW w:w="3216" w:type="pct"/>
            <w:tcBorders>
              <w:top w:val="nil"/>
              <w:left w:val="nil"/>
              <w:bottom w:val="single" w:sz="8" w:space="0" w:color="auto"/>
              <w:right w:val="single" w:sz="8" w:space="0" w:color="auto"/>
            </w:tcBorders>
            <w:shd w:val="clear" w:color="auto" w:fill="auto"/>
            <w:vAlign w:val="center"/>
            <w:hideMark/>
          </w:tcPr>
          <w:p w14:paraId="32E64E29" w14:textId="77777777" w:rsidR="007B3093" w:rsidRDefault="00000000">
            <w:pPr>
              <w:spacing w:after="0" w:line="240" w:lineRule="auto"/>
              <w:rPr>
                <w:rFonts w:ascii="Calibri" w:eastAsia="Times New Roman" w:hAnsi="Calibri" w:cs="Calibri"/>
                <w:color w:val="000000"/>
              </w:rPr>
            </w:pPr>
            <w:r>
              <w:rPr>
                <w:rFonts w:ascii="Calibri" w:eastAsia="Times New Roman" w:hAnsi="Calibri" w:cs="Calibri"/>
                <w:color w:val="000000"/>
              </w:rPr>
              <w:t>Propuesta de modelo de gestión de la PGE, gestión del cambio y riesgos</w:t>
            </w:r>
          </w:p>
        </w:tc>
        <w:tc>
          <w:tcPr>
            <w:tcW w:w="787" w:type="pct"/>
            <w:tcBorders>
              <w:top w:val="nil"/>
              <w:left w:val="nil"/>
              <w:bottom w:val="single" w:sz="8" w:space="0" w:color="auto"/>
              <w:right w:val="single" w:sz="8" w:space="0" w:color="auto"/>
            </w:tcBorders>
            <w:shd w:val="clear" w:color="auto" w:fill="auto"/>
            <w:vAlign w:val="center"/>
            <w:hideMark/>
          </w:tcPr>
          <w:p w14:paraId="48513D0E"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$189.067,88</w:t>
            </w:r>
          </w:p>
        </w:tc>
      </w:tr>
      <w:tr w:rsidR="007B3093" w14:paraId="6EB82A60" w14:textId="77777777">
        <w:trPr>
          <w:trHeight w:val="464"/>
        </w:trPr>
        <w:tc>
          <w:tcPr>
            <w:tcW w:w="997" w:type="pct"/>
            <w:tcBorders>
              <w:top w:val="nil"/>
              <w:left w:val="single" w:sz="8" w:space="0" w:color="auto"/>
              <w:bottom w:val="single" w:sz="8" w:space="0" w:color="auto"/>
              <w:right w:val="single" w:sz="8" w:space="0" w:color="auto"/>
            </w:tcBorders>
            <w:shd w:val="clear" w:color="auto" w:fill="auto"/>
            <w:vAlign w:val="center"/>
            <w:hideMark/>
          </w:tcPr>
          <w:p w14:paraId="6E982B08"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1.1</w:t>
            </w:r>
          </w:p>
        </w:tc>
        <w:tc>
          <w:tcPr>
            <w:tcW w:w="3216" w:type="pct"/>
            <w:tcBorders>
              <w:top w:val="nil"/>
              <w:left w:val="nil"/>
              <w:bottom w:val="single" w:sz="8" w:space="0" w:color="auto"/>
              <w:right w:val="single" w:sz="8" w:space="0" w:color="auto"/>
            </w:tcBorders>
            <w:shd w:val="clear" w:color="auto" w:fill="auto"/>
            <w:vAlign w:val="center"/>
            <w:hideMark/>
          </w:tcPr>
          <w:p w14:paraId="5EB7C345" w14:textId="77777777" w:rsidR="007B3093" w:rsidRDefault="00000000">
            <w:pPr>
              <w:spacing w:after="0" w:line="240" w:lineRule="auto"/>
              <w:rPr>
                <w:rFonts w:ascii="Calibri" w:eastAsia="Times New Roman" w:hAnsi="Calibri" w:cs="Calibri"/>
                <w:color w:val="000000"/>
              </w:rPr>
            </w:pPr>
            <w:r>
              <w:rPr>
                <w:rFonts w:ascii="Calibri" w:eastAsia="Times New Roman" w:hAnsi="Calibri" w:cs="Calibri"/>
                <w:color w:val="000000"/>
              </w:rPr>
              <w:t>Políticas y cronograma de implementación del Modelo Gestión, Gestión del Cambio e instrumentos</w:t>
            </w:r>
          </w:p>
        </w:tc>
        <w:tc>
          <w:tcPr>
            <w:tcW w:w="787" w:type="pct"/>
            <w:tcBorders>
              <w:top w:val="nil"/>
              <w:left w:val="nil"/>
              <w:bottom w:val="single" w:sz="8" w:space="0" w:color="auto"/>
              <w:right w:val="single" w:sz="8" w:space="0" w:color="auto"/>
            </w:tcBorders>
            <w:shd w:val="clear" w:color="auto" w:fill="auto"/>
            <w:vAlign w:val="center"/>
            <w:hideMark/>
          </w:tcPr>
          <w:p w14:paraId="4ACB2786"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$53.447,69</w:t>
            </w:r>
          </w:p>
        </w:tc>
      </w:tr>
      <w:tr w:rsidR="007B3093" w14:paraId="43A95B32" w14:textId="77777777">
        <w:trPr>
          <w:trHeight w:val="159"/>
        </w:trPr>
        <w:tc>
          <w:tcPr>
            <w:tcW w:w="997" w:type="pct"/>
            <w:tcBorders>
              <w:top w:val="nil"/>
              <w:left w:val="single" w:sz="8" w:space="0" w:color="auto"/>
              <w:bottom w:val="single" w:sz="8" w:space="0" w:color="auto"/>
              <w:right w:val="single" w:sz="8" w:space="0" w:color="auto"/>
            </w:tcBorders>
            <w:shd w:val="clear" w:color="auto" w:fill="auto"/>
            <w:vAlign w:val="center"/>
            <w:hideMark/>
          </w:tcPr>
          <w:p w14:paraId="2A3E97E4"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1.1</w:t>
            </w:r>
          </w:p>
        </w:tc>
        <w:tc>
          <w:tcPr>
            <w:tcW w:w="3216" w:type="pct"/>
            <w:tcBorders>
              <w:top w:val="nil"/>
              <w:left w:val="nil"/>
              <w:bottom w:val="single" w:sz="8" w:space="0" w:color="auto"/>
              <w:right w:val="single" w:sz="8" w:space="0" w:color="auto"/>
            </w:tcBorders>
            <w:shd w:val="clear" w:color="auto" w:fill="auto"/>
            <w:vAlign w:val="center"/>
            <w:hideMark/>
          </w:tcPr>
          <w:p w14:paraId="3E55D8C6" w14:textId="77777777" w:rsidR="007B3093" w:rsidRDefault="00000000">
            <w:pPr>
              <w:spacing w:after="0" w:line="240" w:lineRule="auto"/>
              <w:rPr>
                <w:rFonts w:ascii="Calibri" w:eastAsia="Times New Roman" w:hAnsi="Calibri" w:cs="Calibri"/>
                <w:color w:val="000000"/>
              </w:rPr>
            </w:pPr>
            <w:r>
              <w:rPr>
                <w:rFonts w:ascii="Calibri" w:eastAsia="Times New Roman" w:hAnsi="Calibri" w:cs="Calibri"/>
                <w:color w:val="000000"/>
              </w:rPr>
              <w:t>Manual de Procesos y Procedimientos</w:t>
            </w:r>
          </w:p>
        </w:tc>
        <w:tc>
          <w:tcPr>
            <w:tcW w:w="787" w:type="pct"/>
            <w:tcBorders>
              <w:top w:val="nil"/>
              <w:left w:val="nil"/>
              <w:bottom w:val="single" w:sz="8" w:space="0" w:color="auto"/>
              <w:right w:val="single" w:sz="8" w:space="0" w:color="auto"/>
            </w:tcBorders>
            <w:shd w:val="clear" w:color="auto" w:fill="auto"/>
            <w:vAlign w:val="center"/>
            <w:hideMark/>
          </w:tcPr>
          <w:p w14:paraId="7E6A00B0"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$102.394,99</w:t>
            </w:r>
          </w:p>
        </w:tc>
      </w:tr>
      <w:tr w:rsidR="007B3093" w14:paraId="7DDDF8CF" w14:textId="77777777">
        <w:trPr>
          <w:trHeight w:val="311"/>
        </w:trPr>
        <w:tc>
          <w:tcPr>
            <w:tcW w:w="4213"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31C5F5C" w14:textId="77777777" w:rsidR="007B3093" w:rsidRDefault="00000000">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rPr>
              <w:t>TOTAL</w:t>
            </w:r>
          </w:p>
        </w:tc>
        <w:tc>
          <w:tcPr>
            <w:tcW w:w="787" w:type="pct"/>
            <w:tcBorders>
              <w:top w:val="nil"/>
              <w:left w:val="nil"/>
              <w:bottom w:val="single" w:sz="8" w:space="0" w:color="auto"/>
              <w:right w:val="single" w:sz="8" w:space="0" w:color="auto"/>
            </w:tcBorders>
            <w:shd w:val="clear" w:color="auto" w:fill="2E74B5" w:themeFill="accent1" w:themeFillShade="BF"/>
            <w:vAlign w:val="center"/>
            <w:hideMark/>
          </w:tcPr>
          <w:p w14:paraId="0283303B" w14:textId="77777777" w:rsidR="007B3093" w:rsidRDefault="00000000">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rPr>
              <w:t>$344.910,56</w:t>
            </w:r>
          </w:p>
        </w:tc>
      </w:tr>
    </w:tbl>
    <w:p w14:paraId="479F11F1" w14:textId="77777777" w:rsidR="007B3093" w:rsidRDefault="007B3093">
      <w:pPr>
        <w:autoSpaceDE w:val="0"/>
        <w:autoSpaceDN w:val="0"/>
        <w:adjustRightInd w:val="0"/>
        <w:spacing w:after="0" w:line="360" w:lineRule="auto"/>
        <w:rPr>
          <w:rFonts w:cstheme="minorHAnsi"/>
          <w:b/>
          <w:bCs/>
          <w:lang w:eastAsia="es-EC"/>
        </w:rPr>
      </w:pPr>
    </w:p>
    <w:p w14:paraId="3C8014F5" w14:textId="77777777" w:rsidR="007B3093" w:rsidRDefault="00000000">
      <w:pPr>
        <w:pStyle w:val="Ttulo2"/>
        <w:numPr>
          <w:ilvl w:val="3"/>
          <w:numId w:val="93"/>
        </w:numPr>
        <w:spacing w:before="240" w:after="120" w:line="360" w:lineRule="auto"/>
        <w:ind w:left="992"/>
        <w:rPr>
          <w:rFonts w:asciiTheme="minorHAnsi" w:hAnsiTheme="minorHAnsi" w:cstheme="minorHAnsi"/>
          <w:b/>
          <w:color w:val="auto"/>
          <w:sz w:val="22"/>
          <w:szCs w:val="22"/>
        </w:rPr>
      </w:pPr>
      <w:bookmarkStart w:id="48" w:name="_Toc1089455"/>
      <w:bookmarkStart w:id="49" w:name="_Toc195010072"/>
      <w:r>
        <w:rPr>
          <w:rFonts w:asciiTheme="minorHAnsi" w:hAnsiTheme="minorHAnsi" w:cstheme="minorHAnsi"/>
          <w:b/>
          <w:color w:val="auto"/>
          <w:sz w:val="22"/>
          <w:szCs w:val="22"/>
        </w:rPr>
        <w:t>Talento Humano</w:t>
      </w:r>
      <w:bookmarkEnd w:id="48"/>
      <w:bookmarkEnd w:id="49"/>
    </w:p>
    <w:p w14:paraId="18B0BCA5" w14:textId="77777777" w:rsidR="007B3093" w:rsidRDefault="00000000">
      <w:pPr>
        <w:pStyle w:val="Ttulo2"/>
        <w:numPr>
          <w:ilvl w:val="4"/>
          <w:numId w:val="93"/>
        </w:numPr>
        <w:spacing w:before="120" w:after="120" w:line="360" w:lineRule="auto"/>
        <w:ind w:left="1418"/>
        <w:rPr>
          <w:rFonts w:asciiTheme="minorHAnsi" w:hAnsiTheme="minorHAnsi" w:cstheme="minorHAnsi"/>
          <w:b/>
          <w:color w:val="auto"/>
          <w:sz w:val="22"/>
          <w:szCs w:val="22"/>
        </w:rPr>
      </w:pPr>
      <w:bookmarkStart w:id="50" w:name="_Toc1089456"/>
      <w:bookmarkStart w:id="51" w:name="_Toc195010073"/>
      <w:r>
        <w:rPr>
          <w:rFonts w:asciiTheme="minorHAnsi" w:hAnsiTheme="minorHAnsi" w:cstheme="minorHAnsi"/>
          <w:b/>
          <w:color w:val="auto"/>
          <w:sz w:val="22"/>
          <w:szCs w:val="22"/>
        </w:rPr>
        <w:t>Plan de Carrera en función de un Régimen Especial del Servicio Público</w:t>
      </w:r>
      <w:bookmarkEnd w:id="50"/>
      <w:bookmarkEnd w:id="51"/>
    </w:p>
    <w:p w14:paraId="4F41BDEA"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Si bien los salarios y la capacitación (elementos que se analizarán en esta sección) son factores importantes que motivan al talento humano, se requiere también un Plan de Carrera para la </w:t>
      </w:r>
      <w:r>
        <w:rPr>
          <w:rFonts w:cstheme="minorHAnsi"/>
          <w:bCs/>
        </w:rPr>
        <w:t>Procuraduría General del Estado</w:t>
      </w:r>
      <w:r>
        <w:rPr>
          <w:rFonts w:cstheme="minorHAnsi"/>
        </w:rPr>
        <w:t>, como una estrategia para retener al personal formado en temas tan especializados como los que maneja la institución. Como lo señala el artículo 18 de la LOSEP, “</w:t>
      </w:r>
      <w:r>
        <w:rPr>
          <w:rFonts w:cstheme="minorHAnsi"/>
          <w:i/>
        </w:rPr>
        <w:t>Estabilidad de las y los servidores públicos. -  Se establece dentro del sector público, la carrera del servicio público, con el fin de obtener eficiencia en la función pública, mediante la implantación del sistema de méritos y oposición</w:t>
      </w:r>
      <w:r>
        <w:rPr>
          <w:rFonts w:cstheme="minorHAnsi"/>
        </w:rPr>
        <w:t>…”</w:t>
      </w:r>
    </w:p>
    <w:p w14:paraId="281F87C9" w14:textId="77777777" w:rsidR="007B3093" w:rsidRDefault="00000000">
      <w:pPr>
        <w:pStyle w:val="Prrafodelista"/>
        <w:spacing w:before="120" w:after="120" w:line="360" w:lineRule="auto"/>
        <w:ind w:left="142"/>
        <w:contextualSpacing w:val="0"/>
        <w:jc w:val="both"/>
      </w:pPr>
      <w:r>
        <w:rPr>
          <w:rFonts w:cstheme="minorHAnsi"/>
        </w:rPr>
        <w:t xml:space="preserve">Actualmente, la entidad no cuenta con uno, por lo que se requiere incorporarlo, sobre la base de las normas que para el efecto tenga el Ministerio de Trabajo.  Es importante considerar que para el desarrollo del Plan de carrera </w:t>
      </w:r>
      <w:r>
        <w:t>se requiere contar con políticas, métodos, normas y procedimientos orientados a motivar el ingreso a la institución y el ascenso dentro de ella, sobre la base de méritos. Adicionalmente, se requiere trabajar en perfiles de entrada y de salida, por lo que la actualización previa del Manual de Puestos es primordial.</w:t>
      </w:r>
    </w:p>
    <w:p w14:paraId="5CA8F253" w14:textId="77777777" w:rsidR="007B3093" w:rsidRDefault="00000000">
      <w:pPr>
        <w:pStyle w:val="Prrafodelista"/>
        <w:spacing w:before="120" w:after="120" w:line="360" w:lineRule="auto"/>
        <w:ind w:left="142"/>
        <w:contextualSpacing w:val="0"/>
        <w:jc w:val="both"/>
      </w:pPr>
      <w:r>
        <w:t>Conforme a los avances realizados producto de la gestión del proyecto, la institución actualmente cuenta con los documentos e insumos desarrollados para la implementación del Plan de carrera, sin embargo dependemos de entidades externas y financiamiento para su efectiva aplicación.</w:t>
      </w:r>
    </w:p>
    <w:p w14:paraId="58653EDB" w14:textId="77777777" w:rsidR="007B3093" w:rsidRDefault="007B3093">
      <w:pPr>
        <w:pStyle w:val="Sinespaciado"/>
      </w:pPr>
    </w:p>
    <w:p w14:paraId="3F293632" w14:textId="77777777" w:rsidR="007B3093" w:rsidRDefault="00000000">
      <w:pPr>
        <w:pStyle w:val="Ttulo2"/>
        <w:numPr>
          <w:ilvl w:val="4"/>
          <w:numId w:val="93"/>
        </w:numPr>
        <w:spacing w:before="120" w:after="120" w:line="360" w:lineRule="auto"/>
        <w:ind w:left="1418"/>
        <w:rPr>
          <w:rFonts w:asciiTheme="minorHAnsi" w:hAnsiTheme="minorHAnsi" w:cstheme="minorHAnsi"/>
          <w:b/>
          <w:color w:val="auto"/>
          <w:sz w:val="22"/>
          <w:szCs w:val="22"/>
        </w:rPr>
      </w:pPr>
      <w:bookmarkStart w:id="52" w:name="_Toc1089457"/>
      <w:bookmarkStart w:id="53" w:name="_Toc195010074"/>
      <w:r>
        <w:rPr>
          <w:rFonts w:asciiTheme="minorHAnsi" w:hAnsiTheme="minorHAnsi" w:cstheme="minorHAnsi"/>
          <w:b/>
          <w:color w:val="auto"/>
          <w:sz w:val="22"/>
          <w:szCs w:val="22"/>
        </w:rPr>
        <w:lastRenderedPageBreak/>
        <w:t>Escala Salarial</w:t>
      </w:r>
      <w:bookmarkEnd w:id="52"/>
      <w:bookmarkEnd w:id="53"/>
    </w:p>
    <w:p w14:paraId="2B10DF74"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En la institución existe una diferencia salarial entre procesos adjetivos y sustantivos, a criterio de la Dirección de Talento Humano estas diferencias no deberían existir, pues los niveles de responsabilidad de un Director de un área </w:t>
      </w:r>
      <w:proofErr w:type="spellStart"/>
      <w:r>
        <w:rPr>
          <w:rFonts w:cstheme="minorHAnsi"/>
        </w:rPr>
        <w:t>agregadora</w:t>
      </w:r>
      <w:proofErr w:type="spellEnd"/>
      <w:r>
        <w:rPr>
          <w:rFonts w:cstheme="minorHAnsi"/>
        </w:rPr>
        <w:t xml:space="preserve"> de valor, frente a una de apoyo, son iguales, pero de diferente ámbito e índole.  Sobre este tema, en otras instituciones del Estado, como por ejemplo la Contraloría General del Estado, los salarios son iguales para ambas partes.  En virtud de lo anterior, se requiere revisar la estructura salarial, como una manera de buscar mejorar el clima laboral en la entidad.</w:t>
      </w:r>
    </w:p>
    <w:p w14:paraId="41591CF6" w14:textId="77777777" w:rsidR="007B3093" w:rsidRDefault="00000000">
      <w:pPr>
        <w:pStyle w:val="Prrafodelista"/>
        <w:spacing w:before="120" w:after="120" w:line="360" w:lineRule="auto"/>
        <w:ind w:left="142"/>
        <w:contextualSpacing w:val="0"/>
        <w:jc w:val="both"/>
      </w:pPr>
      <w:r>
        <w:rPr>
          <w:rFonts w:cstheme="minorHAnsi"/>
        </w:rPr>
        <w:t xml:space="preserve">De igual manera en este aspecto, </w:t>
      </w:r>
      <w:r>
        <w:t>dependemos de entidades externas y financiamiento para su efectiva aplicación.</w:t>
      </w:r>
      <w:r>
        <w:rPr>
          <w:rFonts w:cstheme="minorHAnsi"/>
        </w:rPr>
        <w:t xml:space="preserve"> </w:t>
      </w:r>
    </w:p>
    <w:p w14:paraId="12B8EF93" w14:textId="77777777" w:rsidR="007B3093" w:rsidRDefault="007B3093">
      <w:pPr>
        <w:pStyle w:val="Sinespaciado"/>
      </w:pPr>
    </w:p>
    <w:p w14:paraId="5BCB8496" w14:textId="77777777" w:rsidR="007B3093" w:rsidRDefault="00000000">
      <w:pPr>
        <w:pStyle w:val="Ttulo2"/>
        <w:numPr>
          <w:ilvl w:val="4"/>
          <w:numId w:val="93"/>
        </w:numPr>
        <w:spacing w:before="120" w:after="120" w:line="360" w:lineRule="auto"/>
        <w:ind w:left="1418"/>
        <w:rPr>
          <w:rFonts w:asciiTheme="minorHAnsi" w:hAnsiTheme="minorHAnsi" w:cstheme="minorHAnsi"/>
          <w:b/>
          <w:color w:val="auto"/>
          <w:sz w:val="22"/>
          <w:szCs w:val="22"/>
        </w:rPr>
      </w:pPr>
      <w:bookmarkStart w:id="54" w:name="_Toc1089458"/>
      <w:bookmarkStart w:id="55" w:name="_Toc195010075"/>
      <w:r>
        <w:rPr>
          <w:rFonts w:asciiTheme="minorHAnsi" w:hAnsiTheme="minorHAnsi" w:cstheme="minorHAnsi"/>
          <w:b/>
          <w:color w:val="auto"/>
          <w:sz w:val="22"/>
          <w:szCs w:val="22"/>
        </w:rPr>
        <w:t>Sistema de Capacitación.</w:t>
      </w:r>
      <w:bookmarkEnd w:id="54"/>
      <w:bookmarkEnd w:id="55"/>
      <w:r>
        <w:rPr>
          <w:rFonts w:asciiTheme="minorHAnsi" w:hAnsiTheme="minorHAnsi" w:cstheme="minorHAnsi"/>
          <w:b/>
          <w:color w:val="auto"/>
          <w:sz w:val="22"/>
          <w:szCs w:val="22"/>
        </w:rPr>
        <w:t xml:space="preserve"> </w:t>
      </w:r>
    </w:p>
    <w:p w14:paraId="29AA5273" w14:textId="77777777" w:rsidR="007B3093" w:rsidRDefault="00000000">
      <w:pPr>
        <w:pStyle w:val="Prrafodelista"/>
        <w:spacing w:before="120" w:after="120" w:line="360" w:lineRule="auto"/>
        <w:ind w:left="142"/>
        <w:contextualSpacing w:val="0"/>
        <w:jc w:val="both"/>
        <w:rPr>
          <w:rFonts w:cstheme="minorHAnsi"/>
        </w:rPr>
      </w:pPr>
      <w:r>
        <w:rPr>
          <w:rFonts w:cstheme="minorHAnsi"/>
        </w:rPr>
        <w:t>Al momento la entidad se enfrenta a una restricción en los recursos con que cuenta para financiar los procesos de capacitación, lo que constituye una restricción para una unidad intensiva en “trabajo”.  Aparte de lo cual se requiere una unidad que esté a cargo de la “gestión del conocimiento” que potencie sus capacidades profesionales, misma que puede cumplir un papel fundamental para revelar los requerimientos de capacitación, en el marco de la promoción de la discusión académica de los contenidos jurídicos con las instituciones del Estado y los grupos o individuos interesados en el estudio de la temática a cargo de la Procuraduría General del Estado.</w:t>
      </w:r>
    </w:p>
    <w:p w14:paraId="0629C518" w14:textId="77777777" w:rsidR="007B3093" w:rsidRDefault="00000000">
      <w:pPr>
        <w:spacing w:before="120" w:after="120" w:line="360" w:lineRule="auto"/>
        <w:ind w:firstLine="142"/>
        <w:jc w:val="both"/>
        <w:rPr>
          <w:rFonts w:cstheme="minorHAnsi"/>
          <w:sz w:val="24"/>
        </w:rPr>
      </w:pPr>
      <w:r>
        <w:rPr>
          <w:rFonts w:cstheme="minorHAnsi"/>
        </w:rPr>
        <w:t>Las tareas del proyecto que corresponden al Talento Humano son</w:t>
      </w:r>
      <w:r>
        <w:rPr>
          <w:rFonts w:cstheme="minorHAnsi"/>
          <w:sz w:val="24"/>
        </w:rPr>
        <w:t>:</w:t>
      </w:r>
    </w:p>
    <w:p w14:paraId="0B7AEFDB" w14:textId="77777777" w:rsidR="007B3093" w:rsidRDefault="00000000">
      <w:pPr>
        <w:autoSpaceDE w:val="0"/>
        <w:autoSpaceDN w:val="0"/>
        <w:adjustRightInd w:val="0"/>
        <w:spacing w:after="0" w:line="360" w:lineRule="auto"/>
        <w:jc w:val="center"/>
        <w:rPr>
          <w:rFonts w:cstheme="minorHAnsi"/>
          <w:b/>
          <w:bCs/>
          <w:lang w:eastAsia="es-EC"/>
        </w:rPr>
      </w:pPr>
      <w:r>
        <w:rPr>
          <w:rFonts w:cstheme="minorHAnsi"/>
          <w:b/>
          <w:bCs/>
          <w:lang w:eastAsia="es-EC"/>
        </w:rPr>
        <w:t>Tabla 19: Tareas correspondientes a Talento Humano</w:t>
      </w:r>
      <w:r>
        <w:rPr>
          <w:lang w:eastAsia="es-EC"/>
        </w:rPr>
        <w:fldChar w:fldCharType="begin"/>
      </w:r>
      <w:r>
        <w:rPr>
          <w:lang w:eastAsia="es-EC"/>
        </w:rPr>
        <w:instrText xml:space="preserve"> LINK Excel.Sheet.12 "https://pgeecuador-my.sharepoint.com/personal/maira_cedeno_pge_gob_ec/Documents/Escritorio/REPROG.OCT24/16102024%20TABLAS%20ACTUALIZACION%20DEL%20CRONOGRAMA.xlsx" "TABLAS ACTUALIZADAS102024!F8C6:F13C8" \a \f 4 \h  \* MERGEFORMAT </w:instrText>
      </w:r>
      <w:r>
        <w:rPr>
          <w:lang w:eastAsia="es-EC"/>
        </w:rPr>
        <w:fldChar w:fldCharType="separate"/>
      </w:r>
    </w:p>
    <w:tbl>
      <w:tblPr>
        <w:tblW w:w="8815" w:type="dxa"/>
        <w:tblCellMar>
          <w:left w:w="70" w:type="dxa"/>
          <w:right w:w="70" w:type="dxa"/>
        </w:tblCellMar>
        <w:tblLook w:val="04A0" w:firstRow="1" w:lastRow="0" w:firstColumn="1" w:lastColumn="0" w:noHBand="0" w:noVBand="1"/>
      </w:tblPr>
      <w:tblGrid>
        <w:gridCol w:w="1833"/>
        <w:gridCol w:w="5026"/>
        <w:gridCol w:w="1956"/>
      </w:tblGrid>
      <w:tr w:rsidR="007B3093" w14:paraId="50537D66" w14:textId="77777777">
        <w:trPr>
          <w:trHeight w:val="530"/>
        </w:trPr>
        <w:tc>
          <w:tcPr>
            <w:tcW w:w="1833" w:type="dxa"/>
            <w:tcBorders>
              <w:top w:val="single" w:sz="8" w:space="0" w:color="auto"/>
              <w:left w:val="single" w:sz="8" w:space="0" w:color="auto"/>
              <w:bottom w:val="single" w:sz="8" w:space="0" w:color="auto"/>
              <w:right w:val="single" w:sz="8" w:space="0" w:color="auto"/>
            </w:tcBorders>
            <w:shd w:val="clear" w:color="000000" w:fill="222A35"/>
            <w:vAlign w:val="center"/>
            <w:hideMark/>
          </w:tcPr>
          <w:p w14:paraId="065058A3" w14:textId="77777777" w:rsidR="007B3093" w:rsidRDefault="00000000">
            <w:pPr>
              <w:spacing w:after="0" w:line="240" w:lineRule="auto"/>
              <w:jc w:val="center"/>
              <w:rPr>
                <w:rFonts w:ascii="Calibri" w:eastAsia="Times New Roman" w:hAnsi="Calibri" w:cs="Calibri"/>
                <w:color w:val="FFFFFF"/>
                <w:lang w:eastAsia="es-EC"/>
              </w:rPr>
            </w:pPr>
            <w:r>
              <w:rPr>
                <w:rFonts w:ascii="Calibri" w:eastAsia="Times New Roman" w:hAnsi="Calibri" w:cs="Calibri"/>
                <w:color w:val="FFFFFF"/>
                <w:lang w:eastAsia="es-EC"/>
              </w:rPr>
              <w:t>Componente y Actividad</w:t>
            </w:r>
          </w:p>
        </w:tc>
        <w:tc>
          <w:tcPr>
            <w:tcW w:w="5026" w:type="dxa"/>
            <w:tcBorders>
              <w:top w:val="single" w:sz="8" w:space="0" w:color="auto"/>
              <w:left w:val="nil"/>
              <w:bottom w:val="single" w:sz="8" w:space="0" w:color="auto"/>
              <w:right w:val="single" w:sz="8" w:space="0" w:color="auto"/>
            </w:tcBorders>
            <w:shd w:val="clear" w:color="000000" w:fill="222A35"/>
            <w:vAlign w:val="center"/>
            <w:hideMark/>
          </w:tcPr>
          <w:p w14:paraId="536521E8" w14:textId="77777777" w:rsidR="007B3093" w:rsidRDefault="00000000">
            <w:pPr>
              <w:spacing w:after="0" w:line="240" w:lineRule="auto"/>
              <w:jc w:val="center"/>
              <w:rPr>
                <w:rFonts w:ascii="Calibri" w:eastAsia="Times New Roman" w:hAnsi="Calibri" w:cs="Calibri"/>
                <w:color w:val="FFFFFF"/>
                <w:lang w:eastAsia="es-EC"/>
              </w:rPr>
            </w:pPr>
            <w:r>
              <w:rPr>
                <w:rFonts w:ascii="Calibri" w:eastAsia="Times New Roman" w:hAnsi="Calibri" w:cs="Calibri"/>
                <w:color w:val="FFFFFF"/>
                <w:lang w:eastAsia="es-EC"/>
              </w:rPr>
              <w:t>Nombre de Tarea</w:t>
            </w:r>
          </w:p>
        </w:tc>
        <w:tc>
          <w:tcPr>
            <w:tcW w:w="1956" w:type="dxa"/>
            <w:tcBorders>
              <w:top w:val="single" w:sz="8" w:space="0" w:color="auto"/>
              <w:left w:val="nil"/>
              <w:bottom w:val="single" w:sz="8" w:space="0" w:color="auto"/>
              <w:right w:val="single" w:sz="8" w:space="0" w:color="auto"/>
            </w:tcBorders>
            <w:shd w:val="clear" w:color="000000" w:fill="222A35"/>
            <w:vAlign w:val="center"/>
            <w:hideMark/>
          </w:tcPr>
          <w:p w14:paraId="69D2A010" w14:textId="77777777" w:rsidR="007B3093" w:rsidRDefault="00000000">
            <w:pPr>
              <w:spacing w:after="0" w:line="240" w:lineRule="auto"/>
              <w:jc w:val="center"/>
              <w:rPr>
                <w:rFonts w:ascii="Calibri" w:eastAsia="Times New Roman" w:hAnsi="Calibri" w:cs="Calibri"/>
                <w:color w:val="FFFFFF"/>
                <w:lang w:eastAsia="es-EC"/>
              </w:rPr>
            </w:pPr>
            <w:r>
              <w:rPr>
                <w:rFonts w:ascii="Calibri" w:eastAsia="Times New Roman" w:hAnsi="Calibri" w:cs="Calibri"/>
                <w:color w:val="FFFFFF"/>
                <w:lang w:eastAsia="es-EC"/>
              </w:rPr>
              <w:t>Valor de la Tarea</w:t>
            </w:r>
          </w:p>
        </w:tc>
      </w:tr>
      <w:tr w:rsidR="007B3093" w14:paraId="77AF9487" w14:textId="77777777">
        <w:trPr>
          <w:trHeight w:val="79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2DFE8800"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1.1</w:t>
            </w:r>
          </w:p>
        </w:tc>
        <w:tc>
          <w:tcPr>
            <w:tcW w:w="5026" w:type="dxa"/>
            <w:tcBorders>
              <w:top w:val="nil"/>
              <w:left w:val="nil"/>
              <w:bottom w:val="single" w:sz="8" w:space="0" w:color="auto"/>
              <w:right w:val="single" w:sz="8" w:space="0" w:color="auto"/>
            </w:tcBorders>
            <w:shd w:val="clear" w:color="auto" w:fill="auto"/>
            <w:vAlign w:val="center"/>
            <w:hideMark/>
          </w:tcPr>
          <w:p w14:paraId="18B42897"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Diseñar la metodología y herramientas para la medición, seguimiento y evaluación de la gestión institucional</w:t>
            </w:r>
          </w:p>
        </w:tc>
        <w:tc>
          <w:tcPr>
            <w:tcW w:w="1956" w:type="dxa"/>
            <w:tcBorders>
              <w:top w:val="nil"/>
              <w:left w:val="nil"/>
              <w:bottom w:val="single" w:sz="8" w:space="0" w:color="auto"/>
              <w:right w:val="single" w:sz="8" w:space="0" w:color="auto"/>
            </w:tcBorders>
            <w:shd w:val="clear" w:color="000000" w:fill="FFFFFF"/>
            <w:vAlign w:val="center"/>
            <w:hideMark/>
          </w:tcPr>
          <w:p w14:paraId="5285F25C"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$49.153,45</w:t>
            </w:r>
          </w:p>
        </w:tc>
      </w:tr>
      <w:tr w:rsidR="007B3093" w14:paraId="7B949C14" w14:textId="77777777">
        <w:trPr>
          <w:trHeight w:val="53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25E1E878"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1.2</w:t>
            </w:r>
          </w:p>
        </w:tc>
        <w:tc>
          <w:tcPr>
            <w:tcW w:w="5026" w:type="dxa"/>
            <w:tcBorders>
              <w:top w:val="nil"/>
              <w:left w:val="nil"/>
              <w:bottom w:val="single" w:sz="8" w:space="0" w:color="auto"/>
              <w:right w:val="single" w:sz="8" w:space="0" w:color="auto"/>
            </w:tcBorders>
            <w:shd w:val="clear" w:color="auto" w:fill="auto"/>
            <w:vAlign w:val="center"/>
            <w:hideMark/>
          </w:tcPr>
          <w:p w14:paraId="66A00CF2" w14:textId="77777777" w:rsidR="007B3093" w:rsidRDefault="00000000">
            <w:pPr>
              <w:spacing w:after="0" w:line="240" w:lineRule="auto"/>
              <w:jc w:val="both"/>
              <w:rPr>
                <w:rFonts w:ascii="Calibri" w:eastAsia="Times New Roman" w:hAnsi="Calibri" w:cs="Calibri"/>
                <w:color w:val="000000"/>
                <w:lang w:eastAsia="es-EC"/>
              </w:rPr>
            </w:pPr>
            <w:r>
              <w:rPr>
                <w:rFonts w:ascii="Calibri" w:eastAsia="Times New Roman" w:hAnsi="Calibri" w:cs="Calibri"/>
                <w:color w:val="000000"/>
                <w:lang w:eastAsia="es-EC"/>
              </w:rPr>
              <w:t>Plan de Capacitación Áreas Misionales Institucional (Grupo Anfitrión y otras)</w:t>
            </w:r>
          </w:p>
        </w:tc>
        <w:tc>
          <w:tcPr>
            <w:tcW w:w="1956" w:type="dxa"/>
            <w:tcBorders>
              <w:top w:val="nil"/>
              <w:left w:val="nil"/>
              <w:bottom w:val="single" w:sz="8" w:space="0" w:color="auto"/>
              <w:right w:val="single" w:sz="8" w:space="0" w:color="auto"/>
            </w:tcBorders>
            <w:shd w:val="clear" w:color="000000" w:fill="FFFFFF"/>
            <w:vAlign w:val="center"/>
            <w:hideMark/>
          </w:tcPr>
          <w:p w14:paraId="251D9973"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$74.960,00</w:t>
            </w:r>
          </w:p>
        </w:tc>
      </w:tr>
      <w:tr w:rsidR="007B3093" w14:paraId="4235F641" w14:textId="77777777">
        <w:trPr>
          <w:trHeight w:val="53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0F349A2A"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2.1</w:t>
            </w:r>
          </w:p>
        </w:tc>
        <w:tc>
          <w:tcPr>
            <w:tcW w:w="5026" w:type="dxa"/>
            <w:tcBorders>
              <w:top w:val="nil"/>
              <w:left w:val="nil"/>
              <w:bottom w:val="single" w:sz="8" w:space="0" w:color="auto"/>
              <w:right w:val="single" w:sz="8" w:space="0" w:color="auto"/>
            </w:tcBorders>
            <w:shd w:val="clear" w:color="auto" w:fill="auto"/>
            <w:vAlign w:val="center"/>
            <w:hideMark/>
          </w:tcPr>
          <w:p w14:paraId="700AEA23" w14:textId="77777777" w:rsidR="007B3093" w:rsidRDefault="00000000">
            <w:pPr>
              <w:spacing w:after="0" w:line="240" w:lineRule="auto"/>
              <w:jc w:val="both"/>
              <w:rPr>
                <w:rFonts w:ascii="Calibri" w:eastAsia="Times New Roman" w:hAnsi="Calibri" w:cs="Calibri"/>
                <w:color w:val="000000"/>
                <w:lang w:eastAsia="es-EC"/>
              </w:rPr>
            </w:pPr>
            <w:r>
              <w:rPr>
                <w:rFonts w:ascii="Calibri" w:eastAsia="Times New Roman" w:hAnsi="Calibri" w:cs="Calibri"/>
                <w:color w:val="000000"/>
                <w:lang w:eastAsia="es-EC"/>
              </w:rPr>
              <w:t>Capacitación a Funcionarios de la PGE en áreas jurídicas y gestión de casos orales</w:t>
            </w:r>
          </w:p>
        </w:tc>
        <w:tc>
          <w:tcPr>
            <w:tcW w:w="1956" w:type="dxa"/>
            <w:tcBorders>
              <w:top w:val="nil"/>
              <w:left w:val="nil"/>
              <w:bottom w:val="single" w:sz="8" w:space="0" w:color="auto"/>
              <w:right w:val="single" w:sz="8" w:space="0" w:color="auto"/>
            </w:tcBorders>
            <w:shd w:val="clear" w:color="000000" w:fill="FFFFFF"/>
            <w:vAlign w:val="center"/>
            <w:hideMark/>
          </w:tcPr>
          <w:p w14:paraId="6DC53959"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$85.750,18</w:t>
            </w:r>
          </w:p>
        </w:tc>
      </w:tr>
      <w:tr w:rsidR="007B3093" w14:paraId="23953BF5" w14:textId="77777777">
        <w:trPr>
          <w:trHeight w:val="53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2B34FD3F"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2.2</w:t>
            </w:r>
          </w:p>
        </w:tc>
        <w:tc>
          <w:tcPr>
            <w:tcW w:w="5026" w:type="dxa"/>
            <w:tcBorders>
              <w:top w:val="nil"/>
              <w:left w:val="nil"/>
              <w:bottom w:val="single" w:sz="8" w:space="0" w:color="auto"/>
              <w:right w:val="single" w:sz="8" w:space="0" w:color="auto"/>
            </w:tcBorders>
            <w:shd w:val="clear" w:color="auto" w:fill="auto"/>
            <w:vAlign w:val="center"/>
            <w:hideMark/>
          </w:tcPr>
          <w:p w14:paraId="2AE4275D" w14:textId="77777777" w:rsidR="007B3093" w:rsidRDefault="00000000">
            <w:pPr>
              <w:spacing w:after="0" w:line="240" w:lineRule="auto"/>
              <w:jc w:val="both"/>
              <w:rPr>
                <w:rFonts w:ascii="Calibri" w:eastAsia="Times New Roman" w:hAnsi="Calibri" w:cs="Calibri"/>
                <w:color w:val="000000"/>
                <w:lang w:eastAsia="es-EC"/>
              </w:rPr>
            </w:pPr>
            <w:r>
              <w:rPr>
                <w:rFonts w:ascii="Calibri" w:eastAsia="Times New Roman" w:hAnsi="Calibri" w:cs="Calibri"/>
                <w:color w:val="000000"/>
                <w:lang w:eastAsia="es-EC"/>
              </w:rPr>
              <w:t>Capacitación especializada en jurisprudencia internacional</w:t>
            </w:r>
          </w:p>
        </w:tc>
        <w:tc>
          <w:tcPr>
            <w:tcW w:w="1956" w:type="dxa"/>
            <w:tcBorders>
              <w:top w:val="nil"/>
              <w:left w:val="nil"/>
              <w:bottom w:val="single" w:sz="8" w:space="0" w:color="auto"/>
              <w:right w:val="single" w:sz="8" w:space="0" w:color="auto"/>
            </w:tcBorders>
            <w:shd w:val="clear" w:color="000000" w:fill="FFFFFF"/>
            <w:vAlign w:val="center"/>
            <w:hideMark/>
          </w:tcPr>
          <w:p w14:paraId="0DC6ED96"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$21.365,78</w:t>
            </w:r>
          </w:p>
        </w:tc>
      </w:tr>
      <w:tr w:rsidR="007B3093" w14:paraId="611F50A3" w14:textId="77777777">
        <w:trPr>
          <w:trHeight w:val="270"/>
        </w:trPr>
        <w:tc>
          <w:tcPr>
            <w:tcW w:w="685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F29DCC7" w14:textId="77777777" w:rsidR="007B3093" w:rsidRDefault="00000000">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TOTAL</w:t>
            </w:r>
          </w:p>
        </w:tc>
        <w:tc>
          <w:tcPr>
            <w:tcW w:w="1956" w:type="dxa"/>
            <w:tcBorders>
              <w:top w:val="nil"/>
              <w:left w:val="nil"/>
              <w:bottom w:val="single" w:sz="8" w:space="0" w:color="auto"/>
              <w:right w:val="single" w:sz="8" w:space="0" w:color="auto"/>
            </w:tcBorders>
            <w:shd w:val="clear" w:color="000000" w:fill="99A8BD"/>
            <w:vAlign w:val="center"/>
            <w:hideMark/>
          </w:tcPr>
          <w:p w14:paraId="74078FAA" w14:textId="77777777" w:rsidR="007B3093" w:rsidRDefault="00000000">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$231.229,41</w:t>
            </w:r>
          </w:p>
        </w:tc>
      </w:tr>
    </w:tbl>
    <w:p w14:paraId="09655C01" w14:textId="77777777" w:rsidR="007B3093" w:rsidRDefault="00000000">
      <w:pPr>
        <w:autoSpaceDE w:val="0"/>
        <w:autoSpaceDN w:val="0"/>
        <w:adjustRightInd w:val="0"/>
        <w:spacing w:after="0" w:line="360" w:lineRule="auto"/>
        <w:rPr>
          <w:rFonts w:cstheme="minorHAnsi"/>
          <w:b/>
          <w:bCs/>
          <w:lang w:eastAsia="es-EC"/>
        </w:rPr>
      </w:pPr>
      <w:r>
        <w:rPr>
          <w:rFonts w:cstheme="minorHAnsi"/>
          <w:b/>
          <w:bCs/>
          <w:lang w:eastAsia="es-EC"/>
        </w:rPr>
        <w:fldChar w:fldCharType="end"/>
      </w:r>
    </w:p>
    <w:p w14:paraId="10873D3A" w14:textId="77777777" w:rsidR="007B3093" w:rsidRDefault="00000000">
      <w:pPr>
        <w:pStyle w:val="Ttulo2"/>
        <w:numPr>
          <w:ilvl w:val="3"/>
          <w:numId w:val="93"/>
        </w:numPr>
        <w:spacing w:before="360" w:after="120" w:line="276" w:lineRule="auto"/>
        <w:ind w:left="850"/>
        <w:rPr>
          <w:rFonts w:asciiTheme="minorHAnsi" w:hAnsiTheme="minorHAnsi" w:cstheme="minorHAnsi"/>
          <w:b/>
          <w:color w:val="auto"/>
          <w:sz w:val="22"/>
          <w:szCs w:val="22"/>
        </w:rPr>
      </w:pPr>
      <w:bookmarkStart w:id="56" w:name="_Toc1089459"/>
      <w:bookmarkStart w:id="57" w:name="_Toc195010076"/>
      <w:r>
        <w:rPr>
          <w:rFonts w:asciiTheme="minorHAnsi" w:hAnsiTheme="minorHAnsi" w:cstheme="minorHAnsi"/>
          <w:b/>
          <w:color w:val="auto"/>
          <w:sz w:val="22"/>
          <w:szCs w:val="22"/>
        </w:rPr>
        <w:lastRenderedPageBreak/>
        <w:t>Infraestructura Tecnológica y Equipamiento</w:t>
      </w:r>
      <w:bookmarkEnd w:id="56"/>
      <w:bookmarkEnd w:id="57"/>
    </w:p>
    <w:p w14:paraId="2F4489A7" w14:textId="77777777" w:rsidR="007B3093" w:rsidRDefault="00000000">
      <w:pPr>
        <w:pStyle w:val="Ttulo2"/>
        <w:numPr>
          <w:ilvl w:val="4"/>
          <w:numId w:val="93"/>
        </w:numPr>
        <w:spacing w:before="120" w:after="120" w:line="276" w:lineRule="auto"/>
        <w:ind w:left="1276"/>
        <w:rPr>
          <w:rFonts w:asciiTheme="minorHAnsi" w:hAnsiTheme="minorHAnsi" w:cstheme="minorHAnsi"/>
          <w:b/>
          <w:color w:val="auto"/>
          <w:sz w:val="22"/>
          <w:szCs w:val="22"/>
        </w:rPr>
      </w:pPr>
      <w:bookmarkStart w:id="58" w:name="_Toc1089460"/>
      <w:bookmarkStart w:id="59" w:name="_Toc195010077"/>
      <w:r>
        <w:rPr>
          <w:rFonts w:asciiTheme="minorHAnsi" w:hAnsiTheme="minorHAnsi" w:cstheme="minorHAnsi"/>
          <w:b/>
          <w:color w:val="auto"/>
          <w:sz w:val="22"/>
          <w:szCs w:val="22"/>
        </w:rPr>
        <w:t>Plan de Modernización del Sistema Tecnológico y Comunicaciones</w:t>
      </w:r>
      <w:bookmarkEnd w:id="58"/>
      <w:bookmarkEnd w:id="59"/>
    </w:p>
    <w:p w14:paraId="73618C41"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Un punto de partida para el levantamiento de requerimientos tecnológicos del “Proyecto de Fortalecimiento Institucional” es el conjunto de requerimientos informáticos que actualmente tiene la Procuraduría General del Estado. La batería de requerimientos se presenta a continuación: </w:t>
      </w:r>
    </w:p>
    <w:p w14:paraId="004E897C" w14:textId="77777777" w:rsidR="007B3093" w:rsidRDefault="00000000">
      <w:pPr>
        <w:pStyle w:val="Prrafodelista"/>
        <w:numPr>
          <w:ilvl w:val="0"/>
          <w:numId w:val="91"/>
        </w:numPr>
        <w:spacing w:before="120" w:after="120" w:line="360" w:lineRule="auto"/>
        <w:contextualSpacing w:val="0"/>
        <w:jc w:val="both"/>
        <w:rPr>
          <w:rFonts w:cstheme="minorHAnsi"/>
        </w:rPr>
      </w:pPr>
      <w:r>
        <w:rPr>
          <w:rFonts w:cstheme="minorHAnsi"/>
        </w:rPr>
        <w:t>Sistema de asesoramiento jurídico</w:t>
      </w:r>
    </w:p>
    <w:p w14:paraId="5FFD14DD" w14:textId="77777777" w:rsidR="007B3093" w:rsidRDefault="00000000">
      <w:pPr>
        <w:pStyle w:val="Prrafodelista"/>
        <w:numPr>
          <w:ilvl w:val="0"/>
          <w:numId w:val="91"/>
        </w:numPr>
        <w:spacing w:before="120" w:after="120" w:line="360" w:lineRule="auto"/>
        <w:contextualSpacing w:val="0"/>
        <w:jc w:val="both"/>
        <w:rPr>
          <w:rFonts w:cstheme="minorHAnsi"/>
        </w:rPr>
      </w:pPr>
      <w:r>
        <w:rPr>
          <w:rFonts w:cstheme="minorHAnsi"/>
        </w:rPr>
        <w:t>Sistema informático integrado de la gestión interna</w:t>
      </w:r>
    </w:p>
    <w:p w14:paraId="0B1652AF" w14:textId="77777777" w:rsidR="007B3093" w:rsidRDefault="00000000">
      <w:pPr>
        <w:pStyle w:val="Prrafodelista"/>
        <w:numPr>
          <w:ilvl w:val="0"/>
          <w:numId w:val="91"/>
        </w:numPr>
        <w:spacing w:before="120" w:after="120" w:line="360" w:lineRule="auto"/>
        <w:contextualSpacing w:val="0"/>
        <w:jc w:val="both"/>
        <w:rPr>
          <w:rFonts w:cstheme="minorHAnsi"/>
        </w:rPr>
      </w:pPr>
      <w:r>
        <w:rPr>
          <w:rFonts w:cstheme="minorHAnsi"/>
        </w:rPr>
        <w:t>Sistema de Análisis estratégico</w:t>
      </w:r>
    </w:p>
    <w:p w14:paraId="726EB0C1" w14:textId="77777777" w:rsidR="007B3093" w:rsidRDefault="00000000">
      <w:pPr>
        <w:pStyle w:val="Prrafodelista"/>
        <w:numPr>
          <w:ilvl w:val="0"/>
          <w:numId w:val="91"/>
        </w:numPr>
        <w:spacing w:before="120" w:after="120" w:line="360" w:lineRule="auto"/>
        <w:contextualSpacing w:val="0"/>
        <w:jc w:val="both"/>
        <w:rPr>
          <w:rFonts w:cstheme="minorHAnsi"/>
        </w:rPr>
      </w:pPr>
      <w:r>
        <w:rPr>
          <w:rFonts w:cstheme="minorHAnsi"/>
        </w:rPr>
        <w:t>Plataforma de gestión de grandes volúmenes y análisis inteligente de datos</w:t>
      </w:r>
    </w:p>
    <w:p w14:paraId="1B7FCA43" w14:textId="77777777" w:rsidR="007B3093" w:rsidRDefault="00000000">
      <w:pPr>
        <w:pStyle w:val="Prrafodelista"/>
        <w:numPr>
          <w:ilvl w:val="0"/>
          <w:numId w:val="91"/>
        </w:numPr>
        <w:spacing w:before="120" w:after="120" w:line="360" w:lineRule="auto"/>
        <w:contextualSpacing w:val="0"/>
        <w:jc w:val="both"/>
        <w:rPr>
          <w:rFonts w:cstheme="minorHAnsi"/>
        </w:rPr>
      </w:pPr>
      <w:r>
        <w:rPr>
          <w:rFonts w:cstheme="minorHAnsi"/>
        </w:rPr>
        <w:t>Modernización de la Base de datos</w:t>
      </w:r>
    </w:p>
    <w:p w14:paraId="107F206B" w14:textId="77777777" w:rsidR="007B3093" w:rsidRDefault="00000000">
      <w:pPr>
        <w:pStyle w:val="Prrafodelista"/>
        <w:numPr>
          <w:ilvl w:val="0"/>
          <w:numId w:val="91"/>
        </w:numPr>
        <w:spacing w:before="120" w:after="120" w:line="360" w:lineRule="auto"/>
        <w:contextualSpacing w:val="0"/>
        <w:jc w:val="both"/>
        <w:rPr>
          <w:rFonts w:cstheme="minorHAnsi"/>
        </w:rPr>
      </w:pPr>
      <w:r>
        <w:rPr>
          <w:rFonts w:cstheme="minorHAnsi"/>
        </w:rPr>
        <w:t>Implementación de la Plataforma de orquestación de contenedores</w:t>
      </w:r>
    </w:p>
    <w:p w14:paraId="780B658F" w14:textId="77777777" w:rsidR="007B3093" w:rsidRDefault="007B3093">
      <w:pPr>
        <w:pStyle w:val="Prrafodelista"/>
        <w:spacing w:before="120" w:after="120" w:line="360" w:lineRule="auto"/>
        <w:ind w:left="502"/>
        <w:contextualSpacing w:val="0"/>
        <w:jc w:val="both"/>
        <w:rPr>
          <w:rFonts w:cstheme="minorHAnsi"/>
        </w:rPr>
      </w:pPr>
    </w:p>
    <w:p w14:paraId="68442418"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De estos requerimientos y del análisis de las capacidades informáticas de la Procuraduría General del Estado, se desprenden las posibilidades que todavía están por explotarse en: nuevos sistemas, mejora de los actuales, gobierno electrónico, portal institucional, etc., que ayuden a eliminar las restricciones en la parcelación de los sistemas, la restricción del flujo de información por mala discriminación en el establecimiento de perfiles, la falta de cobertura y conexión territorial de los sistemas y el déficit de reportes. </w:t>
      </w:r>
    </w:p>
    <w:p w14:paraId="1929A462" w14:textId="77777777" w:rsidR="007B3093" w:rsidRDefault="00000000">
      <w:pPr>
        <w:pStyle w:val="Prrafodelista"/>
        <w:spacing w:before="120" w:after="120" w:line="360" w:lineRule="auto"/>
        <w:ind w:left="142"/>
        <w:contextualSpacing w:val="0"/>
        <w:jc w:val="both"/>
        <w:rPr>
          <w:rFonts w:cstheme="minorHAnsi"/>
          <w:bCs/>
        </w:rPr>
      </w:pPr>
      <w:r>
        <w:rPr>
          <w:rFonts w:cstheme="minorHAnsi"/>
        </w:rPr>
        <w:t>Luego de construir la nueva estrategia institucional y el modelo de gestión, deberá acordarse el alcance de la utilización de</w:t>
      </w:r>
      <w:r>
        <w:rPr>
          <w:rFonts w:cstheme="minorHAnsi"/>
          <w:bCs/>
        </w:rPr>
        <w:t xml:space="preserve"> soluciones informáticas y de comunicación que estos requieran, de tal forma que estas herramientas contribuyan al cumplimiento de los resultados (e impactos), y apoye la extensión de la cobertura territorial que se establezca.  </w:t>
      </w:r>
    </w:p>
    <w:p w14:paraId="6D93FA26" w14:textId="77777777" w:rsidR="007B3093" w:rsidRDefault="007B3093">
      <w:pPr>
        <w:pStyle w:val="Prrafodelista"/>
        <w:spacing w:before="120" w:after="120" w:line="360" w:lineRule="auto"/>
        <w:ind w:left="142"/>
        <w:contextualSpacing w:val="0"/>
        <w:jc w:val="both"/>
        <w:rPr>
          <w:rFonts w:cstheme="minorHAnsi"/>
          <w:bCs/>
        </w:rPr>
      </w:pPr>
    </w:p>
    <w:p w14:paraId="60F066A2" w14:textId="77777777" w:rsidR="007B3093" w:rsidRDefault="00000000">
      <w:pPr>
        <w:pStyle w:val="Ttulo2"/>
        <w:numPr>
          <w:ilvl w:val="4"/>
          <w:numId w:val="93"/>
        </w:numPr>
        <w:spacing w:before="120" w:after="120" w:line="360" w:lineRule="auto"/>
        <w:ind w:left="1276"/>
        <w:rPr>
          <w:rFonts w:asciiTheme="minorHAnsi" w:hAnsiTheme="minorHAnsi" w:cstheme="minorHAnsi"/>
          <w:b/>
          <w:color w:val="auto"/>
          <w:sz w:val="22"/>
          <w:szCs w:val="22"/>
        </w:rPr>
      </w:pPr>
      <w:bookmarkStart w:id="60" w:name="_Toc1089461"/>
      <w:bookmarkStart w:id="61" w:name="_Toc195010078"/>
      <w:r>
        <w:rPr>
          <w:rFonts w:asciiTheme="minorHAnsi" w:hAnsiTheme="minorHAnsi" w:cstheme="minorHAnsi"/>
          <w:b/>
          <w:color w:val="auto"/>
          <w:sz w:val="22"/>
          <w:szCs w:val="22"/>
        </w:rPr>
        <w:t>Plan de Equipamiento e Infraestructuras Tecnológicas.</w:t>
      </w:r>
      <w:bookmarkEnd w:id="60"/>
      <w:bookmarkEnd w:id="61"/>
    </w:p>
    <w:p w14:paraId="019E452C" w14:textId="77777777" w:rsidR="007B3093" w:rsidRDefault="00000000">
      <w:pPr>
        <w:pStyle w:val="Prrafodelista"/>
        <w:spacing w:before="120" w:after="120" w:line="360" w:lineRule="auto"/>
        <w:ind w:left="142"/>
        <w:contextualSpacing w:val="0"/>
        <w:jc w:val="both"/>
        <w:rPr>
          <w:rFonts w:cstheme="minorHAnsi"/>
          <w:bCs/>
        </w:rPr>
      </w:pPr>
      <w:r>
        <w:rPr>
          <w:rFonts w:cstheme="minorHAnsi"/>
        </w:rPr>
        <w:t xml:space="preserve">La </w:t>
      </w:r>
      <w:r>
        <w:rPr>
          <w:rFonts w:cstheme="minorHAnsi"/>
          <w:bCs/>
        </w:rPr>
        <w:t>infraestructura física que la Procuraduría General del Estado posee es la siguiente: el edificio de la matriz en la Avenida Amazonas, el edificio y la casa de calle Robles (que están en comodato) y un piso en el edificio donde funciona la Dirección Regional 1 en la ciudad de Guayaquil. Todas las demás instalaciones que utiliza la institución en el territorio no son de propiedad de la institución.</w:t>
      </w:r>
    </w:p>
    <w:p w14:paraId="2FD0672D" w14:textId="77777777" w:rsidR="007B3093" w:rsidRDefault="00000000">
      <w:pPr>
        <w:pStyle w:val="Prrafodelista"/>
        <w:spacing w:before="120" w:after="120" w:line="360" w:lineRule="auto"/>
        <w:ind w:left="142"/>
        <w:contextualSpacing w:val="0"/>
        <w:jc w:val="both"/>
        <w:rPr>
          <w:rFonts w:cstheme="minorHAnsi"/>
        </w:rPr>
      </w:pPr>
      <w:r>
        <w:rPr>
          <w:rFonts w:cstheme="minorHAnsi"/>
          <w:bCs/>
        </w:rPr>
        <w:lastRenderedPageBreak/>
        <w:t>En la Medición de Clima Laboral y Cultura Organizacional, realizada por el Ministerio de Trabajo en noviembre de 2018, se estableció una recomendación respecto a implementar acciones de mejora, en las instalaciones de la</w:t>
      </w:r>
      <w:r>
        <w:rPr>
          <w:rFonts w:cstheme="minorHAnsi"/>
        </w:rPr>
        <w:t xml:space="preserve"> Procuraduría General del Estado</w:t>
      </w:r>
      <w:r>
        <w:rPr>
          <w:rStyle w:val="Refdenotaalpie"/>
          <w:rFonts w:cstheme="minorHAnsi"/>
        </w:rPr>
        <w:footnoteReference w:id="14"/>
      </w:r>
      <w:r>
        <w:rPr>
          <w:rFonts w:cstheme="minorHAnsi"/>
        </w:rPr>
        <w:t>. En lo que se refiere al edificio matriz, algunas oficinas son demasiado grandes, con paredes fijas que restringen las posibilidades de repartir las áreas de trabajo</w:t>
      </w:r>
      <w:r>
        <w:rPr>
          <w:rStyle w:val="Refdenotaalpie"/>
          <w:rFonts w:cstheme="minorHAnsi"/>
        </w:rPr>
        <w:footnoteReference w:id="15"/>
      </w:r>
      <w:r>
        <w:rPr>
          <w:rFonts w:cstheme="minorHAnsi"/>
        </w:rPr>
        <w:t xml:space="preserve">. En contraposición con otras en las cuales los funcionarios se encentran hacinados. Finalmente, se requieren instalaciones adicionales apropiadas para los casos de las actividades de mediación y los archivos institucionales.  </w:t>
      </w:r>
    </w:p>
    <w:p w14:paraId="6912FA0B"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Tanto la recomendación de implementar acciones de mejora, como lo establecido en las líneas precedentes, justifican la inclusión de soluciones administrativas respecto de la infraestructura institucional, dentro del “Proyecto”. Las decisiones que se tomen respecto en el marco del “Modelo de Gestión”, acorde a las validaciones técnicas que aplique MDT establecerán el alcance de las necesidades y cobertura de servicios en el territorio. </w:t>
      </w:r>
    </w:p>
    <w:p w14:paraId="180F7564"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Por otro lado, si bien en la evaluación del Ministerio de Trabajo se presentan resultados aceptables para el subfactor “herramientas”, algunas unidades institucionales han establecido requerimientos de: computadores, laptops, impresoras, </w:t>
      </w:r>
      <w:proofErr w:type="spellStart"/>
      <w:r>
        <w:rPr>
          <w:rFonts w:cstheme="minorHAnsi"/>
        </w:rPr>
        <w:t>scanners</w:t>
      </w:r>
      <w:proofErr w:type="spellEnd"/>
      <w:r>
        <w:rPr>
          <w:rFonts w:cstheme="minorHAnsi"/>
        </w:rPr>
        <w:t>, copiadoras, etc.</w:t>
      </w:r>
      <w:r>
        <w:rPr>
          <w:rStyle w:val="Refdenotaalpie"/>
          <w:rFonts w:cstheme="minorHAnsi"/>
        </w:rPr>
        <w:footnoteReference w:id="16"/>
      </w:r>
      <w:r>
        <w:rPr>
          <w:rFonts w:cstheme="minorHAnsi"/>
        </w:rPr>
        <w:t xml:space="preserve"> </w:t>
      </w:r>
    </w:p>
    <w:p w14:paraId="24174303" w14:textId="77777777" w:rsidR="007B3093" w:rsidRDefault="00000000">
      <w:pPr>
        <w:spacing w:before="120" w:after="120" w:line="276" w:lineRule="auto"/>
        <w:ind w:firstLine="142"/>
        <w:jc w:val="both"/>
        <w:rPr>
          <w:rFonts w:cstheme="minorHAnsi"/>
        </w:rPr>
      </w:pPr>
      <w:r>
        <w:rPr>
          <w:rFonts w:cstheme="minorHAnsi"/>
        </w:rPr>
        <w:t>Las tareas del proyecto que corresponden a la Infraestructura Tecnológica y Equipamiento son:</w:t>
      </w:r>
    </w:p>
    <w:p w14:paraId="2B72A115" w14:textId="77777777" w:rsidR="007B3093" w:rsidRDefault="007B3093">
      <w:pPr>
        <w:autoSpaceDE w:val="0"/>
        <w:autoSpaceDN w:val="0"/>
        <w:adjustRightInd w:val="0"/>
        <w:spacing w:after="0" w:line="276" w:lineRule="auto"/>
        <w:jc w:val="center"/>
        <w:rPr>
          <w:rFonts w:cstheme="minorHAnsi"/>
          <w:b/>
          <w:bCs/>
          <w:lang w:eastAsia="es-EC"/>
        </w:rPr>
      </w:pPr>
    </w:p>
    <w:p w14:paraId="679A780C" w14:textId="77777777" w:rsidR="007B3093" w:rsidRDefault="00000000">
      <w:pPr>
        <w:autoSpaceDE w:val="0"/>
        <w:autoSpaceDN w:val="0"/>
        <w:adjustRightInd w:val="0"/>
        <w:spacing w:after="0" w:line="276" w:lineRule="auto"/>
        <w:jc w:val="center"/>
        <w:rPr>
          <w:rFonts w:cstheme="minorHAnsi"/>
          <w:b/>
          <w:bCs/>
          <w:lang w:eastAsia="es-EC"/>
        </w:rPr>
      </w:pPr>
      <w:r>
        <w:rPr>
          <w:rFonts w:cstheme="minorHAnsi"/>
          <w:b/>
          <w:bCs/>
          <w:lang w:eastAsia="es-EC"/>
        </w:rPr>
        <w:t>Tabla 20: Tareas correspondientes a la Infraestructura Tecnológica y Equipamiento</w:t>
      </w:r>
    </w:p>
    <w:tbl>
      <w:tblPr>
        <w:tblW w:w="8759" w:type="dxa"/>
        <w:tblCellMar>
          <w:left w:w="70" w:type="dxa"/>
          <w:right w:w="70" w:type="dxa"/>
        </w:tblCellMar>
        <w:tblLook w:val="04A0" w:firstRow="1" w:lastRow="0" w:firstColumn="1" w:lastColumn="0" w:noHBand="0" w:noVBand="1"/>
      </w:tblPr>
      <w:tblGrid>
        <w:gridCol w:w="1672"/>
        <w:gridCol w:w="5304"/>
        <w:gridCol w:w="1783"/>
      </w:tblGrid>
      <w:tr w:rsidR="007B3093" w14:paraId="617691E5" w14:textId="77777777">
        <w:trPr>
          <w:trHeight w:val="567"/>
        </w:trPr>
        <w:tc>
          <w:tcPr>
            <w:tcW w:w="1672" w:type="dxa"/>
            <w:tcBorders>
              <w:top w:val="single" w:sz="8" w:space="0" w:color="auto"/>
              <w:left w:val="single" w:sz="8" w:space="0" w:color="auto"/>
              <w:bottom w:val="single" w:sz="8" w:space="0" w:color="auto"/>
              <w:right w:val="single" w:sz="8" w:space="0" w:color="auto"/>
            </w:tcBorders>
            <w:shd w:val="clear" w:color="000000" w:fill="222A35"/>
            <w:vAlign w:val="center"/>
            <w:hideMark/>
          </w:tcPr>
          <w:p w14:paraId="2BFC40E6" w14:textId="77777777" w:rsidR="007B3093" w:rsidRDefault="00000000">
            <w:pPr>
              <w:spacing w:after="0" w:line="240" w:lineRule="auto"/>
              <w:jc w:val="center"/>
              <w:rPr>
                <w:rFonts w:ascii="Calibri" w:eastAsia="Times New Roman" w:hAnsi="Calibri" w:cs="Calibri"/>
                <w:color w:val="FFFFFF"/>
                <w:lang w:eastAsia="es-EC"/>
              </w:rPr>
            </w:pPr>
            <w:r>
              <w:rPr>
                <w:rFonts w:ascii="Calibri" w:eastAsia="Times New Roman" w:hAnsi="Calibri" w:cs="Calibri"/>
                <w:color w:val="FFFFFF"/>
                <w:lang w:eastAsia="es-EC"/>
              </w:rPr>
              <w:t>Componente y Actividad</w:t>
            </w:r>
          </w:p>
        </w:tc>
        <w:tc>
          <w:tcPr>
            <w:tcW w:w="5303" w:type="dxa"/>
            <w:tcBorders>
              <w:top w:val="single" w:sz="8" w:space="0" w:color="auto"/>
              <w:left w:val="nil"/>
              <w:bottom w:val="single" w:sz="8" w:space="0" w:color="auto"/>
              <w:right w:val="single" w:sz="8" w:space="0" w:color="auto"/>
            </w:tcBorders>
            <w:shd w:val="clear" w:color="000000" w:fill="222A35"/>
            <w:vAlign w:val="center"/>
            <w:hideMark/>
          </w:tcPr>
          <w:p w14:paraId="0752778C" w14:textId="77777777" w:rsidR="007B3093" w:rsidRDefault="00000000">
            <w:pPr>
              <w:spacing w:after="0" w:line="240" w:lineRule="auto"/>
              <w:jc w:val="center"/>
              <w:rPr>
                <w:rFonts w:ascii="Calibri" w:eastAsia="Times New Roman" w:hAnsi="Calibri" w:cs="Calibri"/>
                <w:color w:val="FFFFFF"/>
                <w:lang w:eastAsia="es-EC"/>
              </w:rPr>
            </w:pPr>
            <w:r>
              <w:rPr>
                <w:rFonts w:ascii="Calibri" w:eastAsia="Times New Roman" w:hAnsi="Calibri" w:cs="Calibri"/>
                <w:color w:val="FFFFFF"/>
                <w:lang w:eastAsia="es-EC"/>
              </w:rPr>
              <w:t>Nombre de Tarea</w:t>
            </w:r>
          </w:p>
        </w:tc>
        <w:tc>
          <w:tcPr>
            <w:tcW w:w="1783" w:type="dxa"/>
            <w:tcBorders>
              <w:top w:val="single" w:sz="8" w:space="0" w:color="auto"/>
              <w:left w:val="nil"/>
              <w:bottom w:val="single" w:sz="8" w:space="0" w:color="auto"/>
              <w:right w:val="single" w:sz="8" w:space="0" w:color="auto"/>
            </w:tcBorders>
            <w:shd w:val="clear" w:color="000000" w:fill="222A35"/>
            <w:vAlign w:val="center"/>
            <w:hideMark/>
          </w:tcPr>
          <w:p w14:paraId="01C0EDFC" w14:textId="77777777" w:rsidR="007B3093" w:rsidRDefault="00000000">
            <w:pPr>
              <w:spacing w:after="0" w:line="240" w:lineRule="auto"/>
              <w:jc w:val="center"/>
              <w:rPr>
                <w:rFonts w:ascii="Calibri" w:eastAsia="Times New Roman" w:hAnsi="Calibri" w:cs="Calibri"/>
                <w:color w:val="FFFFFF"/>
                <w:lang w:eastAsia="es-EC"/>
              </w:rPr>
            </w:pPr>
            <w:r>
              <w:rPr>
                <w:rFonts w:ascii="Calibri" w:eastAsia="Times New Roman" w:hAnsi="Calibri" w:cs="Calibri"/>
                <w:color w:val="FFFFFF"/>
                <w:lang w:eastAsia="es-EC"/>
              </w:rPr>
              <w:t>Valor de Tarea</w:t>
            </w:r>
          </w:p>
        </w:tc>
      </w:tr>
      <w:tr w:rsidR="007B3093" w14:paraId="5DF85241" w14:textId="77777777">
        <w:trPr>
          <w:trHeight w:val="289"/>
        </w:trPr>
        <w:tc>
          <w:tcPr>
            <w:tcW w:w="1672" w:type="dxa"/>
            <w:tcBorders>
              <w:top w:val="nil"/>
              <w:left w:val="single" w:sz="8" w:space="0" w:color="auto"/>
              <w:bottom w:val="single" w:sz="8" w:space="0" w:color="auto"/>
              <w:right w:val="single" w:sz="8" w:space="0" w:color="auto"/>
            </w:tcBorders>
            <w:shd w:val="clear" w:color="auto" w:fill="auto"/>
            <w:vAlign w:val="center"/>
            <w:hideMark/>
          </w:tcPr>
          <w:p w14:paraId="1CC7E4A0"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1.3</w:t>
            </w:r>
          </w:p>
        </w:tc>
        <w:tc>
          <w:tcPr>
            <w:tcW w:w="5303" w:type="dxa"/>
            <w:tcBorders>
              <w:top w:val="nil"/>
              <w:left w:val="nil"/>
              <w:bottom w:val="single" w:sz="8" w:space="0" w:color="auto"/>
              <w:right w:val="single" w:sz="8" w:space="0" w:color="auto"/>
            </w:tcBorders>
            <w:shd w:val="clear" w:color="auto" w:fill="auto"/>
            <w:vAlign w:val="center"/>
            <w:hideMark/>
          </w:tcPr>
          <w:p w14:paraId="3B9A7DDB" w14:textId="77777777" w:rsidR="007B3093" w:rsidRDefault="00000000">
            <w:pPr>
              <w:spacing w:after="0" w:line="240" w:lineRule="auto"/>
              <w:jc w:val="both"/>
              <w:rPr>
                <w:rFonts w:ascii="Calibri" w:eastAsia="Times New Roman" w:hAnsi="Calibri" w:cs="Calibri"/>
                <w:color w:val="000000"/>
                <w:lang w:eastAsia="es-EC"/>
              </w:rPr>
            </w:pPr>
            <w:r>
              <w:rPr>
                <w:rFonts w:ascii="Calibri" w:eastAsia="Times New Roman" w:hAnsi="Calibri" w:cs="Calibri"/>
                <w:color w:val="000000"/>
                <w:lang w:eastAsia="es-EC"/>
              </w:rPr>
              <w:t>Sistema Informático Integrado</w:t>
            </w:r>
          </w:p>
        </w:tc>
        <w:tc>
          <w:tcPr>
            <w:tcW w:w="1783" w:type="dxa"/>
            <w:tcBorders>
              <w:top w:val="nil"/>
              <w:left w:val="nil"/>
              <w:bottom w:val="single" w:sz="8" w:space="0" w:color="auto"/>
              <w:right w:val="single" w:sz="8" w:space="0" w:color="auto"/>
            </w:tcBorders>
            <w:shd w:val="clear" w:color="000000" w:fill="FFFFFF"/>
            <w:vAlign w:val="center"/>
            <w:hideMark/>
          </w:tcPr>
          <w:p w14:paraId="30DB0916"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$2.335.694,44</w:t>
            </w:r>
          </w:p>
        </w:tc>
      </w:tr>
      <w:tr w:rsidR="007B3093" w14:paraId="0A2B4891" w14:textId="77777777">
        <w:trPr>
          <w:trHeight w:val="337"/>
        </w:trPr>
        <w:tc>
          <w:tcPr>
            <w:tcW w:w="1672" w:type="dxa"/>
            <w:tcBorders>
              <w:top w:val="nil"/>
              <w:left w:val="single" w:sz="8" w:space="0" w:color="auto"/>
              <w:bottom w:val="single" w:sz="8" w:space="0" w:color="auto"/>
              <w:right w:val="single" w:sz="8" w:space="0" w:color="auto"/>
            </w:tcBorders>
            <w:shd w:val="clear" w:color="auto" w:fill="auto"/>
            <w:vAlign w:val="center"/>
            <w:hideMark/>
          </w:tcPr>
          <w:p w14:paraId="1A786979"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1.4</w:t>
            </w:r>
          </w:p>
        </w:tc>
        <w:tc>
          <w:tcPr>
            <w:tcW w:w="5303" w:type="dxa"/>
            <w:tcBorders>
              <w:top w:val="nil"/>
              <w:left w:val="nil"/>
              <w:bottom w:val="single" w:sz="8" w:space="0" w:color="auto"/>
              <w:right w:val="single" w:sz="8" w:space="0" w:color="auto"/>
            </w:tcBorders>
            <w:shd w:val="clear" w:color="auto" w:fill="auto"/>
            <w:vAlign w:val="center"/>
            <w:hideMark/>
          </w:tcPr>
          <w:p w14:paraId="187302FA" w14:textId="77777777" w:rsidR="007B3093" w:rsidRDefault="00000000">
            <w:pPr>
              <w:spacing w:after="0" w:line="240" w:lineRule="auto"/>
              <w:jc w:val="both"/>
              <w:rPr>
                <w:rFonts w:ascii="Calibri" w:eastAsia="Times New Roman" w:hAnsi="Calibri" w:cs="Calibri"/>
                <w:color w:val="000000"/>
                <w:lang w:eastAsia="es-EC"/>
              </w:rPr>
            </w:pPr>
            <w:r>
              <w:rPr>
                <w:rFonts w:ascii="Calibri" w:eastAsia="Times New Roman" w:hAnsi="Calibri" w:cs="Calibri"/>
                <w:color w:val="000000"/>
                <w:lang w:eastAsia="es-EC"/>
              </w:rPr>
              <w:t>Hardware para el nuevo sistema integrado</w:t>
            </w:r>
          </w:p>
        </w:tc>
        <w:tc>
          <w:tcPr>
            <w:tcW w:w="1783" w:type="dxa"/>
            <w:tcBorders>
              <w:top w:val="nil"/>
              <w:left w:val="nil"/>
              <w:bottom w:val="single" w:sz="8" w:space="0" w:color="auto"/>
              <w:right w:val="single" w:sz="8" w:space="0" w:color="auto"/>
            </w:tcBorders>
            <w:shd w:val="clear" w:color="000000" w:fill="FFFFFF"/>
            <w:vAlign w:val="center"/>
            <w:hideMark/>
          </w:tcPr>
          <w:p w14:paraId="0F45F742"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$650.316,88</w:t>
            </w:r>
          </w:p>
        </w:tc>
      </w:tr>
      <w:tr w:rsidR="007B3093" w14:paraId="59703EB1" w14:textId="77777777">
        <w:trPr>
          <w:trHeight w:val="383"/>
        </w:trPr>
        <w:tc>
          <w:tcPr>
            <w:tcW w:w="1672" w:type="dxa"/>
            <w:tcBorders>
              <w:top w:val="nil"/>
              <w:left w:val="single" w:sz="8" w:space="0" w:color="auto"/>
              <w:bottom w:val="single" w:sz="8" w:space="0" w:color="auto"/>
              <w:right w:val="single" w:sz="8" w:space="0" w:color="auto"/>
            </w:tcBorders>
            <w:shd w:val="clear" w:color="auto" w:fill="auto"/>
            <w:vAlign w:val="center"/>
            <w:hideMark/>
          </w:tcPr>
          <w:p w14:paraId="398B8EE2"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3.1</w:t>
            </w:r>
          </w:p>
        </w:tc>
        <w:tc>
          <w:tcPr>
            <w:tcW w:w="5303" w:type="dxa"/>
            <w:tcBorders>
              <w:top w:val="nil"/>
              <w:left w:val="nil"/>
              <w:bottom w:val="single" w:sz="8" w:space="0" w:color="auto"/>
              <w:right w:val="single" w:sz="8" w:space="0" w:color="auto"/>
            </w:tcBorders>
            <w:shd w:val="clear" w:color="auto" w:fill="auto"/>
            <w:vAlign w:val="center"/>
            <w:hideMark/>
          </w:tcPr>
          <w:p w14:paraId="39F55463" w14:textId="77777777" w:rsidR="007B3093" w:rsidRDefault="00000000">
            <w:pPr>
              <w:spacing w:after="0" w:line="240" w:lineRule="auto"/>
              <w:jc w:val="both"/>
              <w:rPr>
                <w:rFonts w:ascii="Calibri" w:eastAsia="Times New Roman" w:hAnsi="Calibri" w:cs="Calibri"/>
                <w:color w:val="000000"/>
                <w:lang w:eastAsia="es-EC"/>
              </w:rPr>
            </w:pPr>
            <w:r>
              <w:rPr>
                <w:rFonts w:ascii="Calibri" w:eastAsia="Times New Roman" w:hAnsi="Calibri" w:cs="Calibri"/>
                <w:color w:val="000000"/>
                <w:lang w:eastAsia="es-EC"/>
              </w:rPr>
              <w:t>Sistema Informático para brindar asesoría legal a Organismos del Estado</w:t>
            </w:r>
          </w:p>
        </w:tc>
        <w:tc>
          <w:tcPr>
            <w:tcW w:w="1783" w:type="dxa"/>
            <w:tcBorders>
              <w:top w:val="nil"/>
              <w:left w:val="nil"/>
              <w:bottom w:val="single" w:sz="8" w:space="0" w:color="auto"/>
              <w:right w:val="single" w:sz="8" w:space="0" w:color="auto"/>
            </w:tcBorders>
            <w:shd w:val="clear" w:color="000000" w:fill="FFFFFF"/>
            <w:vAlign w:val="center"/>
            <w:hideMark/>
          </w:tcPr>
          <w:p w14:paraId="13B31D1B"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$8.736,00</w:t>
            </w:r>
          </w:p>
        </w:tc>
      </w:tr>
      <w:tr w:rsidR="007B3093" w14:paraId="07490211" w14:textId="77777777">
        <w:trPr>
          <w:trHeight w:val="289"/>
        </w:trPr>
        <w:tc>
          <w:tcPr>
            <w:tcW w:w="1672" w:type="dxa"/>
            <w:tcBorders>
              <w:top w:val="nil"/>
              <w:left w:val="single" w:sz="8" w:space="0" w:color="auto"/>
              <w:bottom w:val="single" w:sz="8" w:space="0" w:color="auto"/>
              <w:right w:val="single" w:sz="8" w:space="0" w:color="auto"/>
            </w:tcBorders>
            <w:shd w:val="clear" w:color="auto" w:fill="auto"/>
            <w:vAlign w:val="center"/>
            <w:hideMark/>
          </w:tcPr>
          <w:p w14:paraId="4221FABF"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4.1</w:t>
            </w:r>
          </w:p>
        </w:tc>
        <w:tc>
          <w:tcPr>
            <w:tcW w:w="5303" w:type="dxa"/>
            <w:tcBorders>
              <w:top w:val="nil"/>
              <w:left w:val="nil"/>
              <w:bottom w:val="single" w:sz="8" w:space="0" w:color="auto"/>
              <w:right w:val="single" w:sz="8" w:space="0" w:color="auto"/>
            </w:tcBorders>
            <w:shd w:val="clear" w:color="auto" w:fill="auto"/>
            <w:vAlign w:val="center"/>
            <w:hideMark/>
          </w:tcPr>
          <w:p w14:paraId="2C9D4130" w14:textId="77777777" w:rsidR="007B3093" w:rsidRDefault="00000000">
            <w:pPr>
              <w:spacing w:after="0" w:line="240" w:lineRule="auto"/>
              <w:jc w:val="both"/>
              <w:rPr>
                <w:rFonts w:ascii="Calibri" w:eastAsia="Times New Roman" w:hAnsi="Calibri" w:cs="Calibri"/>
                <w:color w:val="000000"/>
                <w:lang w:eastAsia="es-EC"/>
              </w:rPr>
            </w:pPr>
            <w:r>
              <w:rPr>
                <w:rFonts w:ascii="Calibri" w:eastAsia="Times New Roman" w:hAnsi="Calibri" w:cs="Calibri"/>
                <w:color w:val="000000"/>
                <w:lang w:eastAsia="es-EC"/>
              </w:rPr>
              <w:t>Centros de mediación readecuados</w:t>
            </w:r>
          </w:p>
        </w:tc>
        <w:tc>
          <w:tcPr>
            <w:tcW w:w="1783" w:type="dxa"/>
            <w:tcBorders>
              <w:top w:val="nil"/>
              <w:left w:val="nil"/>
              <w:bottom w:val="single" w:sz="8" w:space="0" w:color="auto"/>
              <w:right w:val="single" w:sz="8" w:space="0" w:color="auto"/>
            </w:tcBorders>
            <w:shd w:val="clear" w:color="000000" w:fill="FFFFFF"/>
            <w:vAlign w:val="center"/>
            <w:hideMark/>
          </w:tcPr>
          <w:p w14:paraId="27DA9313"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$255.668,92</w:t>
            </w:r>
          </w:p>
        </w:tc>
      </w:tr>
      <w:tr w:rsidR="007B3093" w14:paraId="241E2C3D" w14:textId="77777777">
        <w:trPr>
          <w:trHeight w:val="289"/>
        </w:trPr>
        <w:tc>
          <w:tcPr>
            <w:tcW w:w="697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6E10891" w14:textId="77777777" w:rsidR="007B3093" w:rsidRDefault="00000000">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Total</w:t>
            </w:r>
          </w:p>
        </w:tc>
        <w:tc>
          <w:tcPr>
            <w:tcW w:w="1783" w:type="dxa"/>
            <w:tcBorders>
              <w:top w:val="nil"/>
              <w:left w:val="nil"/>
              <w:bottom w:val="single" w:sz="8" w:space="0" w:color="auto"/>
              <w:right w:val="single" w:sz="8" w:space="0" w:color="auto"/>
            </w:tcBorders>
            <w:shd w:val="clear" w:color="000000" w:fill="99A8BD"/>
            <w:vAlign w:val="center"/>
            <w:hideMark/>
          </w:tcPr>
          <w:p w14:paraId="5212539A" w14:textId="77777777" w:rsidR="007B3093" w:rsidRDefault="00000000">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$3.250.416,24</w:t>
            </w:r>
          </w:p>
        </w:tc>
      </w:tr>
    </w:tbl>
    <w:p w14:paraId="3493EC37" w14:textId="77777777" w:rsidR="007B3093" w:rsidRDefault="007B3093">
      <w:pPr>
        <w:autoSpaceDE w:val="0"/>
        <w:autoSpaceDN w:val="0"/>
        <w:adjustRightInd w:val="0"/>
        <w:spacing w:after="0" w:line="276" w:lineRule="auto"/>
        <w:jc w:val="center"/>
        <w:rPr>
          <w:rFonts w:cstheme="minorHAnsi"/>
          <w:b/>
          <w:bCs/>
          <w:lang w:eastAsia="es-EC"/>
        </w:rPr>
      </w:pPr>
    </w:p>
    <w:p w14:paraId="29D9BB78" w14:textId="77777777" w:rsidR="007B3093" w:rsidRDefault="007B3093">
      <w:pPr>
        <w:autoSpaceDE w:val="0"/>
        <w:autoSpaceDN w:val="0"/>
        <w:adjustRightInd w:val="0"/>
        <w:spacing w:after="0" w:line="276" w:lineRule="auto"/>
        <w:jc w:val="center"/>
        <w:rPr>
          <w:lang w:eastAsia="es-EC"/>
        </w:rPr>
      </w:pPr>
    </w:p>
    <w:p w14:paraId="20F9BAFE" w14:textId="77777777" w:rsidR="007B3093" w:rsidRDefault="00000000">
      <w:pPr>
        <w:pStyle w:val="Prrafodelista"/>
        <w:spacing w:before="120" w:after="120" w:line="276" w:lineRule="auto"/>
        <w:ind w:left="142"/>
        <w:contextualSpacing w:val="0"/>
        <w:jc w:val="both"/>
        <w:rPr>
          <w:rFonts w:cstheme="minorHAnsi"/>
        </w:rPr>
      </w:pPr>
      <w:proofErr w:type="gramStart"/>
      <w:r>
        <w:rPr>
          <w:rFonts w:cstheme="minorHAnsi"/>
        </w:rPr>
        <w:t>En relación a</w:t>
      </w:r>
      <w:proofErr w:type="gramEnd"/>
      <w:r>
        <w:rPr>
          <w:rFonts w:cstheme="minorHAnsi"/>
        </w:rPr>
        <w:t xml:space="preserve"> las actividades descritas en el marco lógico del proyecto, a continuación, se detalla los componentes planteados con su respectivo cronograma:</w:t>
      </w:r>
    </w:p>
    <w:p w14:paraId="2787784B" w14:textId="77777777" w:rsidR="007B3093" w:rsidRDefault="007B3093">
      <w:pPr>
        <w:pStyle w:val="Prrafodelista"/>
        <w:spacing w:before="120" w:after="120" w:line="276" w:lineRule="auto"/>
        <w:ind w:left="142"/>
        <w:contextualSpacing w:val="0"/>
        <w:jc w:val="both"/>
        <w:rPr>
          <w:rFonts w:cstheme="minorHAnsi"/>
        </w:rPr>
      </w:pPr>
    </w:p>
    <w:p w14:paraId="131E9CCE" w14:textId="77777777" w:rsidR="007B3093" w:rsidRDefault="00000000">
      <w:pPr>
        <w:autoSpaceDE w:val="0"/>
        <w:autoSpaceDN w:val="0"/>
        <w:adjustRightInd w:val="0"/>
        <w:spacing w:after="0" w:line="360" w:lineRule="auto"/>
        <w:jc w:val="center"/>
        <w:rPr>
          <w:rFonts w:cstheme="minorHAnsi"/>
          <w:b/>
          <w:bCs/>
          <w:lang w:eastAsia="es-EC"/>
        </w:rPr>
      </w:pPr>
      <w:r>
        <w:rPr>
          <w:rFonts w:cstheme="minorHAnsi"/>
          <w:b/>
          <w:bCs/>
          <w:lang w:eastAsia="es-EC"/>
        </w:rPr>
        <w:t>Tabla 21: Componentes con trimestres de inicio y finalización</w:t>
      </w:r>
    </w:p>
    <w:p w14:paraId="18725039" w14:textId="77777777" w:rsidR="007B3093" w:rsidRDefault="007B3093">
      <w:pPr>
        <w:autoSpaceDE w:val="0"/>
        <w:autoSpaceDN w:val="0"/>
        <w:adjustRightInd w:val="0"/>
        <w:spacing w:after="0" w:line="360" w:lineRule="auto"/>
        <w:jc w:val="center"/>
        <w:rPr>
          <w:rFonts w:cstheme="minorHAnsi"/>
          <w:b/>
          <w:bCs/>
          <w:lang w:eastAsia="es-EC"/>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1"/>
        <w:gridCol w:w="190"/>
        <w:gridCol w:w="236"/>
        <w:gridCol w:w="296"/>
        <w:gridCol w:w="269"/>
        <w:gridCol w:w="45"/>
        <w:gridCol w:w="190"/>
        <w:gridCol w:w="236"/>
        <w:gridCol w:w="296"/>
        <w:gridCol w:w="269"/>
        <w:gridCol w:w="45"/>
        <w:gridCol w:w="190"/>
        <w:gridCol w:w="236"/>
        <w:gridCol w:w="296"/>
        <w:gridCol w:w="269"/>
        <w:gridCol w:w="45"/>
        <w:gridCol w:w="190"/>
        <w:gridCol w:w="236"/>
        <w:gridCol w:w="296"/>
        <w:gridCol w:w="269"/>
        <w:gridCol w:w="45"/>
        <w:gridCol w:w="190"/>
        <w:gridCol w:w="236"/>
        <w:gridCol w:w="296"/>
        <w:gridCol w:w="269"/>
        <w:gridCol w:w="45"/>
        <w:gridCol w:w="190"/>
        <w:gridCol w:w="236"/>
        <w:gridCol w:w="296"/>
        <w:gridCol w:w="269"/>
        <w:gridCol w:w="45"/>
        <w:gridCol w:w="190"/>
        <w:gridCol w:w="236"/>
        <w:gridCol w:w="296"/>
        <w:gridCol w:w="269"/>
        <w:gridCol w:w="45"/>
      </w:tblGrid>
      <w:tr w:rsidR="007B3093" w14:paraId="268A275D" w14:textId="77777777">
        <w:trPr>
          <w:gridAfter w:val="1"/>
          <w:wAfter w:w="45" w:type="dxa"/>
          <w:trHeight w:val="218"/>
        </w:trPr>
        <w:tc>
          <w:tcPr>
            <w:tcW w:w="2071" w:type="dxa"/>
            <w:vMerge w:val="restart"/>
            <w:shd w:val="clear" w:color="000000" w:fill="1F3864"/>
            <w:noWrap/>
            <w:vAlign w:val="center"/>
            <w:hideMark/>
          </w:tcPr>
          <w:p w14:paraId="747C55D3" w14:textId="77777777" w:rsidR="007B3093" w:rsidRDefault="00000000">
            <w:pPr>
              <w:spacing w:after="0" w:line="240" w:lineRule="auto"/>
              <w:jc w:val="center"/>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Componentes</w:t>
            </w:r>
          </w:p>
        </w:tc>
        <w:tc>
          <w:tcPr>
            <w:tcW w:w="965" w:type="dxa"/>
            <w:gridSpan w:val="4"/>
            <w:shd w:val="clear" w:color="000000" w:fill="1F3864"/>
            <w:noWrap/>
            <w:vAlign w:val="center"/>
            <w:hideMark/>
          </w:tcPr>
          <w:p w14:paraId="60F5658E" w14:textId="77777777" w:rsidR="007B3093" w:rsidRDefault="00000000">
            <w:pPr>
              <w:spacing w:after="0" w:line="240" w:lineRule="auto"/>
              <w:jc w:val="center"/>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2019</w:t>
            </w:r>
          </w:p>
        </w:tc>
        <w:tc>
          <w:tcPr>
            <w:tcW w:w="1036" w:type="dxa"/>
            <w:gridSpan w:val="5"/>
            <w:shd w:val="clear" w:color="000000" w:fill="1F3864"/>
            <w:noWrap/>
            <w:vAlign w:val="center"/>
            <w:hideMark/>
          </w:tcPr>
          <w:p w14:paraId="4145D3A0" w14:textId="77777777" w:rsidR="007B3093" w:rsidRDefault="00000000">
            <w:pPr>
              <w:spacing w:after="0" w:line="240" w:lineRule="auto"/>
              <w:jc w:val="center"/>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2020</w:t>
            </w:r>
          </w:p>
        </w:tc>
        <w:tc>
          <w:tcPr>
            <w:tcW w:w="1036" w:type="dxa"/>
            <w:gridSpan w:val="5"/>
            <w:shd w:val="clear" w:color="000000" w:fill="1F3864"/>
            <w:noWrap/>
            <w:vAlign w:val="center"/>
            <w:hideMark/>
          </w:tcPr>
          <w:p w14:paraId="2ED46F34" w14:textId="77777777" w:rsidR="007B3093" w:rsidRDefault="00000000">
            <w:pPr>
              <w:spacing w:after="0" w:line="240" w:lineRule="auto"/>
              <w:jc w:val="center"/>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2021</w:t>
            </w:r>
          </w:p>
        </w:tc>
        <w:tc>
          <w:tcPr>
            <w:tcW w:w="1036" w:type="dxa"/>
            <w:gridSpan w:val="5"/>
            <w:shd w:val="clear" w:color="000000" w:fill="1F3864"/>
            <w:noWrap/>
            <w:vAlign w:val="center"/>
            <w:hideMark/>
          </w:tcPr>
          <w:p w14:paraId="26BADBB5" w14:textId="77777777" w:rsidR="007B3093" w:rsidRDefault="00000000">
            <w:pPr>
              <w:spacing w:after="0" w:line="240" w:lineRule="auto"/>
              <w:jc w:val="center"/>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2022</w:t>
            </w:r>
          </w:p>
        </w:tc>
        <w:tc>
          <w:tcPr>
            <w:tcW w:w="1036" w:type="dxa"/>
            <w:gridSpan w:val="5"/>
            <w:shd w:val="clear" w:color="000000" w:fill="1F3864"/>
            <w:noWrap/>
            <w:vAlign w:val="center"/>
            <w:hideMark/>
          </w:tcPr>
          <w:p w14:paraId="698B82F9" w14:textId="77777777" w:rsidR="007B3093" w:rsidRDefault="00000000">
            <w:pPr>
              <w:spacing w:after="0" w:line="240" w:lineRule="auto"/>
              <w:jc w:val="center"/>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2023</w:t>
            </w:r>
          </w:p>
        </w:tc>
        <w:tc>
          <w:tcPr>
            <w:tcW w:w="1036" w:type="dxa"/>
            <w:gridSpan w:val="5"/>
            <w:shd w:val="clear" w:color="000000" w:fill="1F3864"/>
            <w:noWrap/>
            <w:vAlign w:val="center"/>
            <w:hideMark/>
          </w:tcPr>
          <w:p w14:paraId="282C6A98" w14:textId="77777777" w:rsidR="007B3093" w:rsidRDefault="00000000">
            <w:pPr>
              <w:spacing w:after="0" w:line="240" w:lineRule="auto"/>
              <w:jc w:val="center"/>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2024</w:t>
            </w:r>
          </w:p>
        </w:tc>
        <w:tc>
          <w:tcPr>
            <w:tcW w:w="1036" w:type="dxa"/>
            <w:gridSpan w:val="5"/>
            <w:shd w:val="clear" w:color="000000" w:fill="1F3864"/>
            <w:noWrap/>
            <w:vAlign w:val="center"/>
            <w:hideMark/>
          </w:tcPr>
          <w:p w14:paraId="4B01FE6B" w14:textId="77777777" w:rsidR="007B3093" w:rsidRDefault="00000000">
            <w:pPr>
              <w:spacing w:after="0" w:line="240" w:lineRule="auto"/>
              <w:jc w:val="center"/>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2025</w:t>
            </w:r>
          </w:p>
        </w:tc>
      </w:tr>
      <w:tr w:rsidR="007B3093" w14:paraId="1E17AB0F" w14:textId="77777777">
        <w:trPr>
          <w:trHeight w:val="300"/>
        </w:trPr>
        <w:tc>
          <w:tcPr>
            <w:tcW w:w="2071" w:type="dxa"/>
            <w:vMerge/>
            <w:vAlign w:val="center"/>
            <w:hideMark/>
          </w:tcPr>
          <w:p w14:paraId="1D14E21F" w14:textId="77777777" w:rsidR="007B3093" w:rsidRDefault="007B3093">
            <w:pPr>
              <w:spacing w:after="0" w:line="240" w:lineRule="auto"/>
              <w:rPr>
                <w:rFonts w:ascii="Calibri" w:eastAsia="Times New Roman" w:hAnsi="Calibri" w:cs="Calibri"/>
                <w:b/>
                <w:bCs/>
                <w:color w:val="FFFFFF"/>
                <w:sz w:val="18"/>
                <w:szCs w:val="18"/>
                <w:lang w:eastAsia="es-EC"/>
              </w:rPr>
            </w:pPr>
          </w:p>
        </w:tc>
        <w:tc>
          <w:tcPr>
            <w:tcW w:w="164" w:type="dxa"/>
            <w:shd w:val="clear" w:color="000000" w:fill="1F3864"/>
            <w:noWrap/>
            <w:vAlign w:val="center"/>
            <w:hideMark/>
          </w:tcPr>
          <w:p w14:paraId="45336FBE"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w:t>
            </w:r>
          </w:p>
        </w:tc>
        <w:tc>
          <w:tcPr>
            <w:tcW w:w="236" w:type="dxa"/>
            <w:shd w:val="clear" w:color="000000" w:fill="1F3864"/>
            <w:noWrap/>
            <w:vAlign w:val="center"/>
            <w:hideMark/>
          </w:tcPr>
          <w:p w14:paraId="61529381"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w:t>
            </w:r>
          </w:p>
        </w:tc>
        <w:tc>
          <w:tcPr>
            <w:tcW w:w="296" w:type="dxa"/>
            <w:shd w:val="clear" w:color="000000" w:fill="1F3864"/>
            <w:noWrap/>
            <w:vAlign w:val="center"/>
            <w:hideMark/>
          </w:tcPr>
          <w:p w14:paraId="37F1A0A5"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III</w:t>
            </w:r>
          </w:p>
        </w:tc>
        <w:tc>
          <w:tcPr>
            <w:tcW w:w="314" w:type="dxa"/>
            <w:gridSpan w:val="2"/>
            <w:shd w:val="clear" w:color="000000" w:fill="1F3864"/>
            <w:noWrap/>
            <w:vAlign w:val="center"/>
            <w:hideMark/>
          </w:tcPr>
          <w:p w14:paraId="4BAC992E"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IV</w:t>
            </w:r>
          </w:p>
        </w:tc>
        <w:tc>
          <w:tcPr>
            <w:tcW w:w="190" w:type="dxa"/>
            <w:shd w:val="clear" w:color="000000" w:fill="1F3864"/>
            <w:noWrap/>
            <w:vAlign w:val="center"/>
            <w:hideMark/>
          </w:tcPr>
          <w:p w14:paraId="377D5F3D"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w:t>
            </w:r>
          </w:p>
        </w:tc>
        <w:tc>
          <w:tcPr>
            <w:tcW w:w="236" w:type="dxa"/>
            <w:shd w:val="clear" w:color="000000" w:fill="1F3864"/>
            <w:noWrap/>
            <w:vAlign w:val="center"/>
            <w:hideMark/>
          </w:tcPr>
          <w:p w14:paraId="5FBB85B8"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w:t>
            </w:r>
          </w:p>
        </w:tc>
        <w:tc>
          <w:tcPr>
            <w:tcW w:w="296" w:type="dxa"/>
            <w:shd w:val="clear" w:color="000000" w:fill="1F3864"/>
            <w:noWrap/>
            <w:vAlign w:val="center"/>
            <w:hideMark/>
          </w:tcPr>
          <w:p w14:paraId="3805C686"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III</w:t>
            </w:r>
          </w:p>
        </w:tc>
        <w:tc>
          <w:tcPr>
            <w:tcW w:w="314" w:type="dxa"/>
            <w:gridSpan w:val="2"/>
            <w:shd w:val="clear" w:color="000000" w:fill="1F3864"/>
            <w:noWrap/>
            <w:vAlign w:val="center"/>
            <w:hideMark/>
          </w:tcPr>
          <w:p w14:paraId="509DE4FC"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IV</w:t>
            </w:r>
          </w:p>
        </w:tc>
        <w:tc>
          <w:tcPr>
            <w:tcW w:w="190" w:type="dxa"/>
            <w:shd w:val="clear" w:color="000000" w:fill="1F3864"/>
            <w:noWrap/>
            <w:vAlign w:val="center"/>
            <w:hideMark/>
          </w:tcPr>
          <w:p w14:paraId="54667D60"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w:t>
            </w:r>
          </w:p>
        </w:tc>
        <w:tc>
          <w:tcPr>
            <w:tcW w:w="236" w:type="dxa"/>
            <w:shd w:val="clear" w:color="000000" w:fill="1F3864"/>
            <w:noWrap/>
            <w:vAlign w:val="center"/>
            <w:hideMark/>
          </w:tcPr>
          <w:p w14:paraId="7AE49FF1"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w:t>
            </w:r>
          </w:p>
        </w:tc>
        <w:tc>
          <w:tcPr>
            <w:tcW w:w="296" w:type="dxa"/>
            <w:shd w:val="clear" w:color="000000" w:fill="1F3864"/>
            <w:noWrap/>
            <w:vAlign w:val="center"/>
            <w:hideMark/>
          </w:tcPr>
          <w:p w14:paraId="2FD8D91D"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III</w:t>
            </w:r>
          </w:p>
        </w:tc>
        <w:tc>
          <w:tcPr>
            <w:tcW w:w="314" w:type="dxa"/>
            <w:gridSpan w:val="2"/>
            <w:shd w:val="clear" w:color="000000" w:fill="1F3864"/>
            <w:noWrap/>
            <w:vAlign w:val="center"/>
            <w:hideMark/>
          </w:tcPr>
          <w:p w14:paraId="2D0DEB0E"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IV</w:t>
            </w:r>
          </w:p>
        </w:tc>
        <w:tc>
          <w:tcPr>
            <w:tcW w:w="190" w:type="dxa"/>
            <w:shd w:val="clear" w:color="000000" w:fill="1F3864"/>
            <w:noWrap/>
            <w:vAlign w:val="center"/>
            <w:hideMark/>
          </w:tcPr>
          <w:p w14:paraId="09FF3070"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w:t>
            </w:r>
          </w:p>
        </w:tc>
        <w:tc>
          <w:tcPr>
            <w:tcW w:w="236" w:type="dxa"/>
            <w:shd w:val="clear" w:color="000000" w:fill="1F3864"/>
            <w:noWrap/>
            <w:vAlign w:val="center"/>
            <w:hideMark/>
          </w:tcPr>
          <w:p w14:paraId="1DF1DC95"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w:t>
            </w:r>
          </w:p>
        </w:tc>
        <w:tc>
          <w:tcPr>
            <w:tcW w:w="296" w:type="dxa"/>
            <w:shd w:val="clear" w:color="000000" w:fill="1F3864"/>
            <w:noWrap/>
            <w:vAlign w:val="center"/>
            <w:hideMark/>
          </w:tcPr>
          <w:p w14:paraId="62A7F3D4"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III</w:t>
            </w:r>
          </w:p>
        </w:tc>
        <w:tc>
          <w:tcPr>
            <w:tcW w:w="314" w:type="dxa"/>
            <w:gridSpan w:val="2"/>
            <w:shd w:val="clear" w:color="000000" w:fill="1F3864"/>
            <w:noWrap/>
            <w:vAlign w:val="center"/>
            <w:hideMark/>
          </w:tcPr>
          <w:p w14:paraId="6041F297"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IV</w:t>
            </w:r>
          </w:p>
        </w:tc>
        <w:tc>
          <w:tcPr>
            <w:tcW w:w="190" w:type="dxa"/>
            <w:shd w:val="clear" w:color="000000" w:fill="1F3864"/>
            <w:noWrap/>
            <w:vAlign w:val="center"/>
            <w:hideMark/>
          </w:tcPr>
          <w:p w14:paraId="5D047E3E"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w:t>
            </w:r>
          </w:p>
        </w:tc>
        <w:tc>
          <w:tcPr>
            <w:tcW w:w="236" w:type="dxa"/>
            <w:shd w:val="clear" w:color="000000" w:fill="1F3864"/>
            <w:noWrap/>
            <w:vAlign w:val="center"/>
            <w:hideMark/>
          </w:tcPr>
          <w:p w14:paraId="106C063D"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w:t>
            </w:r>
          </w:p>
        </w:tc>
        <w:tc>
          <w:tcPr>
            <w:tcW w:w="296" w:type="dxa"/>
            <w:shd w:val="clear" w:color="000000" w:fill="1F3864"/>
            <w:noWrap/>
            <w:vAlign w:val="center"/>
            <w:hideMark/>
          </w:tcPr>
          <w:p w14:paraId="1B38135A"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III</w:t>
            </w:r>
          </w:p>
        </w:tc>
        <w:tc>
          <w:tcPr>
            <w:tcW w:w="314" w:type="dxa"/>
            <w:gridSpan w:val="2"/>
            <w:shd w:val="clear" w:color="000000" w:fill="1F3864"/>
            <w:noWrap/>
            <w:vAlign w:val="center"/>
            <w:hideMark/>
          </w:tcPr>
          <w:p w14:paraId="514B1838"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IV</w:t>
            </w:r>
          </w:p>
        </w:tc>
        <w:tc>
          <w:tcPr>
            <w:tcW w:w="190" w:type="dxa"/>
            <w:shd w:val="clear" w:color="000000" w:fill="1F3864"/>
            <w:noWrap/>
            <w:vAlign w:val="center"/>
            <w:hideMark/>
          </w:tcPr>
          <w:p w14:paraId="48ED02D8"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w:t>
            </w:r>
          </w:p>
        </w:tc>
        <w:tc>
          <w:tcPr>
            <w:tcW w:w="236" w:type="dxa"/>
            <w:shd w:val="clear" w:color="000000" w:fill="1F3864"/>
            <w:noWrap/>
            <w:vAlign w:val="center"/>
            <w:hideMark/>
          </w:tcPr>
          <w:p w14:paraId="479304E4"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w:t>
            </w:r>
          </w:p>
        </w:tc>
        <w:tc>
          <w:tcPr>
            <w:tcW w:w="296" w:type="dxa"/>
            <w:shd w:val="clear" w:color="000000" w:fill="1F3864"/>
            <w:noWrap/>
            <w:vAlign w:val="center"/>
            <w:hideMark/>
          </w:tcPr>
          <w:p w14:paraId="6E2F724C"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III</w:t>
            </w:r>
          </w:p>
        </w:tc>
        <w:tc>
          <w:tcPr>
            <w:tcW w:w="314" w:type="dxa"/>
            <w:gridSpan w:val="2"/>
            <w:shd w:val="clear" w:color="000000" w:fill="1F3864"/>
            <w:noWrap/>
            <w:vAlign w:val="center"/>
            <w:hideMark/>
          </w:tcPr>
          <w:p w14:paraId="2D40B4C9"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IV</w:t>
            </w:r>
          </w:p>
        </w:tc>
        <w:tc>
          <w:tcPr>
            <w:tcW w:w="190" w:type="dxa"/>
            <w:shd w:val="clear" w:color="000000" w:fill="1F3864"/>
            <w:noWrap/>
            <w:vAlign w:val="center"/>
            <w:hideMark/>
          </w:tcPr>
          <w:p w14:paraId="26646182"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w:t>
            </w:r>
          </w:p>
        </w:tc>
        <w:tc>
          <w:tcPr>
            <w:tcW w:w="236" w:type="dxa"/>
            <w:shd w:val="clear" w:color="000000" w:fill="1F3864"/>
            <w:noWrap/>
            <w:vAlign w:val="center"/>
            <w:hideMark/>
          </w:tcPr>
          <w:p w14:paraId="73FD6D93"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w:t>
            </w:r>
          </w:p>
        </w:tc>
        <w:tc>
          <w:tcPr>
            <w:tcW w:w="296" w:type="dxa"/>
            <w:shd w:val="clear" w:color="000000" w:fill="1F3864"/>
            <w:noWrap/>
            <w:vAlign w:val="center"/>
            <w:hideMark/>
          </w:tcPr>
          <w:p w14:paraId="5C6186D4"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III</w:t>
            </w:r>
          </w:p>
        </w:tc>
        <w:tc>
          <w:tcPr>
            <w:tcW w:w="314" w:type="dxa"/>
            <w:gridSpan w:val="2"/>
            <w:shd w:val="clear" w:color="000000" w:fill="1F3864"/>
            <w:noWrap/>
            <w:vAlign w:val="center"/>
            <w:hideMark/>
          </w:tcPr>
          <w:p w14:paraId="247E588C" w14:textId="77777777" w:rsidR="007B3093" w:rsidRDefault="00000000">
            <w:pPr>
              <w:spacing w:after="0" w:line="240" w:lineRule="auto"/>
              <w:rPr>
                <w:rFonts w:ascii="Calibri" w:eastAsia="Times New Roman" w:hAnsi="Calibri" w:cs="Calibri"/>
                <w:b/>
                <w:bCs/>
                <w:color w:val="FFFFFF"/>
                <w:sz w:val="18"/>
                <w:szCs w:val="18"/>
                <w:lang w:eastAsia="es-EC"/>
              </w:rPr>
            </w:pPr>
            <w:r>
              <w:rPr>
                <w:rFonts w:ascii="Calibri" w:eastAsia="Times New Roman" w:hAnsi="Calibri" w:cs="Calibri"/>
                <w:b/>
                <w:bCs/>
                <w:color w:val="FFFFFF"/>
                <w:sz w:val="18"/>
                <w:szCs w:val="18"/>
                <w:lang w:eastAsia="es-EC"/>
              </w:rPr>
              <w:t>IV</w:t>
            </w:r>
          </w:p>
        </w:tc>
      </w:tr>
      <w:tr w:rsidR="007B3093" w14:paraId="245E193E" w14:textId="77777777">
        <w:trPr>
          <w:trHeight w:val="493"/>
        </w:trPr>
        <w:tc>
          <w:tcPr>
            <w:tcW w:w="2071" w:type="dxa"/>
            <w:shd w:val="clear" w:color="auto" w:fill="auto"/>
            <w:vAlign w:val="center"/>
            <w:hideMark/>
          </w:tcPr>
          <w:p w14:paraId="0D0A1AC5"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       Diseñar e implementar el modelo de gestión de la PGE.</w:t>
            </w:r>
          </w:p>
        </w:tc>
        <w:tc>
          <w:tcPr>
            <w:tcW w:w="164" w:type="dxa"/>
            <w:shd w:val="clear" w:color="auto" w:fill="auto"/>
            <w:noWrap/>
            <w:vAlign w:val="center"/>
            <w:hideMark/>
          </w:tcPr>
          <w:p w14:paraId="57B1B382"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auto" w:fill="auto"/>
            <w:noWrap/>
            <w:vAlign w:val="center"/>
            <w:hideMark/>
          </w:tcPr>
          <w:p w14:paraId="5740680E"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auto" w:fill="auto"/>
            <w:noWrap/>
            <w:vAlign w:val="center"/>
            <w:hideMark/>
          </w:tcPr>
          <w:p w14:paraId="5CE4B527"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4D0691BA"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1011706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0810EA9F"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0C057DC7"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49B6EE9E"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09ED0D8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662BA2C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33102D0B"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0E9CD1CC"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31292792"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12DFE92E"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330134B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50505AB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35B549EB"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06E186A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14F6823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4FED520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5E70307A"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1100AE0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62215075"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33187365"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4C0FA9D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0FF3167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7BB09A28"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4116D7B5"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r>
      <w:tr w:rsidR="007B3093" w14:paraId="7822C9D9" w14:textId="77777777">
        <w:trPr>
          <w:trHeight w:val="291"/>
        </w:trPr>
        <w:tc>
          <w:tcPr>
            <w:tcW w:w="2071" w:type="dxa"/>
            <w:shd w:val="clear" w:color="auto" w:fill="auto"/>
            <w:vAlign w:val="center"/>
            <w:hideMark/>
          </w:tcPr>
          <w:p w14:paraId="48FB14DF"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       Fortalecer la Defensa legal del Estado.</w:t>
            </w:r>
          </w:p>
        </w:tc>
        <w:tc>
          <w:tcPr>
            <w:tcW w:w="164" w:type="dxa"/>
            <w:shd w:val="clear" w:color="auto" w:fill="auto"/>
            <w:noWrap/>
            <w:vAlign w:val="center"/>
            <w:hideMark/>
          </w:tcPr>
          <w:p w14:paraId="635C957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auto" w:fill="auto"/>
            <w:noWrap/>
            <w:vAlign w:val="center"/>
            <w:hideMark/>
          </w:tcPr>
          <w:p w14:paraId="71DDCF23"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auto" w:fill="auto"/>
            <w:noWrap/>
            <w:vAlign w:val="center"/>
            <w:hideMark/>
          </w:tcPr>
          <w:p w14:paraId="65606FAB"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auto" w:fill="auto"/>
            <w:noWrap/>
            <w:vAlign w:val="center"/>
            <w:hideMark/>
          </w:tcPr>
          <w:p w14:paraId="3FA8D9FF"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auto" w:fill="auto"/>
            <w:noWrap/>
            <w:vAlign w:val="center"/>
            <w:hideMark/>
          </w:tcPr>
          <w:p w14:paraId="4BBFF48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auto" w:fill="auto"/>
            <w:noWrap/>
            <w:vAlign w:val="center"/>
            <w:hideMark/>
          </w:tcPr>
          <w:p w14:paraId="1E15110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2939EFB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2EACFFBE"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3DDBD678"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35BF8725"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0FB07035"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7ECD6BF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29B3738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64635CCD"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52EC1A1C"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46B284C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499BBF1F"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76FFEE63"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53693BE8"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072C1B83"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4228171A"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170B283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2212DC2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489404DA"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FFFFFF"/>
            <w:noWrap/>
            <w:vAlign w:val="center"/>
            <w:hideMark/>
          </w:tcPr>
          <w:p w14:paraId="718B0CBD"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FFFFFF"/>
            <w:noWrap/>
            <w:vAlign w:val="center"/>
            <w:hideMark/>
          </w:tcPr>
          <w:p w14:paraId="7E749DED"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auto" w:fill="auto"/>
            <w:noWrap/>
            <w:vAlign w:val="center"/>
            <w:hideMark/>
          </w:tcPr>
          <w:p w14:paraId="5ADB8342"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auto" w:fill="auto"/>
            <w:noWrap/>
            <w:vAlign w:val="center"/>
            <w:hideMark/>
          </w:tcPr>
          <w:p w14:paraId="3247660D"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r>
      <w:tr w:rsidR="007B3093" w14:paraId="6275DBA9" w14:textId="77777777">
        <w:trPr>
          <w:trHeight w:val="439"/>
        </w:trPr>
        <w:tc>
          <w:tcPr>
            <w:tcW w:w="2071" w:type="dxa"/>
            <w:shd w:val="clear" w:color="auto" w:fill="auto"/>
            <w:vAlign w:val="center"/>
            <w:hideMark/>
          </w:tcPr>
          <w:p w14:paraId="69A694D2"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3.      Fortalecer la capacidad de control, consultoría y asesoría legal de la PGE.</w:t>
            </w:r>
          </w:p>
        </w:tc>
        <w:tc>
          <w:tcPr>
            <w:tcW w:w="164" w:type="dxa"/>
            <w:shd w:val="clear" w:color="auto" w:fill="auto"/>
            <w:noWrap/>
            <w:vAlign w:val="center"/>
            <w:hideMark/>
          </w:tcPr>
          <w:p w14:paraId="36A83A65"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auto" w:fill="auto"/>
            <w:noWrap/>
            <w:vAlign w:val="center"/>
            <w:hideMark/>
          </w:tcPr>
          <w:p w14:paraId="6ED5031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auto" w:fill="auto"/>
            <w:noWrap/>
            <w:vAlign w:val="center"/>
            <w:hideMark/>
          </w:tcPr>
          <w:p w14:paraId="7CE37CDD"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auto" w:fill="auto"/>
            <w:noWrap/>
            <w:vAlign w:val="center"/>
            <w:hideMark/>
          </w:tcPr>
          <w:p w14:paraId="3E3A1476"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auto" w:fill="auto"/>
            <w:noWrap/>
            <w:vAlign w:val="center"/>
            <w:hideMark/>
          </w:tcPr>
          <w:p w14:paraId="552FB52E"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auto" w:fill="auto"/>
            <w:noWrap/>
            <w:vAlign w:val="center"/>
            <w:hideMark/>
          </w:tcPr>
          <w:p w14:paraId="2246760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042B0653"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019E437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2F8F179B"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1F8953F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726670EC"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5F06F58C"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2906DBFE"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07327AD7"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369F3C3C"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15D69122"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638A75D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51D733DC"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47ED63B3"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7916AFA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765C9903"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59670D16"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616DEEB7"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516BC7A2"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FFFFFF"/>
            <w:noWrap/>
            <w:vAlign w:val="center"/>
            <w:hideMark/>
          </w:tcPr>
          <w:p w14:paraId="2ED673EF"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FFFFFF"/>
            <w:noWrap/>
            <w:vAlign w:val="center"/>
            <w:hideMark/>
          </w:tcPr>
          <w:p w14:paraId="742A68BE"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auto" w:fill="auto"/>
            <w:noWrap/>
            <w:vAlign w:val="center"/>
            <w:hideMark/>
          </w:tcPr>
          <w:p w14:paraId="1A0147D2"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auto" w:fill="auto"/>
            <w:noWrap/>
            <w:vAlign w:val="center"/>
            <w:hideMark/>
          </w:tcPr>
          <w:p w14:paraId="3E2D147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r>
      <w:tr w:rsidR="007B3093" w14:paraId="036D7551" w14:textId="77777777">
        <w:trPr>
          <w:trHeight w:val="269"/>
        </w:trPr>
        <w:tc>
          <w:tcPr>
            <w:tcW w:w="2071" w:type="dxa"/>
            <w:shd w:val="clear" w:color="auto" w:fill="auto"/>
            <w:vAlign w:val="center"/>
            <w:hideMark/>
          </w:tcPr>
          <w:p w14:paraId="5E78CD77"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4.       Fortalecer los centros de mediación de la PGE.</w:t>
            </w:r>
          </w:p>
        </w:tc>
        <w:tc>
          <w:tcPr>
            <w:tcW w:w="164" w:type="dxa"/>
            <w:shd w:val="clear" w:color="auto" w:fill="auto"/>
            <w:noWrap/>
            <w:vAlign w:val="center"/>
            <w:hideMark/>
          </w:tcPr>
          <w:p w14:paraId="5B6F3DB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auto" w:fill="auto"/>
            <w:noWrap/>
            <w:vAlign w:val="center"/>
            <w:hideMark/>
          </w:tcPr>
          <w:p w14:paraId="559FC6D6"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auto" w:fill="auto"/>
            <w:noWrap/>
            <w:vAlign w:val="center"/>
            <w:hideMark/>
          </w:tcPr>
          <w:p w14:paraId="6D9BD768"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auto" w:fill="auto"/>
            <w:noWrap/>
            <w:vAlign w:val="center"/>
            <w:hideMark/>
          </w:tcPr>
          <w:p w14:paraId="0EA39E8E"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auto" w:fill="auto"/>
            <w:noWrap/>
            <w:vAlign w:val="center"/>
            <w:hideMark/>
          </w:tcPr>
          <w:p w14:paraId="3606651C"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auto" w:fill="auto"/>
            <w:noWrap/>
            <w:vAlign w:val="center"/>
            <w:hideMark/>
          </w:tcPr>
          <w:p w14:paraId="2E61AD8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auto" w:fill="auto"/>
            <w:noWrap/>
            <w:vAlign w:val="center"/>
            <w:hideMark/>
          </w:tcPr>
          <w:p w14:paraId="7449E887"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auto" w:fill="auto"/>
            <w:noWrap/>
            <w:vAlign w:val="center"/>
            <w:hideMark/>
          </w:tcPr>
          <w:p w14:paraId="526A8BDC"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auto" w:fill="auto"/>
            <w:noWrap/>
            <w:vAlign w:val="center"/>
            <w:hideMark/>
          </w:tcPr>
          <w:p w14:paraId="5C846AD6"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auto" w:fill="auto"/>
            <w:noWrap/>
            <w:vAlign w:val="center"/>
            <w:hideMark/>
          </w:tcPr>
          <w:p w14:paraId="5F036D8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auto" w:fill="auto"/>
            <w:noWrap/>
            <w:vAlign w:val="center"/>
            <w:hideMark/>
          </w:tcPr>
          <w:p w14:paraId="218CDEEF"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auto" w:fill="auto"/>
            <w:noWrap/>
            <w:vAlign w:val="center"/>
            <w:hideMark/>
          </w:tcPr>
          <w:p w14:paraId="34512DF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295D774F"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01B6E0FA"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5FE1910A"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6B860BA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10798FB6"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228AF9C8"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489D3E2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536554F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7179BE4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6684AFBC"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0B569D56"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14DE9E26"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3B65CA3B"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4B0C1CA3"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FFFFFF"/>
            <w:noWrap/>
            <w:vAlign w:val="center"/>
            <w:hideMark/>
          </w:tcPr>
          <w:p w14:paraId="2AB385F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auto" w:fill="auto"/>
            <w:noWrap/>
            <w:vAlign w:val="center"/>
            <w:hideMark/>
          </w:tcPr>
          <w:p w14:paraId="4426112B"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r>
      <w:tr w:rsidR="007B3093" w14:paraId="751C6D05" w14:textId="77777777">
        <w:trPr>
          <w:trHeight w:val="559"/>
        </w:trPr>
        <w:tc>
          <w:tcPr>
            <w:tcW w:w="2071" w:type="dxa"/>
            <w:shd w:val="clear" w:color="auto" w:fill="auto"/>
            <w:vAlign w:val="center"/>
            <w:hideMark/>
          </w:tcPr>
          <w:p w14:paraId="193A5DF9"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5.       Diseñar e implementar la estrategia de comunicación de la PGE.</w:t>
            </w:r>
          </w:p>
        </w:tc>
        <w:tc>
          <w:tcPr>
            <w:tcW w:w="164" w:type="dxa"/>
            <w:shd w:val="clear" w:color="auto" w:fill="auto"/>
            <w:noWrap/>
            <w:vAlign w:val="center"/>
            <w:hideMark/>
          </w:tcPr>
          <w:p w14:paraId="6F33E01D"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auto" w:fill="auto"/>
            <w:noWrap/>
            <w:vAlign w:val="center"/>
            <w:hideMark/>
          </w:tcPr>
          <w:p w14:paraId="34299D6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auto" w:fill="auto"/>
            <w:noWrap/>
            <w:vAlign w:val="center"/>
            <w:hideMark/>
          </w:tcPr>
          <w:p w14:paraId="3B87CBB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auto" w:fill="auto"/>
            <w:noWrap/>
            <w:vAlign w:val="center"/>
            <w:hideMark/>
          </w:tcPr>
          <w:p w14:paraId="639DE7EA"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auto" w:fill="auto"/>
            <w:noWrap/>
            <w:vAlign w:val="center"/>
            <w:hideMark/>
          </w:tcPr>
          <w:p w14:paraId="3BD6F91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auto" w:fill="auto"/>
            <w:noWrap/>
            <w:vAlign w:val="center"/>
            <w:hideMark/>
          </w:tcPr>
          <w:p w14:paraId="411DBAB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2C9111DE"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54673023"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15AE9B4A"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668820ED"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0F640309"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0AD52912"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2E953EE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2E99FF1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64DB64BA"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4FB411D4"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4A1CDF3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50AB00DD"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4B4D029D"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646A2330"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56D4E6B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40A2F09D"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45F5887B"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7781C187"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190" w:type="dxa"/>
            <w:shd w:val="clear" w:color="000000" w:fill="92D050"/>
            <w:noWrap/>
            <w:vAlign w:val="center"/>
            <w:hideMark/>
          </w:tcPr>
          <w:p w14:paraId="47EA58FF"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36" w:type="dxa"/>
            <w:shd w:val="clear" w:color="000000" w:fill="92D050"/>
            <w:noWrap/>
            <w:vAlign w:val="center"/>
            <w:hideMark/>
          </w:tcPr>
          <w:p w14:paraId="0464F958"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96" w:type="dxa"/>
            <w:shd w:val="clear" w:color="000000" w:fill="92D050"/>
            <w:noWrap/>
            <w:vAlign w:val="center"/>
            <w:hideMark/>
          </w:tcPr>
          <w:p w14:paraId="30BE5C1E"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314" w:type="dxa"/>
            <w:gridSpan w:val="2"/>
            <w:shd w:val="clear" w:color="000000" w:fill="92D050"/>
            <w:noWrap/>
            <w:vAlign w:val="center"/>
            <w:hideMark/>
          </w:tcPr>
          <w:p w14:paraId="11E0B8C1" w14:textId="77777777" w:rsidR="007B3093" w:rsidRDefault="00000000">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r>
    </w:tbl>
    <w:p w14:paraId="5E8F5FC3" w14:textId="77777777" w:rsidR="007B3093" w:rsidRDefault="007B3093">
      <w:pPr>
        <w:autoSpaceDE w:val="0"/>
        <w:autoSpaceDN w:val="0"/>
        <w:adjustRightInd w:val="0"/>
        <w:spacing w:before="120" w:after="120" w:line="360" w:lineRule="auto"/>
        <w:jc w:val="both"/>
        <w:rPr>
          <w:rFonts w:cstheme="minorHAnsi"/>
          <w:b/>
          <w:lang w:val="es-MX"/>
        </w:rPr>
      </w:pPr>
    </w:p>
    <w:p w14:paraId="3D599AED" w14:textId="77777777" w:rsidR="007B3093" w:rsidRDefault="00000000">
      <w:pPr>
        <w:pStyle w:val="Ttulo2"/>
        <w:numPr>
          <w:ilvl w:val="3"/>
          <w:numId w:val="93"/>
        </w:numPr>
        <w:spacing w:before="120" w:after="120" w:line="360" w:lineRule="auto"/>
        <w:ind w:left="851"/>
        <w:rPr>
          <w:rFonts w:asciiTheme="minorHAnsi" w:hAnsiTheme="minorHAnsi" w:cstheme="minorHAnsi"/>
          <w:b/>
          <w:color w:val="auto"/>
          <w:sz w:val="22"/>
          <w:szCs w:val="22"/>
        </w:rPr>
      </w:pPr>
      <w:bookmarkStart w:id="62" w:name="_Toc1089462"/>
      <w:bookmarkStart w:id="63" w:name="_Toc195010079"/>
      <w:r>
        <w:rPr>
          <w:rFonts w:asciiTheme="minorHAnsi" w:hAnsiTheme="minorHAnsi" w:cstheme="minorHAnsi"/>
          <w:b/>
          <w:color w:val="auto"/>
          <w:sz w:val="22"/>
          <w:szCs w:val="22"/>
        </w:rPr>
        <w:t>Estrategia Financiera para la Procuraduría General del Estado</w:t>
      </w:r>
      <w:bookmarkEnd w:id="62"/>
      <w:bookmarkEnd w:id="63"/>
    </w:p>
    <w:p w14:paraId="31993CD5" w14:textId="77777777" w:rsidR="007B3093" w:rsidRDefault="00000000">
      <w:pPr>
        <w:pStyle w:val="Ttulo2"/>
        <w:numPr>
          <w:ilvl w:val="4"/>
          <w:numId w:val="93"/>
        </w:numPr>
        <w:spacing w:before="120" w:after="120" w:line="360" w:lineRule="auto"/>
        <w:ind w:left="1276"/>
        <w:rPr>
          <w:rFonts w:asciiTheme="minorHAnsi" w:hAnsiTheme="minorHAnsi" w:cstheme="minorHAnsi"/>
          <w:b/>
          <w:color w:val="auto"/>
          <w:sz w:val="22"/>
          <w:szCs w:val="22"/>
        </w:rPr>
      </w:pPr>
      <w:bookmarkStart w:id="64" w:name="_Toc168904768"/>
      <w:bookmarkStart w:id="65" w:name="_Toc195010080"/>
      <w:r>
        <w:rPr>
          <w:rFonts w:asciiTheme="minorHAnsi" w:hAnsiTheme="minorHAnsi" w:cstheme="minorHAnsi"/>
          <w:b/>
          <w:color w:val="auto"/>
          <w:sz w:val="22"/>
          <w:szCs w:val="22"/>
        </w:rPr>
        <w:t>Determinación de costos por productos y servicios.</w:t>
      </w:r>
      <w:bookmarkEnd w:id="64"/>
      <w:bookmarkEnd w:id="65"/>
    </w:p>
    <w:p w14:paraId="5EBF7CD6"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Como se anotó previamente, la Contraloría General del Estado realizó la revisión de las recomendaciones del Informe 11962-4-2014 “Examen especial al seguimiento del Plan Operativo Anual 2013”, realizado a la Procuraduría General del Estado, en su gestión entre septiembre de 2013 y julio de 2017, donde se establecieron errores y omisiones en el ámbito del uso de indicadores que habían restringido los resultados que la Procuraduría General del Estado podría haber obtenido. </w:t>
      </w:r>
    </w:p>
    <w:p w14:paraId="73250630"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La ausencia de estos indicadores no permite conocer los costos de los productos y servicios que son generados por la institución, de tal forma de conocer su economía, de igual forma que no se tiene evidencia de su eficiencia, su eficacia y su calidad. Un elemento que se desprende de toda esta carencia es no contar con evidencia acerca del tiempo que toma cada trámite, lo mismo que el tiempo que toma el proceso al cual dichos trámites corresponden. </w:t>
      </w:r>
    </w:p>
    <w:p w14:paraId="6E6B6794" w14:textId="77777777" w:rsidR="007B3093" w:rsidRDefault="007B3093">
      <w:pPr>
        <w:pStyle w:val="Prrafodelista"/>
        <w:spacing w:before="120" w:after="120" w:line="360" w:lineRule="auto"/>
        <w:ind w:left="142"/>
        <w:contextualSpacing w:val="0"/>
        <w:jc w:val="both"/>
        <w:rPr>
          <w:rFonts w:cstheme="minorHAnsi"/>
        </w:rPr>
      </w:pPr>
    </w:p>
    <w:p w14:paraId="29719A9E" w14:textId="77777777" w:rsidR="007B3093" w:rsidRDefault="00000000">
      <w:pPr>
        <w:pStyle w:val="Ttulo2"/>
        <w:numPr>
          <w:ilvl w:val="4"/>
          <w:numId w:val="93"/>
        </w:numPr>
        <w:spacing w:before="120" w:after="120" w:line="360" w:lineRule="auto"/>
        <w:ind w:left="1276"/>
        <w:rPr>
          <w:rFonts w:asciiTheme="minorHAnsi" w:hAnsiTheme="minorHAnsi" w:cstheme="minorHAnsi"/>
          <w:b/>
          <w:color w:val="auto"/>
          <w:sz w:val="22"/>
          <w:szCs w:val="22"/>
        </w:rPr>
      </w:pPr>
      <w:bookmarkStart w:id="66" w:name="_Toc168904769"/>
      <w:bookmarkStart w:id="67" w:name="_Toc195010081"/>
      <w:r>
        <w:rPr>
          <w:rFonts w:asciiTheme="minorHAnsi" w:hAnsiTheme="minorHAnsi" w:cstheme="minorHAnsi"/>
          <w:b/>
          <w:color w:val="auto"/>
          <w:sz w:val="22"/>
          <w:szCs w:val="22"/>
        </w:rPr>
        <w:t>Fuentes de Financiamiento</w:t>
      </w:r>
      <w:bookmarkEnd w:id="66"/>
      <w:bookmarkEnd w:id="67"/>
    </w:p>
    <w:p w14:paraId="06457100"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La contradicción de la autonomía constitucional de la Procuraduría General del Estado, con su inclusión en el Presupuesto General del Estado, de acuerdo al artículo 292 de la Constitución del Ecuador; la eliminación del control previo en la contratación estatal; y, los recursos que generaba para la institución, y la obligación actual de devolver los ingresos que genera a la Cuenta Única del Tesoro; son razones suficientes para justificar la realización de un estudio de sostenibilidad financiera que tomando en cuenta los elemento mencionados busque </w:t>
      </w:r>
      <w:r>
        <w:rPr>
          <w:rFonts w:cstheme="minorHAnsi"/>
        </w:rPr>
        <w:lastRenderedPageBreak/>
        <w:t>soluciones orientadas hacia la obtención de la máxima autonomía financiera factible para la institución.</w:t>
      </w:r>
    </w:p>
    <w:p w14:paraId="310CB90F" w14:textId="77777777" w:rsidR="007B3093" w:rsidRDefault="00000000">
      <w:pPr>
        <w:pStyle w:val="Ttulo2"/>
        <w:numPr>
          <w:ilvl w:val="4"/>
          <w:numId w:val="93"/>
        </w:numPr>
        <w:spacing w:before="0" w:line="360" w:lineRule="auto"/>
        <w:ind w:left="1276"/>
        <w:rPr>
          <w:rFonts w:asciiTheme="minorHAnsi" w:hAnsiTheme="minorHAnsi" w:cstheme="minorHAnsi"/>
          <w:b/>
          <w:color w:val="auto"/>
          <w:sz w:val="22"/>
          <w:szCs w:val="22"/>
        </w:rPr>
      </w:pPr>
      <w:bookmarkStart w:id="68" w:name="_Toc168904770"/>
      <w:bookmarkStart w:id="69" w:name="_Toc195010082"/>
      <w:r>
        <w:rPr>
          <w:rFonts w:asciiTheme="minorHAnsi" w:hAnsiTheme="minorHAnsi" w:cstheme="minorHAnsi"/>
          <w:b/>
          <w:color w:val="auto"/>
          <w:sz w:val="22"/>
          <w:szCs w:val="22"/>
        </w:rPr>
        <w:t>Manejo de recursos, sostenibilidad y contingentes en el caso de pasivos legales.</w:t>
      </w:r>
      <w:bookmarkEnd w:id="68"/>
      <w:bookmarkEnd w:id="69"/>
    </w:p>
    <w:p w14:paraId="502446CB" w14:textId="77777777" w:rsidR="007B3093" w:rsidRDefault="00000000">
      <w:pPr>
        <w:pStyle w:val="Prrafodelista"/>
        <w:spacing w:before="120" w:after="120" w:line="360" w:lineRule="auto"/>
        <w:ind w:left="142"/>
        <w:contextualSpacing w:val="0"/>
        <w:jc w:val="both"/>
        <w:rPr>
          <w:rFonts w:cstheme="minorHAnsi"/>
        </w:rPr>
      </w:pPr>
      <w:r>
        <w:rPr>
          <w:rFonts w:cstheme="minorHAnsi"/>
        </w:rPr>
        <w:t>El Gráfico No. 3 se presenta la evolución histórica del presupuesto institucional de la Procuraduría General del Estado, en el periodo comprendido entre los años 2015 y 2024.  El presupuesto asignado a esta institución dentro del Presupuesto General del Estado, partiendo de los USD 64,08 millones disminuye cada año hasta los USD 37,63 millones en el año 2024.</w:t>
      </w:r>
    </w:p>
    <w:p w14:paraId="1ABCCB7D"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Para el año 2025, el monto asignado asciende a USD 17.165.411,36.  </w:t>
      </w:r>
    </w:p>
    <w:p w14:paraId="57D749E8" w14:textId="77777777" w:rsidR="007B3093" w:rsidRDefault="00000000">
      <w:pPr>
        <w:pStyle w:val="Prrafodelista"/>
        <w:spacing w:before="120" w:after="120" w:line="360" w:lineRule="auto"/>
        <w:ind w:left="142"/>
        <w:contextualSpacing w:val="0"/>
        <w:jc w:val="both"/>
        <w:rPr>
          <w:rFonts w:cstheme="minorHAnsi"/>
        </w:rPr>
      </w:pPr>
      <w:r>
        <w:rPr>
          <w:rFonts w:cstheme="minorHAnsi"/>
        </w:rPr>
        <w:t>En el Gráfico 4, al mismo tiempo se muestra la desagregación del presupuesto de la entidad cada año entre el monto asignado al “Gasto de Personal” (grupo de gasto 51), a los “Bienes y Servicios” (grupo de gasto 53), y a una agrupación de los demás grupos de gasto. De forma obvia se pretende resaltar la importancia del grupo de gasto 51 y 53 en el presupuesto de la entidad.</w:t>
      </w:r>
    </w:p>
    <w:p w14:paraId="793B3EC4" w14:textId="77777777" w:rsidR="007B3093" w:rsidRDefault="00000000">
      <w:pPr>
        <w:pStyle w:val="Prrafodelista"/>
        <w:spacing w:before="120" w:after="120" w:line="360" w:lineRule="auto"/>
        <w:ind w:left="142"/>
        <w:contextualSpacing w:val="0"/>
        <w:jc w:val="both"/>
        <w:rPr>
          <w:rFonts w:cstheme="minorHAnsi"/>
        </w:rPr>
      </w:pPr>
      <w:r>
        <w:rPr>
          <w:rFonts w:cstheme="minorHAnsi"/>
        </w:rPr>
        <w:t>El “Gasto de Personal” en 2015 alcanza USD 15,76 millones, y se evidencia que se mantiene a través del tiempo, con una baja paulatina a partir de 2020 hasta llegar a los USD 12,79 millones en 2024.   Se evidencia una baja sostenida de “Gasto de Bienes y Servicios de consumo” desde 2015 hasta 2023, es notoria la reclasificación realizada desde 2021 de los valores que asume la PGE por aspectos de defensa al Estado en Cortes Internacionales.</w:t>
      </w:r>
    </w:p>
    <w:p w14:paraId="70E3DE36" w14:textId="77777777" w:rsidR="007B3093" w:rsidRDefault="007B3093">
      <w:pPr>
        <w:pStyle w:val="Prrafodelista"/>
        <w:spacing w:before="120" w:after="120" w:line="360" w:lineRule="auto"/>
        <w:ind w:left="142"/>
        <w:contextualSpacing w:val="0"/>
        <w:jc w:val="both"/>
        <w:rPr>
          <w:rFonts w:cstheme="minorHAnsi"/>
        </w:rPr>
      </w:pPr>
    </w:p>
    <w:p w14:paraId="70D0A4F1" w14:textId="77777777" w:rsidR="007B3093" w:rsidRDefault="007B3093">
      <w:pPr>
        <w:pStyle w:val="Prrafodelista"/>
        <w:spacing w:before="120" w:after="120" w:line="360" w:lineRule="auto"/>
        <w:ind w:left="142"/>
        <w:contextualSpacing w:val="0"/>
        <w:jc w:val="both"/>
        <w:rPr>
          <w:rFonts w:cstheme="minorHAnsi"/>
        </w:rPr>
      </w:pPr>
    </w:p>
    <w:p w14:paraId="0F549DFA" w14:textId="77777777" w:rsidR="007B3093" w:rsidRDefault="007B3093">
      <w:pPr>
        <w:pStyle w:val="Prrafodelista"/>
        <w:spacing w:before="120" w:after="120" w:line="360" w:lineRule="auto"/>
        <w:ind w:left="142"/>
        <w:contextualSpacing w:val="0"/>
        <w:jc w:val="both"/>
        <w:rPr>
          <w:rFonts w:cstheme="minorHAnsi"/>
        </w:rPr>
      </w:pPr>
    </w:p>
    <w:p w14:paraId="3C3D2D01" w14:textId="77777777" w:rsidR="007B3093" w:rsidRDefault="007B3093">
      <w:pPr>
        <w:pStyle w:val="Prrafodelista"/>
        <w:spacing w:before="120" w:after="120" w:line="360" w:lineRule="auto"/>
        <w:ind w:left="142"/>
        <w:contextualSpacing w:val="0"/>
        <w:jc w:val="both"/>
        <w:rPr>
          <w:rFonts w:cstheme="minorHAnsi"/>
        </w:rPr>
      </w:pPr>
    </w:p>
    <w:p w14:paraId="11F44726" w14:textId="77777777" w:rsidR="007B3093" w:rsidRDefault="00000000">
      <w:pPr>
        <w:autoSpaceDE w:val="0"/>
        <w:autoSpaceDN w:val="0"/>
        <w:adjustRightInd w:val="0"/>
        <w:spacing w:after="0" w:line="240" w:lineRule="auto"/>
        <w:ind w:left="425"/>
        <w:jc w:val="center"/>
        <w:rPr>
          <w:rFonts w:cstheme="minorHAnsi"/>
          <w:b/>
        </w:rPr>
      </w:pPr>
      <w:r>
        <w:rPr>
          <w:rFonts w:cstheme="minorHAnsi"/>
          <w:b/>
        </w:rPr>
        <w:t>Gráfico 3: Presupuesto Histórico 2015-2024</w:t>
      </w:r>
    </w:p>
    <w:p w14:paraId="635A30BA" w14:textId="77777777" w:rsidR="007B3093" w:rsidRDefault="00000000">
      <w:pPr>
        <w:autoSpaceDE w:val="0"/>
        <w:autoSpaceDN w:val="0"/>
        <w:adjustRightInd w:val="0"/>
        <w:spacing w:after="0" w:line="240" w:lineRule="auto"/>
        <w:ind w:left="425"/>
        <w:jc w:val="center"/>
        <w:rPr>
          <w:rFonts w:cstheme="minorHAnsi"/>
          <w:b/>
        </w:rPr>
      </w:pPr>
      <w:r>
        <w:rPr>
          <w:rFonts w:cstheme="minorHAnsi"/>
          <w:b/>
        </w:rPr>
        <w:t>Procuraduría General del Estado (millones de USD)</w:t>
      </w:r>
    </w:p>
    <w:p w14:paraId="160C4B0E" w14:textId="77777777" w:rsidR="007B3093" w:rsidRDefault="00000000">
      <w:pPr>
        <w:autoSpaceDE w:val="0"/>
        <w:autoSpaceDN w:val="0"/>
        <w:adjustRightInd w:val="0"/>
        <w:spacing w:after="0" w:line="360" w:lineRule="auto"/>
        <w:rPr>
          <w:rFonts w:cstheme="minorHAnsi"/>
          <w:b/>
        </w:rPr>
      </w:pPr>
      <w:r>
        <w:rPr>
          <w:noProof/>
          <w:lang w:val="en-US"/>
        </w:rPr>
        <w:lastRenderedPageBreak/>
        <w:drawing>
          <wp:anchor distT="0" distB="0" distL="114300" distR="114300" simplePos="0" relativeHeight="251666432" behindDoc="0" locked="0" layoutInCell="1" allowOverlap="1" wp14:anchorId="172088BF" wp14:editId="562AD83C">
            <wp:simplePos x="0" y="0"/>
            <wp:positionH relativeFrom="column">
              <wp:posOffset>0</wp:posOffset>
            </wp:positionH>
            <wp:positionV relativeFrom="paragraph">
              <wp:posOffset>257175</wp:posOffset>
            </wp:positionV>
            <wp:extent cx="5525770" cy="2536466"/>
            <wp:effectExtent l="0" t="0" r="17780" b="16510"/>
            <wp:wrapThrough wrapText="bothSides">
              <wp:wrapPolygon edited="0">
                <wp:start x="0" y="0"/>
                <wp:lineTo x="0" y="21578"/>
                <wp:lineTo x="21595" y="21578"/>
                <wp:lineTo x="21595" y="0"/>
                <wp:lineTo x="0" y="0"/>
              </wp:wrapPolygon>
            </wp:wrapThrough>
            <wp:docPr id="1" name="Gráfico 1">
              <a:extLst xmlns:a="http://schemas.openxmlformats.org/drawingml/2006/main">
                <a:ext uri="{FF2B5EF4-FFF2-40B4-BE49-F238E27FC236}">
                  <a16:creationId xmlns:a16="http://schemas.microsoft.com/office/drawing/2014/main" id="{092AEC9C-97FC-E6B9-30E0-37B2AE56E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70A818BF" w14:textId="77777777" w:rsidR="007B3093" w:rsidRDefault="00000000">
      <w:pPr>
        <w:pStyle w:val="Sinespaciado"/>
        <w:rPr>
          <w:b/>
          <w:sz w:val="20"/>
          <w:szCs w:val="20"/>
        </w:rPr>
      </w:pPr>
      <w:r>
        <w:rPr>
          <w:b/>
          <w:sz w:val="20"/>
          <w:szCs w:val="20"/>
        </w:rPr>
        <w:t>Fuente: e-SIGEF Cédulas presupuestarias 2015-2024</w:t>
      </w:r>
    </w:p>
    <w:p w14:paraId="7BCA4E38" w14:textId="77777777" w:rsidR="007B3093" w:rsidRDefault="00000000">
      <w:pPr>
        <w:pStyle w:val="Sinespaciado"/>
        <w:rPr>
          <w:b/>
          <w:sz w:val="20"/>
          <w:szCs w:val="20"/>
        </w:rPr>
      </w:pPr>
      <w:r>
        <w:rPr>
          <w:b/>
          <w:sz w:val="20"/>
          <w:szCs w:val="20"/>
        </w:rPr>
        <w:t>Elaboración:  EDG PROFIP PGE</w:t>
      </w:r>
    </w:p>
    <w:p w14:paraId="1B27BDD8" w14:textId="77777777" w:rsidR="007B3093" w:rsidRDefault="007B3093">
      <w:pPr>
        <w:pStyle w:val="Sinespaciado"/>
        <w:rPr>
          <w:b/>
          <w:sz w:val="20"/>
          <w:szCs w:val="20"/>
        </w:rPr>
      </w:pPr>
    </w:p>
    <w:p w14:paraId="5EAAD8EA" w14:textId="77777777" w:rsidR="007B3093" w:rsidRDefault="00000000">
      <w:pPr>
        <w:spacing w:before="120" w:after="120" w:line="360" w:lineRule="auto"/>
        <w:jc w:val="both"/>
        <w:rPr>
          <w:rFonts w:cstheme="minorHAnsi"/>
        </w:rPr>
      </w:pPr>
      <w:r>
        <w:rPr>
          <w:rFonts w:cstheme="minorHAnsi"/>
        </w:rPr>
        <w:t xml:space="preserve">Es necesario anotar que a partir de 2021 la asignación de recursos para la defensa del Estado en Cortes Internacionales se asigna por medio del Programa de Preservación de Capital, por ese motivo este rubro se incrementa sensiblemente a partir de este año en el grupo de gasto 73.  </w:t>
      </w:r>
    </w:p>
    <w:p w14:paraId="5B5073DB" w14:textId="77777777" w:rsidR="007B3093" w:rsidRDefault="007B3093">
      <w:pPr>
        <w:pStyle w:val="Sinespaciado"/>
      </w:pPr>
    </w:p>
    <w:p w14:paraId="38797326" w14:textId="77777777" w:rsidR="007B3093" w:rsidRDefault="00000000">
      <w:pPr>
        <w:spacing w:after="0" w:line="360" w:lineRule="auto"/>
        <w:ind w:left="66"/>
        <w:contextualSpacing/>
        <w:jc w:val="center"/>
        <w:rPr>
          <w:rFonts w:cstheme="minorHAnsi"/>
          <w:b/>
        </w:rPr>
      </w:pPr>
      <w:r>
        <w:rPr>
          <w:noProof/>
          <w:lang w:val="en-US"/>
        </w:rPr>
        <w:drawing>
          <wp:anchor distT="0" distB="0" distL="114300" distR="114300" simplePos="0" relativeHeight="251668480" behindDoc="0" locked="0" layoutInCell="1" allowOverlap="1" wp14:anchorId="44B64F43" wp14:editId="210B9289">
            <wp:simplePos x="0" y="0"/>
            <wp:positionH relativeFrom="column">
              <wp:posOffset>17145</wp:posOffset>
            </wp:positionH>
            <wp:positionV relativeFrom="paragraph">
              <wp:posOffset>283845</wp:posOffset>
            </wp:positionV>
            <wp:extent cx="5430520" cy="2714625"/>
            <wp:effectExtent l="0" t="0" r="17780" b="9525"/>
            <wp:wrapThrough wrapText="bothSides">
              <wp:wrapPolygon edited="0">
                <wp:start x="0" y="0"/>
                <wp:lineTo x="0" y="21524"/>
                <wp:lineTo x="21595" y="21524"/>
                <wp:lineTo x="21595" y="0"/>
                <wp:lineTo x="0" y="0"/>
              </wp:wrapPolygon>
            </wp:wrapThrough>
            <wp:docPr id="4" name="Gráfico 4">
              <a:extLst xmlns:a="http://schemas.openxmlformats.org/drawingml/2006/main">
                <a:ext uri="{FF2B5EF4-FFF2-40B4-BE49-F238E27FC236}">
                  <a16:creationId xmlns:a16="http://schemas.microsoft.com/office/drawing/2014/main" id="{9F652A68-06F5-62D5-D06B-C057712C4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Pr>
          <w:rFonts w:cstheme="minorHAnsi"/>
          <w:b/>
        </w:rPr>
        <w:t>Gráfico 4: Relación en gastos en defensa internacional del Estado – 2019-2024</w:t>
      </w:r>
    </w:p>
    <w:p w14:paraId="2643436F" w14:textId="77777777" w:rsidR="007B3093" w:rsidRDefault="00000000">
      <w:pPr>
        <w:spacing w:after="0" w:line="360" w:lineRule="auto"/>
        <w:ind w:left="66"/>
        <w:contextualSpacing/>
        <w:rPr>
          <w:rFonts w:cstheme="minorHAnsi"/>
          <w:b/>
          <w:sz w:val="20"/>
          <w:szCs w:val="20"/>
        </w:rPr>
      </w:pPr>
      <w:r>
        <w:rPr>
          <w:rFonts w:cstheme="minorHAnsi"/>
          <w:b/>
          <w:sz w:val="20"/>
          <w:szCs w:val="20"/>
        </w:rPr>
        <w:t xml:space="preserve">    Fuente: </w:t>
      </w:r>
      <w:r>
        <w:rPr>
          <w:b/>
          <w:sz w:val="20"/>
          <w:szCs w:val="20"/>
        </w:rPr>
        <w:t xml:space="preserve"> e-SIGEF Cédulas presupuestarias 2019-2024</w:t>
      </w:r>
    </w:p>
    <w:p w14:paraId="7D7ECFDD" w14:textId="77777777" w:rsidR="007B3093" w:rsidRDefault="00000000">
      <w:pPr>
        <w:spacing w:after="0" w:line="360" w:lineRule="auto"/>
        <w:contextualSpacing/>
        <w:rPr>
          <w:rFonts w:cstheme="minorHAnsi"/>
          <w:b/>
        </w:rPr>
      </w:pPr>
      <w:r>
        <w:rPr>
          <w:rFonts w:cstheme="minorHAnsi"/>
          <w:b/>
          <w:sz w:val="20"/>
          <w:szCs w:val="20"/>
        </w:rPr>
        <w:t xml:space="preserve">      Elaboración: </w:t>
      </w:r>
      <w:r>
        <w:rPr>
          <w:rFonts w:cstheme="minorHAnsi"/>
          <w:b/>
        </w:rPr>
        <w:t>EDG PROFIP</w:t>
      </w:r>
    </w:p>
    <w:p w14:paraId="04F949A0" w14:textId="77777777" w:rsidR="007B3093" w:rsidRDefault="007B3093">
      <w:pPr>
        <w:spacing w:after="0" w:line="360" w:lineRule="auto"/>
        <w:ind w:left="68" w:firstLine="640"/>
        <w:contextualSpacing/>
        <w:rPr>
          <w:rFonts w:cstheme="minorHAnsi"/>
          <w:b/>
        </w:rPr>
      </w:pPr>
    </w:p>
    <w:p w14:paraId="6A8A27CF" w14:textId="77777777" w:rsidR="007B3093" w:rsidRDefault="00000000">
      <w:pPr>
        <w:pStyle w:val="Prrafodelista"/>
        <w:spacing w:before="120" w:after="120" w:line="360" w:lineRule="auto"/>
        <w:ind w:left="142"/>
        <w:contextualSpacing w:val="0"/>
        <w:jc w:val="both"/>
      </w:pPr>
      <w:r>
        <w:rPr>
          <w:rFonts w:cstheme="minorHAnsi"/>
        </w:rPr>
        <w:lastRenderedPageBreak/>
        <w:t xml:space="preserve">De los litigios internacionales a cargo de la Procuraduría General del Estado se derivan pasivos contingentes por litigios, que surgen de la posible ocurrencia de fallos en contra del Estado, en procesos judiciales o conciliaciones que impliquen el reconocimiento de pagos a favor de terceros. </w:t>
      </w:r>
      <w:proofErr w:type="gramStart"/>
      <w:r>
        <w:t>En relación al</w:t>
      </w:r>
      <w:proofErr w:type="gramEnd"/>
      <w:r>
        <w:t xml:space="preserve"> gasto en “Servicios de Consultoría” que consiste en gastos del Estado en cortes Internacionales, en el año 2015 se presentó un monto de USD 47,73 millones y en el 2024, se registró un valor de USD 22,00; es importante citar que a partir del 2021 se reciben recursos que son parte del Programa de Preservación de Capital; en los años anteriores los recursos eran asignados en el gasto corriente.  Así mismo, este rubro también está compuesto por el valor transferido por las Empresas Públicas que requieren de su defensa en el exterior, por lo que estos montos hacen parte del gasto corriente en le fuente 701, y son utilizados única y exclusivamente para este fin.</w:t>
      </w:r>
    </w:p>
    <w:p w14:paraId="5126223D" w14:textId="77777777" w:rsidR="007B3093" w:rsidRDefault="00000000">
      <w:pPr>
        <w:pStyle w:val="Prrafodelista"/>
        <w:spacing w:before="120" w:after="120" w:line="360" w:lineRule="auto"/>
        <w:ind w:left="142"/>
        <w:contextualSpacing w:val="0"/>
        <w:jc w:val="both"/>
        <w:rPr>
          <w:rFonts w:cstheme="minorHAnsi"/>
        </w:rPr>
      </w:pPr>
      <w:r>
        <w:rPr>
          <w:rFonts w:cstheme="minorHAnsi"/>
        </w:rPr>
        <w:t>Estos pasivos contingentes cuya efectiva exigibilidad y determinación en términos de montos, plazos de pago, etc. están sujetas a eventos futuros inciertos, por su cuantía son una importante fuente de “Riesgo Fiscal” para el Ecuador.</w:t>
      </w:r>
    </w:p>
    <w:p w14:paraId="3EFC6988" w14:textId="77777777" w:rsidR="007B3093" w:rsidRDefault="00000000">
      <w:pPr>
        <w:pStyle w:val="Prrafodelista"/>
        <w:spacing w:before="120" w:after="120" w:line="360" w:lineRule="auto"/>
        <w:ind w:left="142"/>
        <w:contextualSpacing w:val="0"/>
        <w:jc w:val="both"/>
        <w:rPr>
          <w:rFonts w:cstheme="minorHAnsi"/>
        </w:rPr>
      </w:pPr>
      <w:r>
        <w:rPr>
          <w:rFonts w:cstheme="minorHAnsi"/>
        </w:rPr>
        <w:t>Para prevenir o mitigar los efectos futuros de estos pasivos contingentes, el Banco Interamericano de Desarrollo ha establecido un procedimiento que consta de cuatro pasos</w:t>
      </w:r>
      <w:r>
        <w:rPr>
          <w:vertAlign w:val="superscript"/>
        </w:rPr>
        <w:footnoteReference w:id="17"/>
      </w:r>
      <w:r>
        <w:rPr>
          <w:rFonts w:cstheme="minorHAnsi"/>
        </w:rPr>
        <w:t>: identificación, cuantificación, seguimiento (monitoreo, evaluación, control, reestimación); y, exposición</w:t>
      </w:r>
      <w:r>
        <w:rPr>
          <w:vertAlign w:val="superscript"/>
        </w:rPr>
        <w:footnoteReference w:id="18"/>
      </w:r>
      <w:r>
        <w:rPr>
          <w:rFonts w:cstheme="minorHAnsi"/>
        </w:rPr>
        <w:t xml:space="preserve">. </w:t>
      </w:r>
    </w:p>
    <w:p w14:paraId="74696B68" w14:textId="77777777" w:rsidR="007B3093" w:rsidRDefault="00000000">
      <w:pPr>
        <w:pStyle w:val="Prrafodelista"/>
        <w:spacing w:before="120" w:after="120" w:line="360" w:lineRule="auto"/>
        <w:ind w:left="142"/>
        <w:contextualSpacing w:val="0"/>
        <w:jc w:val="both"/>
        <w:rPr>
          <w:rFonts w:cstheme="minorHAnsi"/>
        </w:rPr>
      </w:pPr>
      <w:r>
        <w:rPr>
          <w:rFonts w:cstheme="minorHAnsi"/>
        </w:rPr>
        <w:t>Para financiar su eventual pago, de la experiencia internacional se han ubicado tres opciones: fondos de reserva</w:t>
      </w:r>
      <w:r>
        <w:rPr>
          <w:vertAlign w:val="superscript"/>
        </w:rPr>
        <w:footnoteReference w:id="19"/>
      </w:r>
      <w:r>
        <w:rPr>
          <w:rFonts w:cstheme="minorHAnsi"/>
        </w:rPr>
        <w:t>, provisiones paulatinas para gastos contingentes en los estados financieros del Estado</w:t>
      </w:r>
      <w:r>
        <w:rPr>
          <w:vertAlign w:val="superscript"/>
        </w:rPr>
        <w:footnoteReference w:id="20"/>
      </w:r>
      <w:r>
        <w:rPr>
          <w:rFonts w:cstheme="minorHAnsi"/>
        </w:rPr>
        <w:t>, y, en el caso colombiano: inclusión anual de recursos necesarios para el pago de las sentencias y conciliaciones en el presupuesto de servicio de la deuda, dentro del rubro de sentencias y conciliaciones</w:t>
      </w:r>
      <w:r>
        <w:rPr>
          <w:rStyle w:val="Refdenotaalpie"/>
          <w:rFonts w:cstheme="minorHAnsi"/>
        </w:rPr>
        <w:footnoteReference w:id="21"/>
      </w:r>
      <w:r>
        <w:rPr>
          <w:rFonts w:cstheme="minorHAnsi"/>
        </w:rPr>
        <w:t xml:space="preserve">. </w:t>
      </w:r>
    </w:p>
    <w:p w14:paraId="0B4A6F4B" w14:textId="77777777" w:rsidR="007B3093" w:rsidRDefault="00000000">
      <w:pPr>
        <w:pStyle w:val="Ttulo2"/>
        <w:numPr>
          <w:ilvl w:val="3"/>
          <w:numId w:val="93"/>
        </w:numPr>
        <w:spacing w:before="360" w:after="120" w:line="360" w:lineRule="auto"/>
        <w:ind w:left="850"/>
        <w:rPr>
          <w:rFonts w:asciiTheme="minorHAnsi" w:hAnsiTheme="minorHAnsi" w:cstheme="minorHAnsi"/>
          <w:b/>
          <w:color w:val="auto"/>
          <w:sz w:val="22"/>
          <w:szCs w:val="22"/>
        </w:rPr>
      </w:pPr>
      <w:bookmarkStart w:id="70" w:name="_Toc1089466"/>
      <w:bookmarkStart w:id="71" w:name="_Toc195010083"/>
      <w:r>
        <w:rPr>
          <w:rFonts w:asciiTheme="minorHAnsi" w:hAnsiTheme="minorHAnsi" w:cstheme="minorHAnsi"/>
          <w:b/>
          <w:color w:val="auto"/>
          <w:sz w:val="22"/>
          <w:szCs w:val="22"/>
        </w:rPr>
        <w:t>Estrategia de Comunicación</w:t>
      </w:r>
      <w:bookmarkEnd w:id="70"/>
      <w:bookmarkEnd w:id="71"/>
    </w:p>
    <w:p w14:paraId="419C431F"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De la experiencia del Fortalecimiento Institucional de la Procuraduría en Colombia, así como de la reforma al sistema judicial ecuatoriano, se rescata la importancia de las acciones que se deben tomar de forma paralela a las actividades de fortalecimiento institucional, en el ámbito </w:t>
      </w:r>
      <w:r>
        <w:rPr>
          <w:rFonts w:cstheme="minorHAnsi"/>
        </w:rPr>
        <w:lastRenderedPageBreak/>
        <w:t xml:space="preserve">de la comunicación. El proceso de reforma de la Procuraduría General del </w:t>
      </w:r>
      <w:proofErr w:type="gramStart"/>
      <w:r>
        <w:rPr>
          <w:rFonts w:cstheme="minorHAnsi"/>
        </w:rPr>
        <w:t>Estado,</w:t>
      </w:r>
      <w:proofErr w:type="gramEnd"/>
      <w:r>
        <w:rPr>
          <w:rFonts w:cstheme="minorHAnsi"/>
        </w:rPr>
        <w:t xml:space="preserve"> requiere de la debida promoción, así como el alcanzar las metas de muchas de las unidades institucionales requerirá de elementos comunicacionales. Las acciones en este campo requerirán en un principio de un estudio de percepción de la institución, así como cubrir la falta de equipamiento para estos efectos, del que sufre la entidad.</w:t>
      </w:r>
    </w:p>
    <w:p w14:paraId="22C7E2EA" w14:textId="77777777" w:rsidR="007B3093" w:rsidRDefault="00000000">
      <w:pPr>
        <w:pStyle w:val="Prrafodelista"/>
        <w:spacing w:before="120" w:after="120" w:line="360" w:lineRule="auto"/>
        <w:ind w:left="142"/>
        <w:contextualSpacing w:val="0"/>
        <w:jc w:val="both"/>
        <w:rPr>
          <w:rFonts w:cstheme="minorHAnsi"/>
        </w:rPr>
      </w:pPr>
      <w:proofErr w:type="gramStart"/>
      <w:r>
        <w:rPr>
          <w:rFonts w:cstheme="minorHAnsi"/>
        </w:rPr>
        <w:t>De acuerdo a</w:t>
      </w:r>
      <w:proofErr w:type="gramEnd"/>
      <w:r>
        <w:rPr>
          <w:rFonts w:cstheme="minorHAnsi"/>
        </w:rPr>
        <w:t xml:space="preserve"> la aproximación metodológica sugerida, la comunicación es un elemento central en el proceso de fortalecimiento institucional</w:t>
      </w:r>
      <w:r>
        <w:rPr>
          <w:rStyle w:val="Refdenotaalpie"/>
          <w:rFonts w:cstheme="minorHAnsi"/>
        </w:rPr>
        <w:footnoteReference w:id="22"/>
      </w:r>
      <w:r>
        <w:rPr>
          <w:rFonts w:cstheme="minorHAnsi"/>
        </w:rPr>
        <w:t>.</w:t>
      </w:r>
    </w:p>
    <w:p w14:paraId="6958FF00"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Es importante señalar que el componente relacionado a la estrategia de comunicación de la </w:t>
      </w:r>
      <w:proofErr w:type="gramStart"/>
      <w:r>
        <w:rPr>
          <w:rFonts w:cstheme="minorHAnsi"/>
        </w:rPr>
        <w:t>PGE,</w:t>
      </w:r>
      <w:proofErr w:type="gramEnd"/>
      <w:r>
        <w:rPr>
          <w:rFonts w:cstheme="minorHAnsi"/>
        </w:rPr>
        <w:t xml:space="preserve"> ha sido configurado con base en la estimación de costos realizada por el equipo del Banco Interamericano de Desarrollo, enfocado en posicionar el trabajo de la PGE.</w:t>
      </w:r>
    </w:p>
    <w:p w14:paraId="163B9498" w14:textId="77777777" w:rsidR="007B3093" w:rsidRDefault="00000000">
      <w:pPr>
        <w:spacing w:before="120" w:after="120" w:line="360" w:lineRule="auto"/>
        <w:ind w:firstLine="142"/>
        <w:jc w:val="both"/>
        <w:rPr>
          <w:rFonts w:cstheme="minorHAnsi"/>
          <w:sz w:val="24"/>
        </w:rPr>
      </w:pPr>
      <w:r>
        <w:rPr>
          <w:rFonts w:cstheme="minorHAnsi"/>
        </w:rPr>
        <w:t>Las tareas del proyecto que corresponden a la Estrategia de Comunicación son</w:t>
      </w:r>
      <w:r>
        <w:rPr>
          <w:rFonts w:cstheme="minorHAnsi"/>
          <w:sz w:val="24"/>
        </w:rPr>
        <w:t>:</w:t>
      </w:r>
    </w:p>
    <w:p w14:paraId="06C04CC9" w14:textId="77777777" w:rsidR="007B3093" w:rsidRDefault="00000000">
      <w:pPr>
        <w:autoSpaceDE w:val="0"/>
        <w:autoSpaceDN w:val="0"/>
        <w:adjustRightInd w:val="0"/>
        <w:spacing w:after="0" w:line="360" w:lineRule="auto"/>
        <w:jc w:val="center"/>
        <w:rPr>
          <w:rFonts w:cstheme="minorHAnsi"/>
          <w:b/>
          <w:bCs/>
          <w:lang w:eastAsia="es-EC"/>
        </w:rPr>
      </w:pPr>
      <w:r>
        <w:rPr>
          <w:rFonts w:cstheme="minorHAnsi"/>
          <w:b/>
          <w:bCs/>
          <w:lang w:eastAsia="es-EC"/>
        </w:rPr>
        <w:t>Tabla 22: Tareas correspondientes a la Estrategia de Comunicación</w:t>
      </w:r>
    </w:p>
    <w:tbl>
      <w:tblPr>
        <w:tblW w:w="4926" w:type="pct"/>
        <w:tblLook w:val="04A0" w:firstRow="1" w:lastRow="0" w:firstColumn="1" w:lastColumn="0" w:noHBand="0" w:noVBand="1"/>
      </w:tblPr>
      <w:tblGrid>
        <w:gridCol w:w="2023"/>
        <w:gridCol w:w="4896"/>
        <w:gridCol w:w="1439"/>
      </w:tblGrid>
      <w:tr w:rsidR="007B3093" w14:paraId="39DF4564" w14:textId="77777777">
        <w:trPr>
          <w:trHeight w:val="438"/>
          <w:tblHeader/>
        </w:trPr>
        <w:tc>
          <w:tcPr>
            <w:tcW w:w="1210" w:type="pct"/>
            <w:tcBorders>
              <w:top w:val="single" w:sz="8" w:space="0" w:color="auto"/>
              <w:left w:val="single" w:sz="8" w:space="0" w:color="auto"/>
              <w:bottom w:val="single" w:sz="8" w:space="0" w:color="auto"/>
              <w:right w:val="single" w:sz="8" w:space="0" w:color="auto"/>
            </w:tcBorders>
            <w:shd w:val="clear" w:color="000000" w:fill="222A35"/>
            <w:vAlign w:val="center"/>
            <w:hideMark/>
          </w:tcPr>
          <w:p w14:paraId="1A4E6C06" w14:textId="77777777" w:rsidR="007B3093" w:rsidRDefault="00000000">
            <w:pPr>
              <w:spacing w:after="0" w:line="240" w:lineRule="auto"/>
              <w:jc w:val="center"/>
              <w:rPr>
                <w:rFonts w:ascii="Calibri" w:eastAsia="Times New Roman" w:hAnsi="Calibri" w:cs="Calibri"/>
                <w:color w:val="FFFFFF"/>
                <w:lang w:val="en-US"/>
              </w:rPr>
            </w:pPr>
            <w:r>
              <w:rPr>
                <w:rFonts w:ascii="Calibri" w:eastAsia="Times New Roman" w:hAnsi="Calibri" w:cs="Calibri"/>
                <w:color w:val="FFFFFF"/>
              </w:rPr>
              <w:t>Componente y Actividad</w:t>
            </w:r>
          </w:p>
        </w:tc>
        <w:tc>
          <w:tcPr>
            <w:tcW w:w="2929" w:type="pct"/>
            <w:tcBorders>
              <w:top w:val="single" w:sz="8" w:space="0" w:color="auto"/>
              <w:left w:val="nil"/>
              <w:bottom w:val="single" w:sz="8" w:space="0" w:color="auto"/>
              <w:right w:val="single" w:sz="8" w:space="0" w:color="auto"/>
            </w:tcBorders>
            <w:shd w:val="clear" w:color="000000" w:fill="222A35"/>
            <w:vAlign w:val="center"/>
            <w:hideMark/>
          </w:tcPr>
          <w:p w14:paraId="4D92F413" w14:textId="77777777" w:rsidR="007B3093" w:rsidRDefault="00000000">
            <w:pPr>
              <w:spacing w:after="0" w:line="240" w:lineRule="auto"/>
              <w:jc w:val="center"/>
              <w:rPr>
                <w:rFonts w:ascii="Calibri" w:eastAsia="Times New Roman" w:hAnsi="Calibri" w:cs="Calibri"/>
                <w:color w:val="FFFFFF"/>
                <w:lang w:val="en-US"/>
              </w:rPr>
            </w:pPr>
            <w:r>
              <w:rPr>
                <w:rFonts w:ascii="Calibri" w:eastAsia="Times New Roman" w:hAnsi="Calibri" w:cs="Calibri"/>
                <w:color w:val="FFFFFF"/>
              </w:rPr>
              <w:t>Nombre de Tarea</w:t>
            </w:r>
          </w:p>
        </w:tc>
        <w:tc>
          <w:tcPr>
            <w:tcW w:w="861" w:type="pct"/>
            <w:tcBorders>
              <w:top w:val="single" w:sz="8" w:space="0" w:color="auto"/>
              <w:left w:val="nil"/>
              <w:bottom w:val="single" w:sz="8" w:space="0" w:color="auto"/>
              <w:right w:val="single" w:sz="8" w:space="0" w:color="auto"/>
            </w:tcBorders>
            <w:shd w:val="clear" w:color="000000" w:fill="222A35"/>
            <w:vAlign w:val="center"/>
            <w:hideMark/>
          </w:tcPr>
          <w:p w14:paraId="19AA6B33" w14:textId="77777777" w:rsidR="007B3093" w:rsidRDefault="00000000">
            <w:pPr>
              <w:spacing w:after="0" w:line="240" w:lineRule="auto"/>
              <w:jc w:val="center"/>
              <w:rPr>
                <w:rFonts w:ascii="Calibri" w:eastAsia="Times New Roman" w:hAnsi="Calibri" w:cs="Calibri"/>
                <w:color w:val="FFFFFF"/>
                <w:lang w:val="en-US"/>
              </w:rPr>
            </w:pPr>
            <w:r>
              <w:rPr>
                <w:rFonts w:ascii="Calibri" w:eastAsia="Times New Roman" w:hAnsi="Calibri" w:cs="Calibri"/>
                <w:color w:val="FFFFFF"/>
              </w:rPr>
              <w:t>Valor de la Tarea</w:t>
            </w:r>
          </w:p>
        </w:tc>
      </w:tr>
      <w:tr w:rsidR="007B3093" w14:paraId="1FF3245D" w14:textId="77777777">
        <w:trPr>
          <w:trHeight w:val="150"/>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4575DA34"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5.1</w:t>
            </w:r>
          </w:p>
        </w:tc>
        <w:tc>
          <w:tcPr>
            <w:tcW w:w="2929" w:type="pct"/>
            <w:tcBorders>
              <w:top w:val="nil"/>
              <w:left w:val="nil"/>
              <w:bottom w:val="single" w:sz="8" w:space="0" w:color="auto"/>
              <w:right w:val="single" w:sz="8" w:space="0" w:color="auto"/>
            </w:tcBorders>
            <w:shd w:val="clear" w:color="auto" w:fill="auto"/>
            <w:vAlign w:val="center"/>
            <w:hideMark/>
          </w:tcPr>
          <w:p w14:paraId="5540E4AA" w14:textId="77777777" w:rsidR="007B3093" w:rsidRDefault="00000000">
            <w:pPr>
              <w:spacing w:after="0" w:line="240" w:lineRule="auto"/>
              <w:jc w:val="center"/>
              <w:rPr>
                <w:rFonts w:ascii="Calibri" w:eastAsia="Times New Roman" w:hAnsi="Calibri" w:cs="Calibri"/>
                <w:color w:val="000000"/>
              </w:rPr>
            </w:pPr>
            <w:r>
              <w:rPr>
                <w:rFonts w:ascii="Calibri" w:eastAsia="Times New Roman" w:hAnsi="Calibri" w:cs="Calibri"/>
                <w:color w:val="000000"/>
              </w:rPr>
              <w:t>Diseño de estrategia de comunicación</w:t>
            </w:r>
          </w:p>
        </w:tc>
        <w:tc>
          <w:tcPr>
            <w:tcW w:w="861" w:type="pct"/>
            <w:tcBorders>
              <w:top w:val="nil"/>
              <w:left w:val="nil"/>
              <w:bottom w:val="single" w:sz="8" w:space="0" w:color="auto"/>
              <w:right w:val="single" w:sz="8" w:space="0" w:color="auto"/>
            </w:tcBorders>
            <w:shd w:val="clear" w:color="auto" w:fill="auto"/>
            <w:vAlign w:val="center"/>
            <w:hideMark/>
          </w:tcPr>
          <w:p w14:paraId="35913D8D"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$20.000,00</w:t>
            </w:r>
          </w:p>
        </w:tc>
      </w:tr>
      <w:tr w:rsidR="007B3093" w14:paraId="2DDA8D3D" w14:textId="77777777">
        <w:trPr>
          <w:trHeight w:val="294"/>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4DC6CAF7"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5.2</w:t>
            </w:r>
          </w:p>
        </w:tc>
        <w:tc>
          <w:tcPr>
            <w:tcW w:w="2929" w:type="pct"/>
            <w:tcBorders>
              <w:top w:val="nil"/>
              <w:left w:val="nil"/>
              <w:bottom w:val="single" w:sz="8" w:space="0" w:color="auto"/>
              <w:right w:val="single" w:sz="8" w:space="0" w:color="auto"/>
            </w:tcBorders>
            <w:shd w:val="clear" w:color="auto" w:fill="auto"/>
            <w:vAlign w:val="center"/>
            <w:hideMark/>
          </w:tcPr>
          <w:p w14:paraId="5E6554FF" w14:textId="77777777" w:rsidR="007B3093" w:rsidRDefault="00000000">
            <w:pPr>
              <w:spacing w:after="0" w:line="240" w:lineRule="auto"/>
              <w:jc w:val="center"/>
              <w:rPr>
                <w:rFonts w:ascii="Calibri" w:eastAsia="Times New Roman" w:hAnsi="Calibri" w:cs="Calibri"/>
                <w:color w:val="000000"/>
              </w:rPr>
            </w:pPr>
            <w:r>
              <w:rPr>
                <w:rFonts w:ascii="Calibri" w:eastAsia="Times New Roman" w:hAnsi="Calibri" w:cs="Calibri"/>
                <w:color w:val="000000"/>
              </w:rPr>
              <w:t>Capacitación en herramientas de comunicación</w:t>
            </w:r>
          </w:p>
        </w:tc>
        <w:tc>
          <w:tcPr>
            <w:tcW w:w="861" w:type="pct"/>
            <w:tcBorders>
              <w:top w:val="nil"/>
              <w:left w:val="nil"/>
              <w:bottom w:val="single" w:sz="8" w:space="0" w:color="auto"/>
              <w:right w:val="single" w:sz="8" w:space="0" w:color="auto"/>
            </w:tcBorders>
            <w:shd w:val="clear" w:color="auto" w:fill="auto"/>
            <w:vAlign w:val="center"/>
            <w:hideMark/>
          </w:tcPr>
          <w:p w14:paraId="707AB0B9"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$10.000,00</w:t>
            </w:r>
          </w:p>
        </w:tc>
      </w:tr>
      <w:tr w:rsidR="007B3093" w14:paraId="0AB1D9E2" w14:textId="77777777">
        <w:trPr>
          <w:trHeight w:val="294"/>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34692385"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5.3</w:t>
            </w:r>
          </w:p>
        </w:tc>
        <w:tc>
          <w:tcPr>
            <w:tcW w:w="2929" w:type="pct"/>
            <w:tcBorders>
              <w:top w:val="nil"/>
              <w:left w:val="nil"/>
              <w:bottom w:val="single" w:sz="8" w:space="0" w:color="auto"/>
              <w:right w:val="single" w:sz="8" w:space="0" w:color="auto"/>
            </w:tcBorders>
            <w:shd w:val="clear" w:color="auto" w:fill="auto"/>
            <w:vAlign w:val="center"/>
            <w:hideMark/>
          </w:tcPr>
          <w:p w14:paraId="40846E4C"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Desarrollar Materiales de difusión</w:t>
            </w:r>
          </w:p>
        </w:tc>
        <w:tc>
          <w:tcPr>
            <w:tcW w:w="861" w:type="pct"/>
            <w:tcBorders>
              <w:top w:val="nil"/>
              <w:left w:val="nil"/>
              <w:bottom w:val="single" w:sz="8" w:space="0" w:color="auto"/>
              <w:right w:val="single" w:sz="8" w:space="0" w:color="auto"/>
            </w:tcBorders>
            <w:shd w:val="clear" w:color="auto" w:fill="auto"/>
            <w:vAlign w:val="center"/>
            <w:hideMark/>
          </w:tcPr>
          <w:p w14:paraId="3388304D"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$94.289,45</w:t>
            </w:r>
          </w:p>
        </w:tc>
      </w:tr>
      <w:tr w:rsidR="007B3093" w14:paraId="629F1066" w14:textId="77777777">
        <w:trPr>
          <w:trHeight w:val="150"/>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640079C2"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5.4</w:t>
            </w:r>
          </w:p>
        </w:tc>
        <w:tc>
          <w:tcPr>
            <w:tcW w:w="2929" w:type="pct"/>
            <w:tcBorders>
              <w:top w:val="nil"/>
              <w:left w:val="nil"/>
              <w:bottom w:val="single" w:sz="8" w:space="0" w:color="auto"/>
              <w:right w:val="single" w:sz="8" w:space="0" w:color="auto"/>
            </w:tcBorders>
            <w:shd w:val="clear" w:color="auto" w:fill="auto"/>
            <w:vAlign w:val="center"/>
            <w:hideMark/>
          </w:tcPr>
          <w:p w14:paraId="014BEC56"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Encuesta de percepción</w:t>
            </w:r>
          </w:p>
        </w:tc>
        <w:tc>
          <w:tcPr>
            <w:tcW w:w="861" w:type="pct"/>
            <w:tcBorders>
              <w:top w:val="nil"/>
              <w:left w:val="nil"/>
              <w:bottom w:val="single" w:sz="8" w:space="0" w:color="auto"/>
              <w:right w:val="single" w:sz="8" w:space="0" w:color="auto"/>
            </w:tcBorders>
            <w:shd w:val="clear" w:color="auto" w:fill="auto"/>
            <w:vAlign w:val="center"/>
            <w:hideMark/>
          </w:tcPr>
          <w:p w14:paraId="58B63F16"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$10.000,00</w:t>
            </w:r>
          </w:p>
        </w:tc>
      </w:tr>
      <w:tr w:rsidR="007B3093" w14:paraId="33E91F09" w14:textId="77777777">
        <w:trPr>
          <w:trHeight w:val="150"/>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0B450375"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5.5</w:t>
            </w:r>
          </w:p>
        </w:tc>
        <w:tc>
          <w:tcPr>
            <w:tcW w:w="2929" w:type="pct"/>
            <w:tcBorders>
              <w:top w:val="nil"/>
              <w:left w:val="nil"/>
              <w:bottom w:val="single" w:sz="8" w:space="0" w:color="auto"/>
              <w:right w:val="single" w:sz="8" w:space="0" w:color="auto"/>
            </w:tcBorders>
            <w:shd w:val="clear" w:color="auto" w:fill="auto"/>
            <w:vAlign w:val="center"/>
            <w:hideMark/>
          </w:tcPr>
          <w:p w14:paraId="71A25048"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Equipamiento para comunicación</w:t>
            </w:r>
          </w:p>
        </w:tc>
        <w:tc>
          <w:tcPr>
            <w:tcW w:w="861" w:type="pct"/>
            <w:tcBorders>
              <w:top w:val="nil"/>
              <w:left w:val="nil"/>
              <w:bottom w:val="single" w:sz="8" w:space="0" w:color="auto"/>
              <w:right w:val="single" w:sz="8" w:space="0" w:color="auto"/>
            </w:tcBorders>
            <w:shd w:val="clear" w:color="auto" w:fill="auto"/>
            <w:vAlign w:val="center"/>
            <w:hideMark/>
          </w:tcPr>
          <w:p w14:paraId="7AEEBD82"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rPr>
              <w:t>$49.279,62</w:t>
            </w:r>
          </w:p>
        </w:tc>
      </w:tr>
      <w:tr w:rsidR="007B3093" w14:paraId="2DAABD0B" w14:textId="77777777">
        <w:trPr>
          <w:trHeight w:val="150"/>
        </w:trPr>
        <w:tc>
          <w:tcPr>
            <w:tcW w:w="413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1586B06" w14:textId="77777777" w:rsidR="007B3093" w:rsidRDefault="00000000">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rPr>
              <w:t>Total</w:t>
            </w:r>
          </w:p>
        </w:tc>
        <w:tc>
          <w:tcPr>
            <w:tcW w:w="861" w:type="pct"/>
            <w:tcBorders>
              <w:top w:val="nil"/>
              <w:left w:val="nil"/>
              <w:bottom w:val="single" w:sz="8" w:space="0" w:color="auto"/>
              <w:right w:val="single" w:sz="8" w:space="0" w:color="auto"/>
            </w:tcBorders>
            <w:shd w:val="clear" w:color="auto" w:fill="auto"/>
            <w:vAlign w:val="center"/>
            <w:hideMark/>
          </w:tcPr>
          <w:p w14:paraId="080E74FD" w14:textId="77777777" w:rsidR="007B3093" w:rsidRDefault="00000000">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$183.569,07</w:t>
            </w:r>
          </w:p>
        </w:tc>
      </w:tr>
    </w:tbl>
    <w:p w14:paraId="0A230C24" w14:textId="77777777" w:rsidR="007B3093" w:rsidRDefault="007B3093">
      <w:pPr>
        <w:spacing w:after="0" w:line="360" w:lineRule="auto"/>
        <w:rPr>
          <w:b/>
        </w:rPr>
      </w:pPr>
    </w:p>
    <w:p w14:paraId="7D957CF1" w14:textId="77777777" w:rsidR="007B3093" w:rsidRDefault="007B3093">
      <w:pPr>
        <w:spacing w:after="0" w:line="360" w:lineRule="auto"/>
        <w:rPr>
          <w:b/>
        </w:rPr>
      </w:pPr>
    </w:p>
    <w:p w14:paraId="6AE72EC5" w14:textId="77777777" w:rsidR="007B3093" w:rsidRDefault="00000000">
      <w:pPr>
        <w:pStyle w:val="Ttulo2"/>
        <w:numPr>
          <w:ilvl w:val="2"/>
          <w:numId w:val="93"/>
        </w:numPr>
        <w:spacing w:before="0" w:line="360" w:lineRule="auto"/>
        <w:ind w:left="851"/>
        <w:rPr>
          <w:rFonts w:asciiTheme="minorHAnsi" w:hAnsiTheme="minorHAnsi" w:cstheme="minorHAnsi"/>
          <w:b/>
          <w:color w:val="auto"/>
          <w:sz w:val="22"/>
          <w:szCs w:val="22"/>
        </w:rPr>
      </w:pPr>
      <w:bookmarkStart w:id="72" w:name="_Toc195010084"/>
      <w:r>
        <w:rPr>
          <w:rFonts w:asciiTheme="minorHAnsi" w:hAnsiTheme="minorHAnsi" w:cstheme="minorHAnsi"/>
          <w:b/>
          <w:color w:val="auto"/>
          <w:sz w:val="22"/>
          <w:szCs w:val="22"/>
        </w:rPr>
        <w:t>Especificaciones técnicas</w:t>
      </w:r>
      <w:bookmarkEnd w:id="72"/>
    </w:p>
    <w:p w14:paraId="41FA3A45" w14:textId="77777777" w:rsidR="007B3093" w:rsidRDefault="00000000">
      <w:pPr>
        <w:pStyle w:val="Prrafodelista"/>
        <w:autoSpaceDE w:val="0"/>
        <w:autoSpaceDN w:val="0"/>
        <w:adjustRightInd w:val="0"/>
        <w:spacing w:after="0" w:line="360" w:lineRule="auto"/>
        <w:ind w:left="360"/>
        <w:jc w:val="center"/>
        <w:rPr>
          <w:rFonts w:cstheme="minorHAnsi"/>
          <w:b/>
          <w:bCs/>
          <w:lang w:eastAsia="es-EC"/>
        </w:rPr>
      </w:pPr>
      <w:r>
        <w:rPr>
          <w:rFonts w:cstheme="minorHAnsi"/>
          <w:b/>
          <w:bCs/>
          <w:lang w:eastAsia="es-EC"/>
        </w:rPr>
        <w:t>Tabla 23: Especificaciones Técnicas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133"/>
      </w:tblGrid>
      <w:tr w:rsidR="007B3093" w14:paraId="34EB859C" w14:textId="77777777">
        <w:trPr>
          <w:trHeight w:val="327"/>
        </w:trPr>
        <w:tc>
          <w:tcPr>
            <w:tcW w:w="5000" w:type="pct"/>
            <w:gridSpan w:val="2"/>
            <w:shd w:val="clear" w:color="auto" w:fill="222A35" w:themeFill="text2" w:themeFillShade="80"/>
          </w:tcPr>
          <w:p w14:paraId="379A48E7" w14:textId="77777777" w:rsidR="007B3093" w:rsidRDefault="00000000">
            <w:pPr>
              <w:tabs>
                <w:tab w:val="left" w:pos="-1440"/>
              </w:tabs>
              <w:contextualSpacing/>
              <w:jc w:val="both"/>
              <w:rPr>
                <w:rFonts w:cstheme="minorHAnsi"/>
                <w:b/>
              </w:rPr>
            </w:pPr>
            <w:r>
              <w:rPr>
                <w:rFonts w:cstheme="minorHAnsi"/>
                <w:b/>
                <w:color w:val="FFFFFF" w:themeColor="background1"/>
                <w:shd w:val="clear" w:color="auto" w:fill="222A35" w:themeFill="text2" w:themeFillShade="80"/>
              </w:rPr>
              <w:t>C 1: Diseñar e implementar el modelo de gestión de la PGE</w:t>
            </w:r>
            <w:r>
              <w:rPr>
                <w:rFonts w:cstheme="minorHAnsi"/>
                <w:b/>
              </w:rPr>
              <w:t>.</w:t>
            </w:r>
          </w:p>
        </w:tc>
      </w:tr>
      <w:tr w:rsidR="007B3093" w14:paraId="7D86DA59" w14:textId="77777777">
        <w:trPr>
          <w:trHeight w:val="249"/>
        </w:trPr>
        <w:tc>
          <w:tcPr>
            <w:tcW w:w="5000" w:type="pct"/>
            <w:gridSpan w:val="2"/>
            <w:tcBorders>
              <w:bottom w:val="single" w:sz="4" w:space="0" w:color="auto"/>
            </w:tcBorders>
            <w:shd w:val="clear" w:color="auto" w:fill="ACB9CA" w:themeFill="text2" w:themeFillTint="66"/>
          </w:tcPr>
          <w:p w14:paraId="4A717448" w14:textId="77777777" w:rsidR="007B3093" w:rsidRDefault="00000000">
            <w:pPr>
              <w:tabs>
                <w:tab w:val="left" w:pos="-1440"/>
              </w:tabs>
              <w:contextualSpacing/>
              <w:jc w:val="center"/>
              <w:rPr>
                <w:rFonts w:cstheme="minorHAnsi"/>
                <w:b/>
              </w:rPr>
            </w:pPr>
            <w:r>
              <w:rPr>
                <w:rFonts w:cstheme="minorHAnsi"/>
                <w:b/>
              </w:rPr>
              <w:t>ACTIVIDAD 1.1</w:t>
            </w:r>
          </w:p>
        </w:tc>
      </w:tr>
      <w:tr w:rsidR="007B3093" w14:paraId="21F32E61" w14:textId="77777777">
        <w:tc>
          <w:tcPr>
            <w:tcW w:w="5000" w:type="pct"/>
            <w:gridSpan w:val="2"/>
            <w:tcBorders>
              <w:bottom w:val="single" w:sz="4" w:space="0" w:color="auto"/>
            </w:tcBorders>
          </w:tcPr>
          <w:p w14:paraId="397393A0" w14:textId="77777777" w:rsidR="007B3093" w:rsidRDefault="00000000">
            <w:pPr>
              <w:tabs>
                <w:tab w:val="left" w:pos="-1440"/>
              </w:tabs>
              <w:contextualSpacing/>
              <w:jc w:val="both"/>
              <w:rPr>
                <w:rFonts w:cstheme="minorHAnsi"/>
                <w:b/>
                <w:bCs/>
              </w:rPr>
            </w:pPr>
            <w:r>
              <w:rPr>
                <w:rFonts w:cstheme="minorHAnsi"/>
                <w:b/>
                <w:bCs/>
              </w:rPr>
              <w:t>Realizar un diagnóstico situacional en profundidad, propuesta de modelo de gestión e instrumentos para su redefinición</w:t>
            </w:r>
          </w:p>
        </w:tc>
      </w:tr>
      <w:tr w:rsidR="007B3093" w14:paraId="0369B62E" w14:textId="77777777">
        <w:tc>
          <w:tcPr>
            <w:tcW w:w="5000" w:type="pct"/>
            <w:gridSpan w:val="2"/>
            <w:tcBorders>
              <w:top w:val="single" w:sz="4" w:space="0" w:color="auto"/>
              <w:left w:val="nil"/>
              <w:bottom w:val="single" w:sz="4" w:space="0" w:color="auto"/>
              <w:right w:val="nil"/>
            </w:tcBorders>
          </w:tcPr>
          <w:p w14:paraId="0946FD22" w14:textId="77777777" w:rsidR="007B3093" w:rsidRDefault="007B3093">
            <w:pPr>
              <w:tabs>
                <w:tab w:val="left" w:pos="-1440"/>
              </w:tabs>
              <w:contextualSpacing/>
              <w:jc w:val="both"/>
              <w:rPr>
                <w:rFonts w:cstheme="minorHAnsi"/>
                <w:b/>
                <w:bCs/>
              </w:rPr>
            </w:pPr>
          </w:p>
        </w:tc>
      </w:tr>
      <w:tr w:rsidR="007B3093" w14:paraId="5D737D5B" w14:textId="77777777">
        <w:tc>
          <w:tcPr>
            <w:tcW w:w="5000" w:type="pct"/>
            <w:gridSpan w:val="2"/>
            <w:tcBorders>
              <w:top w:val="single" w:sz="4" w:space="0" w:color="auto"/>
            </w:tcBorders>
          </w:tcPr>
          <w:p w14:paraId="097EB85D" w14:textId="77777777" w:rsidR="007B3093" w:rsidRDefault="00000000">
            <w:pPr>
              <w:tabs>
                <w:tab w:val="left" w:pos="-1440"/>
              </w:tabs>
              <w:contextualSpacing/>
              <w:jc w:val="both"/>
              <w:rPr>
                <w:rFonts w:cstheme="minorHAnsi"/>
                <w:b/>
              </w:rPr>
            </w:pPr>
            <w:r>
              <w:rPr>
                <w:rFonts w:cstheme="minorHAnsi"/>
                <w:b/>
              </w:rPr>
              <w:t xml:space="preserve">Consultoría para realizar </w:t>
            </w:r>
            <w:r>
              <w:rPr>
                <w:rStyle w:val="normaltextrun"/>
                <w:b/>
                <w:color w:val="000000"/>
                <w:shd w:val="clear" w:color="auto" w:fill="FFFFFF"/>
              </w:rPr>
              <w:t>el diseño estratégico e implementación de la reforma institucional integral, incluyendo el modelo de gestión, sus instrumentos y la gestión del cambio institucional.</w:t>
            </w:r>
          </w:p>
        </w:tc>
      </w:tr>
      <w:tr w:rsidR="007B3093" w14:paraId="7A4CC195" w14:textId="77777777">
        <w:trPr>
          <w:trHeight w:val="338"/>
        </w:trPr>
        <w:tc>
          <w:tcPr>
            <w:tcW w:w="801" w:type="pct"/>
          </w:tcPr>
          <w:p w14:paraId="329D0764" w14:textId="77777777" w:rsidR="007B3093" w:rsidRDefault="00000000">
            <w:pPr>
              <w:tabs>
                <w:tab w:val="left" w:pos="-1440"/>
              </w:tabs>
              <w:contextualSpacing/>
              <w:jc w:val="both"/>
              <w:rPr>
                <w:rFonts w:cstheme="minorHAnsi"/>
                <w:b/>
              </w:rPr>
            </w:pPr>
            <w:r>
              <w:rPr>
                <w:rFonts w:cstheme="minorHAnsi"/>
                <w:b/>
              </w:rPr>
              <w:t xml:space="preserve">Objetivo: </w:t>
            </w:r>
          </w:p>
        </w:tc>
        <w:tc>
          <w:tcPr>
            <w:tcW w:w="4199" w:type="pct"/>
          </w:tcPr>
          <w:p w14:paraId="4D31606B" w14:textId="77777777" w:rsidR="007B3093" w:rsidRDefault="00000000">
            <w:pPr>
              <w:pStyle w:val="Prrafodelista"/>
              <w:tabs>
                <w:tab w:val="left" w:pos="-1440"/>
              </w:tabs>
              <w:ind w:left="284"/>
              <w:jc w:val="both"/>
              <w:rPr>
                <w:rFonts w:cstheme="minorHAnsi"/>
              </w:rPr>
            </w:pPr>
            <w:r>
              <w:rPr>
                <w:rStyle w:val="normaltextrun"/>
                <w:color w:val="000000"/>
                <w:shd w:val="clear" w:color="auto" w:fill="FFFFFF"/>
                <w:lang w:val="es-ES"/>
              </w:rPr>
              <w:t xml:space="preserve">Desarrollar e implementar una reforma institucional integral, que permita el efectivo cumplimiento de la misión de la Procuraduría General del Estado, incluyendo el Modelo de Gestión, Gestión del Cambio institucional </w:t>
            </w:r>
            <w:r>
              <w:rPr>
                <w:rStyle w:val="normaltextrun"/>
                <w:color w:val="000000"/>
                <w:shd w:val="clear" w:color="auto" w:fill="FFFFFF"/>
                <w:lang w:val="es-ES"/>
              </w:rPr>
              <w:lastRenderedPageBreak/>
              <w:t>y la atención a las necesidades y retos de la defensa jurídica del Estado ecuatoriano a niveles nacional e internacional.</w:t>
            </w:r>
          </w:p>
        </w:tc>
      </w:tr>
      <w:tr w:rsidR="007B3093" w14:paraId="36B2ADFF" w14:textId="77777777">
        <w:trPr>
          <w:trHeight w:val="200"/>
        </w:trPr>
        <w:tc>
          <w:tcPr>
            <w:tcW w:w="801" w:type="pct"/>
          </w:tcPr>
          <w:p w14:paraId="6DAB73BA" w14:textId="77777777" w:rsidR="007B3093" w:rsidRDefault="00000000">
            <w:pPr>
              <w:tabs>
                <w:tab w:val="left" w:pos="-1440"/>
              </w:tabs>
              <w:contextualSpacing/>
              <w:jc w:val="both"/>
              <w:rPr>
                <w:rFonts w:cstheme="minorHAnsi"/>
                <w:b/>
              </w:rPr>
            </w:pPr>
            <w:r>
              <w:rPr>
                <w:rFonts w:cstheme="minorHAnsi"/>
                <w:b/>
              </w:rPr>
              <w:lastRenderedPageBreak/>
              <w:t>Insumos:</w:t>
            </w:r>
          </w:p>
        </w:tc>
        <w:tc>
          <w:tcPr>
            <w:tcW w:w="4199" w:type="pct"/>
          </w:tcPr>
          <w:p w14:paraId="6583977C" w14:textId="77777777" w:rsidR="007B3093" w:rsidRDefault="00000000">
            <w:pPr>
              <w:pStyle w:val="Prrafodelista"/>
              <w:numPr>
                <w:ilvl w:val="0"/>
                <w:numId w:val="21"/>
              </w:numPr>
              <w:tabs>
                <w:tab w:val="left" w:pos="-1440"/>
              </w:tabs>
              <w:ind w:left="357" w:hanging="357"/>
              <w:jc w:val="both"/>
              <w:rPr>
                <w:rFonts w:cstheme="minorHAnsi"/>
              </w:rPr>
            </w:pPr>
            <w:r>
              <w:rPr>
                <w:rFonts w:cstheme="minorHAnsi"/>
              </w:rPr>
              <w:t>Encuesta de percepción a los clientes que componen la demanda actual de la PGE.</w:t>
            </w:r>
          </w:p>
          <w:p w14:paraId="04576610" w14:textId="77777777" w:rsidR="007B3093" w:rsidRDefault="00000000">
            <w:pPr>
              <w:pStyle w:val="Prrafodelista"/>
              <w:numPr>
                <w:ilvl w:val="0"/>
                <w:numId w:val="21"/>
              </w:numPr>
              <w:tabs>
                <w:tab w:val="left" w:pos="-1440"/>
              </w:tabs>
              <w:ind w:left="357" w:hanging="357"/>
              <w:jc w:val="both"/>
              <w:rPr>
                <w:rFonts w:cstheme="minorHAnsi"/>
              </w:rPr>
            </w:pPr>
            <w:r>
              <w:rPr>
                <w:rFonts w:cstheme="minorHAnsi"/>
              </w:rPr>
              <w:t>Estudio de demanda de servicios de la PGE.</w:t>
            </w:r>
          </w:p>
          <w:p w14:paraId="27F32A83" w14:textId="77777777" w:rsidR="007B3093" w:rsidRDefault="00000000">
            <w:pPr>
              <w:pStyle w:val="Prrafodelista"/>
              <w:numPr>
                <w:ilvl w:val="0"/>
                <w:numId w:val="21"/>
              </w:numPr>
              <w:tabs>
                <w:tab w:val="left" w:pos="-1440"/>
              </w:tabs>
              <w:ind w:left="357" w:hanging="357"/>
              <w:jc w:val="both"/>
              <w:rPr>
                <w:rFonts w:cstheme="minorHAnsi"/>
              </w:rPr>
            </w:pPr>
            <w:r>
              <w:rPr>
                <w:rFonts w:cstheme="minorHAnsi"/>
              </w:rPr>
              <w:t>Diagnóstico en Profundidad.</w:t>
            </w:r>
          </w:p>
        </w:tc>
      </w:tr>
      <w:tr w:rsidR="007B3093" w14:paraId="36370244" w14:textId="77777777">
        <w:trPr>
          <w:trHeight w:val="283"/>
        </w:trPr>
        <w:tc>
          <w:tcPr>
            <w:tcW w:w="801" w:type="pct"/>
          </w:tcPr>
          <w:p w14:paraId="7FC9D145" w14:textId="77777777" w:rsidR="007B3093" w:rsidRDefault="00000000">
            <w:pPr>
              <w:tabs>
                <w:tab w:val="left" w:pos="-1440"/>
              </w:tabs>
              <w:contextualSpacing/>
              <w:jc w:val="both"/>
              <w:rPr>
                <w:rFonts w:cstheme="minorHAnsi"/>
                <w:b/>
              </w:rPr>
            </w:pPr>
            <w:r>
              <w:rPr>
                <w:rFonts w:cstheme="minorHAnsi"/>
                <w:b/>
              </w:rPr>
              <w:t>Productos</w:t>
            </w:r>
          </w:p>
        </w:tc>
        <w:tc>
          <w:tcPr>
            <w:tcW w:w="4199" w:type="pct"/>
          </w:tcPr>
          <w:p w14:paraId="7C6E48C3" w14:textId="77777777" w:rsidR="007B3093" w:rsidRDefault="00000000">
            <w:pPr>
              <w:pStyle w:val="Prrafodelista"/>
              <w:numPr>
                <w:ilvl w:val="0"/>
                <w:numId w:val="20"/>
              </w:numPr>
              <w:tabs>
                <w:tab w:val="left" w:pos="-1440"/>
              </w:tabs>
              <w:ind w:left="357" w:hanging="357"/>
              <w:jc w:val="both"/>
              <w:rPr>
                <w:rFonts w:cstheme="minorHAnsi"/>
              </w:rPr>
            </w:pPr>
            <w:r>
              <w:rPr>
                <w:rFonts w:ascii="Calibri" w:eastAsia="Times New Roman" w:hAnsi="Calibri" w:cs="Calibri"/>
                <w:color w:val="000000"/>
                <w:szCs w:val="18"/>
                <w:lang w:eastAsia="es-EC"/>
              </w:rPr>
              <w:t>Programación detallada de la ejecución del proyecto en un cronograma tipo carta Gantt.;</w:t>
            </w:r>
          </w:p>
          <w:p w14:paraId="2DEA550E" w14:textId="77777777" w:rsidR="007B3093" w:rsidRDefault="00000000">
            <w:pPr>
              <w:pStyle w:val="Prrafodelista"/>
              <w:numPr>
                <w:ilvl w:val="0"/>
                <w:numId w:val="20"/>
              </w:numPr>
              <w:tabs>
                <w:tab w:val="left" w:pos="-1440"/>
              </w:tabs>
              <w:ind w:left="369"/>
              <w:jc w:val="both"/>
              <w:rPr>
                <w:rFonts w:cstheme="minorHAnsi"/>
              </w:rPr>
            </w:pPr>
            <w:r>
              <w:rPr>
                <w:rFonts w:ascii="Calibri" w:eastAsia="Times New Roman" w:hAnsi="Calibri" w:cs="Calibri"/>
                <w:color w:val="000000"/>
                <w:szCs w:val="18"/>
                <w:lang w:eastAsia="es-EC"/>
              </w:rPr>
              <w:t xml:space="preserve">Diagnóstico de software y hardware, propuesta de Agenda digital, Términos de referencia de agenda digital Marco legal, Demanda de servicios PGE, Cumplimiento del ciclo de defensa del Estado, Estimación y propuesta para el manejo del riesgo fiscal, Análisis del clima laboral, análisis de la infraestructura y equipamiento </w:t>
            </w:r>
          </w:p>
          <w:p w14:paraId="11CDC970" w14:textId="77777777" w:rsidR="007B3093" w:rsidRDefault="00000000">
            <w:pPr>
              <w:pStyle w:val="Prrafodelista"/>
              <w:numPr>
                <w:ilvl w:val="0"/>
                <w:numId w:val="20"/>
              </w:numPr>
              <w:tabs>
                <w:tab w:val="left" w:pos="-1440"/>
              </w:tabs>
              <w:ind w:left="369"/>
              <w:jc w:val="both"/>
              <w:rPr>
                <w:rFonts w:cstheme="minorHAnsi"/>
              </w:rPr>
            </w:pPr>
            <w:r>
              <w:rPr>
                <w:rFonts w:ascii="Calibri" w:eastAsia="Times New Roman" w:hAnsi="Calibri" w:cs="Calibri"/>
                <w:color w:val="000000"/>
                <w:szCs w:val="18"/>
                <w:lang w:eastAsia="es-EC"/>
              </w:rPr>
              <w:t xml:space="preserve">Cadenas de valor, Diseño de estrategias institucionales, matriz de competencias de la PGE, Propuesta estatuto orgánico funcional por procesos, propuesta manual de clasificación de puestos, propuesta plan de carrera, estrategias de sostenibilidad financiera institucional, metodología para el cálculo del riesgo fiscal, análisis y propuesta de optimización de infraestructura, plan de acción para gestión del cambio, plan de acción para la gestión de riesgos Plan Estratégico Institucional (2021-2025); </w:t>
            </w:r>
          </w:p>
          <w:p w14:paraId="1EB58EE1" w14:textId="77777777" w:rsidR="007B3093" w:rsidRDefault="00000000">
            <w:pPr>
              <w:pStyle w:val="Prrafodelista"/>
              <w:numPr>
                <w:ilvl w:val="0"/>
                <w:numId w:val="20"/>
              </w:numPr>
              <w:tabs>
                <w:tab w:val="left" w:pos="-1440"/>
              </w:tabs>
              <w:ind w:left="369"/>
              <w:jc w:val="both"/>
              <w:rPr>
                <w:rFonts w:cstheme="minorHAnsi"/>
              </w:rPr>
            </w:pPr>
            <w:r>
              <w:t xml:space="preserve"> </w:t>
            </w:r>
            <w:r>
              <w:rPr>
                <w:rFonts w:ascii="Calibri" w:eastAsia="Times New Roman" w:hAnsi="Calibri" w:cs="Calibri"/>
                <w:color w:val="000000"/>
                <w:szCs w:val="18"/>
                <w:lang w:eastAsia="es-EC"/>
              </w:rPr>
              <w:t xml:space="preserve">Diseñar metodología y herramientas para la medición, seguimiento y evaluación (indicadores) de gestión institucional que permitan determinar la eficiencia, eficacia y efectividad de los productos entregados, Manual de procesos y procedimientos definitivo acorde al cronograma de implementación de la gestión, informe de ejecución de la fase de acompañamiento que incluya la puesta en marcha de los elementos prioritarios del modelo de gestión institucional </w:t>
            </w:r>
          </w:p>
        </w:tc>
      </w:tr>
    </w:tbl>
    <w:p w14:paraId="775EAAD7" w14:textId="77777777" w:rsidR="007B3093" w:rsidRDefault="007B3093">
      <w:pPr>
        <w:spacing w:after="0" w:line="240" w:lineRule="auto"/>
        <w:contextualSpacing/>
        <w:rPr>
          <w:rFonts w:cstheme="minorHAnsi"/>
        </w:rPr>
      </w:pPr>
    </w:p>
    <w:p w14:paraId="05CCE688"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4BE814A3" w14:textId="77777777">
        <w:trPr>
          <w:trHeight w:val="154"/>
        </w:trPr>
        <w:tc>
          <w:tcPr>
            <w:tcW w:w="5000" w:type="pct"/>
            <w:shd w:val="clear" w:color="auto" w:fill="ACB9CA" w:themeFill="text2" w:themeFillTint="66"/>
          </w:tcPr>
          <w:p w14:paraId="20B49C97" w14:textId="77777777" w:rsidR="007B3093" w:rsidRDefault="00000000">
            <w:pPr>
              <w:tabs>
                <w:tab w:val="left" w:pos="-1440"/>
              </w:tabs>
              <w:contextualSpacing/>
              <w:jc w:val="center"/>
              <w:rPr>
                <w:rFonts w:cstheme="minorHAnsi"/>
                <w:b/>
              </w:rPr>
            </w:pPr>
            <w:r>
              <w:rPr>
                <w:rFonts w:cstheme="minorHAnsi"/>
                <w:b/>
              </w:rPr>
              <w:t>ACTIVIDAD 1.2</w:t>
            </w:r>
          </w:p>
        </w:tc>
      </w:tr>
      <w:tr w:rsidR="007B3093" w14:paraId="5C30A8FB" w14:textId="77777777">
        <w:trPr>
          <w:trHeight w:val="434"/>
        </w:trPr>
        <w:tc>
          <w:tcPr>
            <w:tcW w:w="5000" w:type="pct"/>
          </w:tcPr>
          <w:p w14:paraId="216C8B81" w14:textId="77777777" w:rsidR="007B3093" w:rsidRDefault="00000000">
            <w:pPr>
              <w:tabs>
                <w:tab w:val="left" w:pos="-1440"/>
              </w:tabs>
              <w:contextualSpacing/>
              <w:jc w:val="both"/>
              <w:rPr>
                <w:rFonts w:cstheme="minorHAnsi"/>
                <w:b/>
              </w:rPr>
            </w:pPr>
            <w:r>
              <w:rPr>
                <w:rFonts w:cstheme="minorHAnsi"/>
                <w:b/>
              </w:rPr>
              <w:t>Implementar el Plan de gestión del cambio</w:t>
            </w:r>
          </w:p>
        </w:tc>
      </w:tr>
      <w:tr w:rsidR="007B3093" w14:paraId="2242C418" w14:textId="77777777">
        <w:trPr>
          <w:trHeight w:val="434"/>
        </w:trPr>
        <w:tc>
          <w:tcPr>
            <w:tcW w:w="5000" w:type="pct"/>
          </w:tcPr>
          <w:p w14:paraId="51CF8C36" w14:textId="77777777" w:rsidR="007B3093" w:rsidRDefault="007B3093">
            <w:pPr>
              <w:tabs>
                <w:tab w:val="left" w:pos="-1440"/>
              </w:tabs>
              <w:contextualSpacing/>
              <w:jc w:val="both"/>
              <w:rPr>
                <w:rFonts w:cstheme="minorHAnsi"/>
                <w:b/>
              </w:rPr>
            </w:pPr>
          </w:p>
        </w:tc>
      </w:tr>
    </w:tbl>
    <w:p w14:paraId="76698357" w14:textId="77777777" w:rsidR="007B3093" w:rsidRDefault="007B3093">
      <w:pPr>
        <w:spacing w:after="0" w:line="240" w:lineRule="auto"/>
        <w:contextualSpacing/>
        <w:rPr>
          <w:rFonts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6894"/>
      </w:tblGrid>
      <w:tr w:rsidR="007B3093" w14:paraId="692A7D8A" w14:textId="77777777">
        <w:trPr>
          <w:trHeight w:val="193"/>
        </w:trPr>
        <w:tc>
          <w:tcPr>
            <w:tcW w:w="5000" w:type="pct"/>
            <w:gridSpan w:val="2"/>
          </w:tcPr>
          <w:p w14:paraId="48E08A67" w14:textId="77777777" w:rsidR="007B3093" w:rsidRDefault="00000000">
            <w:pPr>
              <w:tabs>
                <w:tab w:val="left" w:pos="-1440"/>
              </w:tabs>
              <w:contextualSpacing/>
              <w:jc w:val="both"/>
              <w:rPr>
                <w:rFonts w:cstheme="minorHAnsi"/>
                <w:b/>
              </w:rPr>
            </w:pPr>
            <w:r>
              <w:rPr>
                <w:rFonts w:cstheme="minorHAnsi"/>
                <w:b/>
              </w:rPr>
              <w:t>Talleres de Preparación para la Gestión de Cambio</w:t>
            </w:r>
          </w:p>
        </w:tc>
      </w:tr>
      <w:tr w:rsidR="007B3093" w14:paraId="2BEF555E" w14:textId="77777777">
        <w:trPr>
          <w:trHeight w:val="388"/>
        </w:trPr>
        <w:tc>
          <w:tcPr>
            <w:tcW w:w="942" w:type="pct"/>
          </w:tcPr>
          <w:p w14:paraId="1E1EF518" w14:textId="77777777" w:rsidR="007B3093" w:rsidRDefault="00000000">
            <w:pPr>
              <w:tabs>
                <w:tab w:val="left" w:pos="-1440"/>
              </w:tabs>
              <w:contextualSpacing/>
              <w:jc w:val="both"/>
              <w:rPr>
                <w:rFonts w:cstheme="minorHAnsi"/>
                <w:b/>
              </w:rPr>
            </w:pPr>
            <w:r>
              <w:rPr>
                <w:rFonts w:cstheme="minorHAnsi"/>
                <w:b/>
              </w:rPr>
              <w:t xml:space="preserve">Objetivo: </w:t>
            </w:r>
          </w:p>
        </w:tc>
        <w:tc>
          <w:tcPr>
            <w:tcW w:w="4058" w:type="pct"/>
          </w:tcPr>
          <w:p w14:paraId="24AD6B05" w14:textId="77777777" w:rsidR="007B3093" w:rsidRDefault="00000000">
            <w:pPr>
              <w:pStyle w:val="Prrafodelista"/>
              <w:tabs>
                <w:tab w:val="left" w:pos="-1440"/>
              </w:tabs>
              <w:ind w:left="284"/>
              <w:jc w:val="both"/>
              <w:rPr>
                <w:rFonts w:cstheme="minorHAnsi"/>
              </w:rPr>
            </w:pPr>
            <w:r>
              <w:rPr>
                <w:rFonts w:cstheme="minorHAnsi"/>
              </w:rPr>
              <w:t>Realizar talleres de preparación para la gestión del cambio, en el que se desarrolle conocimientos transversales de gestión del cambio, innovación resiliencia y pensamiento creativo, en el marco del Programa Modernización de la Administración Financiera.</w:t>
            </w:r>
          </w:p>
        </w:tc>
      </w:tr>
      <w:tr w:rsidR="007B3093" w14:paraId="4F75290E" w14:textId="77777777">
        <w:trPr>
          <w:trHeight w:val="388"/>
        </w:trPr>
        <w:tc>
          <w:tcPr>
            <w:tcW w:w="942" w:type="pct"/>
          </w:tcPr>
          <w:p w14:paraId="17AAB39E" w14:textId="77777777" w:rsidR="007B3093" w:rsidRDefault="00000000">
            <w:pPr>
              <w:tabs>
                <w:tab w:val="left" w:pos="-1440"/>
              </w:tabs>
              <w:contextualSpacing/>
              <w:jc w:val="both"/>
              <w:rPr>
                <w:rFonts w:cstheme="minorHAnsi"/>
                <w:b/>
              </w:rPr>
            </w:pPr>
            <w:r>
              <w:rPr>
                <w:rFonts w:cstheme="minorHAnsi"/>
                <w:b/>
              </w:rPr>
              <w:t>Insumos:</w:t>
            </w:r>
          </w:p>
        </w:tc>
        <w:tc>
          <w:tcPr>
            <w:tcW w:w="4058" w:type="pct"/>
          </w:tcPr>
          <w:p w14:paraId="0AB97E48" w14:textId="77777777" w:rsidR="007B3093" w:rsidRDefault="00000000">
            <w:pPr>
              <w:pStyle w:val="Prrafodelista"/>
              <w:numPr>
                <w:ilvl w:val="0"/>
                <w:numId w:val="57"/>
              </w:numPr>
              <w:tabs>
                <w:tab w:val="left" w:pos="-1440"/>
              </w:tabs>
              <w:ind w:left="357" w:hanging="357"/>
              <w:jc w:val="both"/>
              <w:rPr>
                <w:rFonts w:cstheme="minorHAnsi"/>
              </w:rPr>
            </w:pPr>
            <w:r>
              <w:rPr>
                <w:rFonts w:cstheme="minorHAnsi"/>
              </w:rPr>
              <w:t>Diagnóstico situacional proyecto PROFIP.</w:t>
            </w:r>
          </w:p>
          <w:p w14:paraId="092E4762" w14:textId="77777777" w:rsidR="007B3093" w:rsidRDefault="00000000">
            <w:pPr>
              <w:pStyle w:val="Prrafodelista"/>
              <w:numPr>
                <w:ilvl w:val="0"/>
                <w:numId w:val="57"/>
              </w:numPr>
              <w:tabs>
                <w:tab w:val="left" w:pos="-1440"/>
              </w:tabs>
              <w:ind w:left="357" w:hanging="357"/>
              <w:jc w:val="both"/>
              <w:rPr>
                <w:rFonts w:cstheme="minorHAnsi"/>
              </w:rPr>
            </w:pPr>
            <w:r>
              <w:rPr>
                <w:rFonts w:cstheme="minorHAnsi"/>
              </w:rPr>
              <w:t>Encuesta de clima laboral.</w:t>
            </w:r>
          </w:p>
        </w:tc>
      </w:tr>
      <w:tr w:rsidR="007B3093" w14:paraId="7CF9C467" w14:textId="77777777">
        <w:trPr>
          <w:trHeight w:val="141"/>
        </w:trPr>
        <w:tc>
          <w:tcPr>
            <w:tcW w:w="942" w:type="pct"/>
          </w:tcPr>
          <w:p w14:paraId="5CB4EF9A" w14:textId="77777777" w:rsidR="007B3093" w:rsidRDefault="00000000">
            <w:pPr>
              <w:tabs>
                <w:tab w:val="left" w:pos="-1440"/>
              </w:tabs>
              <w:contextualSpacing/>
              <w:jc w:val="both"/>
              <w:rPr>
                <w:rFonts w:cstheme="minorHAnsi"/>
                <w:b/>
              </w:rPr>
            </w:pPr>
            <w:r>
              <w:rPr>
                <w:rFonts w:cstheme="minorHAnsi"/>
                <w:b/>
              </w:rPr>
              <w:t>Productos</w:t>
            </w:r>
          </w:p>
        </w:tc>
        <w:tc>
          <w:tcPr>
            <w:tcW w:w="4058" w:type="pct"/>
          </w:tcPr>
          <w:p w14:paraId="2458C7E8" w14:textId="77777777" w:rsidR="007B3093" w:rsidRDefault="00000000">
            <w:pPr>
              <w:pStyle w:val="Prrafodelista"/>
              <w:numPr>
                <w:ilvl w:val="0"/>
                <w:numId w:val="7"/>
              </w:numPr>
              <w:tabs>
                <w:tab w:val="left" w:pos="-1440"/>
              </w:tabs>
              <w:ind w:left="292"/>
              <w:jc w:val="both"/>
              <w:rPr>
                <w:rFonts w:cstheme="minorHAnsi"/>
              </w:rPr>
            </w:pPr>
            <w:r>
              <w:rPr>
                <w:rFonts w:cstheme="minorHAnsi"/>
              </w:rPr>
              <w:t>Talleres motivacionales</w:t>
            </w:r>
          </w:p>
        </w:tc>
      </w:tr>
    </w:tbl>
    <w:p w14:paraId="14F09B4E"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6887"/>
      </w:tblGrid>
      <w:tr w:rsidR="007B3093" w14:paraId="4DAA7DD9" w14:textId="77777777">
        <w:trPr>
          <w:trHeight w:val="403"/>
        </w:trPr>
        <w:tc>
          <w:tcPr>
            <w:tcW w:w="5000" w:type="pct"/>
            <w:gridSpan w:val="2"/>
          </w:tcPr>
          <w:p w14:paraId="6D82CAC9" w14:textId="77777777" w:rsidR="007B3093" w:rsidRDefault="00000000">
            <w:pPr>
              <w:tabs>
                <w:tab w:val="left" w:pos="-1440"/>
              </w:tabs>
              <w:contextualSpacing/>
              <w:jc w:val="both"/>
              <w:rPr>
                <w:rFonts w:cstheme="minorHAnsi"/>
                <w:b/>
              </w:rPr>
            </w:pPr>
            <w:r>
              <w:rPr>
                <w:b/>
              </w:rPr>
              <w:t>Capacitación para Fortalecer las Competencias del Talento Humano sobre Gestión del Cambio en el marco del diseño del Modelo de Gestión de la PGE</w:t>
            </w:r>
          </w:p>
        </w:tc>
      </w:tr>
      <w:tr w:rsidR="007B3093" w14:paraId="05940460" w14:textId="77777777">
        <w:trPr>
          <w:trHeight w:val="403"/>
        </w:trPr>
        <w:tc>
          <w:tcPr>
            <w:tcW w:w="946" w:type="pct"/>
          </w:tcPr>
          <w:p w14:paraId="20AADF5A" w14:textId="77777777" w:rsidR="007B3093" w:rsidRDefault="00000000">
            <w:pPr>
              <w:tabs>
                <w:tab w:val="left" w:pos="-1440"/>
              </w:tabs>
              <w:contextualSpacing/>
              <w:jc w:val="both"/>
              <w:rPr>
                <w:rFonts w:cstheme="minorHAnsi"/>
                <w:b/>
              </w:rPr>
            </w:pPr>
            <w:r>
              <w:rPr>
                <w:rFonts w:cstheme="minorHAnsi"/>
                <w:b/>
              </w:rPr>
              <w:t xml:space="preserve">Objetivo: </w:t>
            </w:r>
          </w:p>
        </w:tc>
        <w:tc>
          <w:tcPr>
            <w:tcW w:w="4054" w:type="pct"/>
          </w:tcPr>
          <w:p w14:paraId="56473A4A" w14:textId="77777777" w:rsidR="007B3093" w:rsidRDefault="00000000">
            <w:pPr>
              <w:pStyle w:val="Prrafodelista"/>
              <w:tabs>
                <w:tab w:val="left" w:pos="-1440"/>
              </w:tabs>
              <w:ind w:left="284"/>
              <w:jc w:val="both"/>
              <w:rPr>
                <w:rFonts w:cstheme="minorHAnsi"/>
              </w:rPr>
            </w:pPr>
            <w:r>
              <w:t>Fortalecer las capacidades del talento humano de la PGE desarrollando sus competencias y destrezas sobre gestión del cambio, a fin de optimizar su involucramiento, participación y empoderamiento en el marco de la fase de diseño modelo de gestión de la institución.</w:t>
            </w:r>
          </w:p>
        </w:tc>
      </w:tr>
      <w:tr w:rsidR="007B3093" w14:paraId="44EA1637" w14:textId="77777777">
        <w:trPr>
          <w:trHeight w:val="625"/>
        </w:trPr>
        <w:tc>
          <w:tcPr>
            <w:tcW w:w="946" w:type="pct"/>
          </w:tcPr>
          <w:p w14:paraId="1A788209" w14:textId="77777777" w:rsidR="007B3093" w:rsidRDefault="00000000">
            <w:pPr>
              <w:tabs>
                <w:tab w:val="left" w:pos="-1440"/>
              </w:tabs>
              <w:contextualSpacing/>
              <w:jc w:val="both"/>
              <w:rPr>
                <w:rFonts w:cstheme="minorHAnsi"/>
                <w:b/>
              </w:rPr>
            </w:pPr>
            <w:r>
              <w:rPr>
                <w:rFonts w:cstheme="minorHAnsi"/>
                <w:b/>
              </w:rPr>
              <w:t xml:space="preserve">Insumos: </w:t>
            </w:r>
          </w:p>
        </w:tc>
        <w:tc>
          <w:tcPr>
            <w:tcW w:w="4054" w:type="pct"/>
          </w:tcPr>
          <w:p w14:paraId="1C215EBA" w14:textId="77777777" w:rsidR="007B3093" w:rsidRDefault="00000000">
            <w:pPr>
              <w:pStyle w:val="Prrafodelista"/>
              <w:numPr>
                <w:ilvl w:val="0"/>
                <w:numId w:val="22"/>
              </w:numPr>
              <w:tabs>
                <w:tab w:val="left" w:pos="-1440"/>
              </w:tabs>
              <w:ind w:left="281"/>
              <w:jc w:val="both"/>
              <w:rPr>
                <w:rFonts w:cstheme="minorHAnsi"/>
              </w:rPr>
            </w:pPr>
            <w:r>
              <w:rPr>
                <w:rFonts w:cstheme="minorHAnsi"/>
              </w:rPr>
              <w:t>Plan de Capacitación de Talento Humano.</w:t>
            </w:r>
          </w:p>
          <w:p w14:paraId="473BB5AD" w14:textId="77777777" w:rsidR="007B3093" w:rsidRDefault="00000000">
            <w:pPr>
              <w:pStyle w:val="Prrafodelista"/>
              <w:numPr>
                <w:ilvl w:val="0"/>
                <w:numId w:val="22"/>
              </w:numPr>
              <w:tabs>
                <w:tab w:val="left" w:pos="-1440"/>
              </w:tabs>
              <w:ind w:left="281"/>
              <w:jc w:val="both"/>
              <w:rPr>
                <w:rFonts w:cstheme="minorHAnsi"/>
              </w:rPr>
            </w:pPr>
            <w:r>
              <w:rPr>
                <w:rFonts w:cstheme="minorHAnsi"/>
              </w:rPr>
              <w:t>Competencias y atribuciones institucionales.</w:t>
            </w:r>
          </w:p>
          <w:p w14:paraId="58B578DA" w14:textId="77777777" w:rsidR="007B3093" w:rsidRDefault="00000000">
            <w:pPr>
              <w:pStyle w:val="Prrafodelista"/>
              <w:numPr>
                <w:ilvl w:val="0"/>
                <w:numId w:val="22"/>
              </w:numPr>
              <w:tabs>
                <w:tab w:val="left" w:pos="-1440"/>
              </w:tabs>
              <w:ind w:left="281"/>
              <w:jc w:val="both"/>
              <w:rPr>
                <w:rFonts w:cstheme="minorHAnsi"/>
              </w:rPr>
            </w:pPr>
            <w:r>
              <w:rPr>
                <w:rFonts w:cstheme="minorHAnsi"/>
              </w:rPr>
              <w:t>Encuesta de clima laboral.</w:t>
            </w:r>
          </w:p>
        </w:tc>
      </w:tr>
      <w:tr w:rsidR="007B3093" w14:paraId="0DDA49F7" w14:textId="77777777">
        <w:trPr>
          <w:trHeight w:val="589"/>
        </w:trPr>
        <w:tc>
          <w:tcPr>
            <w:tcW w:w="946" w:type="pct"/>
          </w:tcPr>
          <w:p w14:paraId="63631FB5" w14:textId="77777777" w:rsidR="007B3093" w:rsidRDefault="00000000">
            <w:pPr>
              <w:tabs>
                <w:tab w:val="left" w:pos="-1440"/>
              </w:tabs>
              <w:contextualSpacing/>
              <w:jc w:val="both"/>
              <w:rPr>
                <w:rFonts w:cstheme="minorHAnsi"/>
                <w:b/>
              </w:rPr>
            </w:pPr>
            <w:r>
              <w:rPr>
                <w:rFonts w:cstheme="minorHAnsi"/>
                <w:b/>
              </w:rPr>
              <w:t>Productos</w:t>
            </w:r>
          </w:p>
        </w:tc>
        <w:tc>
          <w:tcPr>
            <w:tcW w:w="4054" w:type="pct"/>
          </w:tcPr>
          <w:p w14:paraId="6CC459E3" w14:textId="77777777" w:rsidR="007B3093" w:rsidRDefault="00000000">
            <w:pPr>
              <w:pStyle w:val="Prrafodelista"/>
              <w:numPr>
                <w:ilvl w:val="0"/>
                <w:numId w:val="23"/>
              </w:numPr>
              <w:tabs>
                <w:tab w:val="left" w:pos="-1440"/>
              </w:tabs>
              <w:ind w:left="281"/>
              <w:jc w:val="both"/>
              <w:rPr>
                <w:rFonts w:cstheme="minorHAnsi"/>
              </w:rPr>
            </w:pPr>
            <w:r>
              <w:t>Taller de bienvenida con el personal de la PGE a nivel nacional</w:t>
            </w:r>
          </w:p>
          <w:p w14:paraId="43B95253" w14:textId="77777777" w:rsidR="007B3093" w:rsidRDefault="00000000">
            <w:pPr>
              <w:pStyle w:val="Prrafodelista"/>
              <w:numPr>
                <w:ilvl w:val="0"/>
                <w:numId w:val="23"/>
              </w:numPr>
              <w:tabs>
                <w:tab w:val="left" w:pos="-1440"/>
              </w:tabs>
              <w:ind w:left="281"/>
              <w:jc w:val="both"/>
              <w:rPr>
                <w:rFonts w:cstheme="minorHAnsi"/>
              </w:rPr>
            </w:pPr>
            <w:r>
              <w:t xml:space="preserve">Taller con los directores nacionales y regionales de la PGE </w:t>
            </w:r>
          </w:p>
          <w:p w14:paraId="3798138B" w14:textId="77777777" w:rsidR="007B3093" w:rsidRDefault="00000000">
            <w:pPr>
              <w:pStyle w:val="Prrafodelista"/>
              <w:numPr>
                <w:ilvl w:val="0"/>
                <w:numId w:val="23"/>
              </w:numPr>
              <w:tabs>
                <w:tab w:val="left" w:pos="-1440"/>
              </w:tabs>
              <w:ind w:left="281"/>
              <w:jc w:val="both"/>
              <w:rPr>
                <w:rFonts w:cstheme="minorHAnsi"/>
              </w:rPr>
            </w:pPr>
            <w:r>
              <w:t xml:space="preserve">Talleres para fortalecer las competencias del Talento Humano sobre gestión del cambio </w:t>
            </w:r>
          </w:p>
          <w:p w14:paraId="603289B8" w14:textId="77777777" w:rsidR="007B3093" w:rsidRDefault="00000000">
            <w:pPr>
              <w:pStyle w:val="Prrafodelista"/>
              <w:numPr>
                <w:ilvl w:val="0"/>
                <w:numId w:val="23"/>
              </w:numPr>
              <w:tabs>
                <w:tab w:val="left" w:pos="-1440"/>
              </w:tabs>
              <w:ind w:left="281"/>
              <w:jc w:val="both"/>
              <w:rPr>
                <w:rFonts w:cstheme="minorHAnsi"/>
              </w:rPr>
            </w:pPr>
            <w:r>
              <w:t>Taller de cierre con el personal de la PGE a nivel nacional</w:t>
            </w:r>
          </w:p>
        </w:tc>
      </w:tr>
    </w:tbl>
    <w:p w14:paraId="0A542E59"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940"/>
      </w:tblGrid>
      <w:tr w:rsidR="007B3093" w14:paraId="66136DB6" w14:textId="77777777">
        <w:tc>
          <w:tcPr>
            <w:tcW w:w="5000" w:type="pct"/>
            <w:gridSpan w:val="2"/>
          </w:tcPr>
          <w:p w14:paraId="5A82C6DA" w14:textId="77777777" w:rsidR="007B3093" w:rsidRDefault="00000000">
            <w:pPr>
              <w:tabs>
                <w:tab w:val="left" w:pos="-1440"/>
              </w:tabs>
              <w:contextualSpacing/>
              <w:jc w:val="both"/>
              <w:rPr>
                <w:rFonts w:cstheme="minorHAnsi"/>
                <w:b/>
              </w:rPr>
            </w:pPr>
            <w:r>
              <w:rPr>
                <w:rFonts w:cstheme="minorHAnsi"/>
                <w:b/>
              </w:rPr>
              <w:t>Servicios de capacitación en gestión del cambio institucional, formación y acompañamiento al Grupo Anfitrión y servidores de la PGE, en el marco del nuevo modelo de gestión</w:t>
            </w:r>
          </w:p>
        </w:tc>
      </w:tr>
      <w:tr w:rsidR="007B3093" w14:paraId="58AE4461" w14:textId="77777777">
        <w:trPr>
          <w:trHeight w:val="485"/>
        </w:trPr>
        <w:tc>
          <w:tcPr>
            <w:tcW w:w="915" w:type="pct"/>
          </w:tcPr>
          <w:p w14:paraId="1264DB20" w14:textId="77777777" w:rsidR="007B3093" w:rsidRDefault="00000000">
            <w:pPr>
              <w:tabs>
                <w:tab w:val="left" w:pos="-1440"/>
              </w:tabs>
              <w:contextualSpacing/>
              <w:jc w:val="both"/>
              <w:rPr>
                <w:rFonts w:cstheme="minorHAnsi"/>
                <w:b/>
              </w:rPr>
            </w:pPr>
            <w:r>
              <w:rPr>
                <w:rFonts w:cstheme="minorHAnsi"/>
                <w:b/>
              </w:rPr>
              <w:t xml:space="preserve">Objetivo: </w:t>
            </w:r>
          </w:p>
        </w:tc>
        <w:tc>
          <w:tcPr>
            <w:tcW w:w="4085" w:type="pct"/>
          </w:tcPr>
          <w:p w14:paraId="423725B4" w14:textId="77777777" w:rsidR="007B3093" w:rsidRDefault="00000000">
            <w:pPr>
              <w:pStyle w:val="Prrafodelista"/>
              <w:tabs>
                <w:tab w:val="left" w:pos="-1440"/>
              </w:tabs>
              <w:ind w:left="284"/>
              <w:jc w:val="both"/>
              <w:rPr>
                <w:rFonts w:cstheme="minorHAnsi"/>
              </w:rPr>
            </w:pPr>
            <w:r>
              <w:t>Formar a los servidores de la PGE que participarán en el Grupo Anfitrión del cambio institucional, en el marco del nuevo modelo de gestión, así como facilitar y acompañar el proceso de elaboración de la estrategia y normativa institucional sobre gestión del cambio, y los talleres iniciales de capacitación que el indicado grupo impartirá a todo el personal de la institución permitiendo la trazabilidad del proceso de gestión del cambio</w:t>
            </w:r>
          </w:p>
        </w:tc>
      </w:tr>
      <w:tr w:rsidR="007B3093" w14:paraId="59182251" w14:textId="77777777">
        <w:tc>
          <w:tcPr>
            <w:tcW w:w="915" w:type="pct"/>
          </w:tcPr>
          <w:p w14:paraId="30821CD9" w14:textId="77777777" w:rsidR="007B3093" w:rsidRDefault="00000000">
            <w:pPr>
              <w:tabs>
                <w:tab w:val="left" w:pos="-1440"/>
              </w:tabs>
              <w:contextualSpacing/>
              <w:jc w:val="both"/>
              <w:rPr>
                <w:rFonts w:cstheme="minorHAnsi"/>
                <w:b/>
              </w:rPr>
            </w:pPr>
            <w:r>
              <w:rPr>
                <w:rFonts w:cstheme="minorHAnsi"/>
                <w:b/>
              </w:rPr>
              <w:t>Insumos:</w:t>
            </w:r>
          </w:p>
        </w:tc>
        <w:tc>
          <w:tcPr>
            <w:tcW w:w="4085" w:type="pct"/>
          </w:tcPr>
          <w:p w14:paraId="0A9981FC" w14:textId="77777777" w:rsidR="007B3093" w:rsidRDefault="00000000">
            <w:pPr>
              <w:pStyle w:val="Prrafodelista"/>
              <w:numPr>
                <w:ilvl w:val="0"/>
                <w:numId w:val="63"/>
              </w:numPr>
              <w:tabs>
                <w:tab w:val="left" w:pos="-1440"/>
              </w:tabs>
              <w:ind w:left="357" w:hanging="357"/>
              <w:jc w:val="both"/>
              <w:rPr>
                <w:rFonts w:cstheme="minorHAnsi"/>
              </w:rPr>
            </w:pPr>
            <w:r>
              <w:rPr>
                <w:rFonts w:cstheme="minorHAnsi"/>
              </w:rPr>
              <w:t>Encuesta de Clima Laboral</w:t>
            </w:r>
          </w:p>
          <w:p w14:paraId="3E1C4929" w14:textId="77777777" w:rsidR="007B3093" w:rsidRDefault="00000000">
            <w:pPr>
              <w:pStyle w:val="Prrafodelista"/>
              <w:numPr>
                <w:ilvl w:val="0"/>
                <w:numId w:val="63"/>
              </w:numPr>
              <w:tabs>
                <w:tab w:val="left" w:pos="-1440"/>
              </w:tabs>
              <w:ind w:left="357" w:hanging="357"/>
              <w:jc w:val="both"/>
              <w:rPr>
                <w:rFonts w:cstheme="minorHAnsi"/>
              </w:rPr>
            </w:pPr>
            <w:r>
              <w:rPr>
                <w:rFonts w:cstheme="minorHAnsi"/>
              </w:rPr>
              <w:t>Matriz de competencias.</w:t>
            </w:r>
          </w:p>
          <w:p w14:paraId="5E2F6E9A" w14:textId="77777777" w:rsidR="007B3093" w:rsidRDefault="00000000">
            <w:pPr>
              <w:pStyle w:val="Prrafodelista"/>
              <w:numPr>
                <w:ilvl w:val="0"/>
                <w:numId w:val="63"/>
              </w:numPr>
              <w:tabs>
                <w:tab w:val="left" w:pos="-1440"/>
              </w:tabs>
              <w:ind w:left="357" w:hanging="357"/>
              <w:jc w:val="both"/>
              <w:rPr>
                <w:rFonts w:cstheme="minorHAnsi"/>
              </w:rPr>
            </w:pPr>
            <w:r>
              <w:rPr>
                <w:rFonts w:cstheme="minorHAnsi"/>
              </w:rPr>
              <w:t>Plan de Gestión de Cambio</w:t>
            </w:r>
          </w:p>
          <w:p w14:paraId="5CB2F970" w14:textId="77777777" w:rsidR="007B3093" w:rsidRDefault="00000000">
            <w:pPr>
              <w:pStyle w:val="Prrafodelista"/>
              <w:numPr>
                <w:ilvl w:val="0"/>
                <w:numId w:val="63"/>
              </w:numPr>
              <w:tabs>
                <w:tab w:val="left" w:pos="-1440"/>
              </w:tabs>
              <w:ind w:left="357" w:hanging="357"/>
              <w:jc w:val="both"/>
              <w:rPr>
                <w:rFonts w:cstheme="minorHAnsi"/>
              </w:rPr>
            </w:pPr>
            <w:r>
              <w:rPr>
                <w:rFonts w:cstheme="minorHAnsi"/>
              </w:rPr>
              <w:t>Plan de capacitación</w:t>
            </w:r>
          </w:p>
        </w:tc>
      </w:tr>
      <w:tr w:rsidR="007B3093" w14:paraId="7939466F" w14:textId="77777777">
        <w:tc>
          <w:tcPr>
            <w:tcW w:w="915" w:type="pct"/>
          </w:tcPr>
          <w:p w14:paraId="0DE95518" w14:textId="77777777" w:rsidR="007B3093" w:rsidRDefault="00000000">
            <w:pPr>
              <w:tabs>
                <w:tab w:val="left" w:pos="-1440"/>
              </w:tabs>
              <w:contextualSpacing/>
              <w:jc w:val="both"/>
              <w:rPr>
                <w:rFonts w:cstheme="minorHAnsi"/>
                <w:b/>
              </w:rPr>
            </w:pPr>
            <w:r>
              <w:rPr>
                <w:rFonts w:cstheme="minorHAnsi"/>
                <w:b/>
              </w:rPr>
              <w:t>Productos</w:t>
            </w:r>
          </w:p>
        </w:tc>
        <w:tc>
          <w:tcPr>
            <w:tcW w:w="4085" w:type="pct"/>
          </w:tcPr>
          <w:p w14:paraId="4B724120" w14:textId="77777777" w:rsidR="007B3093" w:rsidRDefault="00000000">
            <w:pPr>
              <w:pStyle w:val="Prrafodelista"/>
              <w:tabs>
                <w:tab w:val="left" w:pos="-1440"/>
              </w:tabs>
              <w:ind w:left="317"/>
              <w:jc w:val="both"/>
              <w:rPr>
                <w:rFonts w:cstheme="minorHAnsi"/>
              </w:rPr>
            </w:pPr>
            <w:r>
              <w:t>Taller de capacitación sobre técnicas y destrezas claves para la gestión de cambio dirigido al equipo anfitrión que impulsará la estrategia institucional. 1 taller de 16 horas de duración.</w:t>
            </w:r>
            <w:r>
              <w:rPr>
                <w:rFonts w:cstheme="minorHAnsi"/>
              </w:rPr>
              <w:t xml:space="preserve"> </w:t>
            </w:r>
          </w:p>
        </w:tc>
      </w:tr>
    </w:tbl>
    <w:p w14:paraId="254FFA0D" w14:textId="77777777" w:rsidR="007B3093" w:rsidRDefault="007B3093">
      <w:pPr>
        <w:spacing w:after="0" w:line="240" w:lineRule="auto"/>
        <w:contextualSpacing/>
        <w:rPr>
          <w:rFonts w:cstheme="minorHAnsi"/>
        </w:rPr>
      </w:pPr>
    </w:p>
    <w:p w14:paraId="08388397"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914"/>
      </w:tblGrid>
      <w:tr w:rsidR="007B3093" w14:paraId="21C4734D" w14:textId="77777777">
        <w:trPr>
          <w:trHeight w:val="446"/>
        </w:trPr>
        <w:tc>
          <w:tcPr>
            <w:tcW w:w="5000" w:type="pct"/>
            <w:gridSpan w:val="2"/>
          </w:tcPr>
          <w:p w14:paraId="7B1CFA8A" w14:textId="77777777" w:rsidR="007B3093" w:rsidRDefault="00000000">
            <w:pPr>
              <w:tabs>
                <w:tab w:val="left" w:pos="-1440"/>
              </w:tabs>
              <w:contextualSpacing/>
              <w:jc w:val="both"/>
              <w:rPr>
                <w:rFonts w:cstheme="minorHAnsi"/>
                <w:b/>
              </w:rPr>
            </w:pPr>
            <w:r>
              <w:rPr>
                <w:b/>
              </w:rPr>
              <w:t>Capacitación en innovación y gestión del cambio en el sector público dirigido a los directivos y funcionarios del grupo anfitrión de la PGE</w:t>
            </w:r>
          </w:p>
        </w:tc>
      </w:tr>
      <w:tr w:rsidR="007B3093" w14:paraId="0290D3E5" w14:textId="77777777">
        <w:trPr>
          <w:trHeight w:val="446"/>
        </w:trPr>
        <w:tc>
          <w:tcPr>
            <w:tcW w:w="930" w:type="pct"/>
          </w:tcPr>
          <w:p w14:paraId="08880B7F" w14:textId="77777777" w:rsidR="007B3093" w:rsidRDefault="00000000">
            <w:pPr>
              <w:tabs>
                <w:tab w:val="left" w:pos="-1440"/>
              </w:tabs>
              <w:contextualSpacing/>
              <w:jc w:val="both"/>
              <w:rPr>
                <w:rFonts w:cstheme="minorHAnsi"/>
                <w:b/>
              </w:rPr>
            </w:pPr>
            <w:r>
              <w:rPr>
                <w:rFonts w:cstheme="minorHAnsi"/>
                <w:b/>
              </w:rPr>
              <w:t xml:space="preserve">Objetivo: </w:t>
            </w:r>
          </w:p>
        </w:tc>
        <w:tc>
          <w:tcPr>
            <w:tcW w:w="4070" w:type="pct"/>
          </w:tcPr>
          <w:p w14:paraId="662DB54A" w14:textId="77777777" w:rsidR="007B3093" w:rsidRDefault="00000000">
            <w:pPr>
              <w:pStyle w:val="Prrafodelista"/>
              <w:tabs>
                <w:tab w:val="left" w:pos="-1440"/>
              </w:tabs>
              <w:ind w:left="284"/>
              <w:jc w:val="both"/>
              <w:rPr>
                <w:rFonts w:cstheme="minorHAnsi"/>
              </w:rPr>
            </w:pPr>
            <w:r>
              <w:rPr>
                <w:rFonts w:cstheme="minorHAnsi"/>
              </w:rPr>
              <w:t>Fortalecer al Grupo Anfitrión, servidores de la PGE; así como, mejorar la interacción y articulación con los actores externos relacionados con la institución, mediante la capacitación en herramientas e insumos para innovar e implementar la gestión del cambio e innovación en la PGE de manera continua.</w:t>
            </w:r>
          </w:p>
        </w:tc>
      </w:tr>
      <w:tr w:rsidR="007B3093" w14:paraId="6B60A201" w14:textId="77777777">
        <w:trPr>
          <w:trHeight w:val="690"/>
        </w:trPr>
        <w:tc>
          <w:tcPr>
            <w:tcW w:w="930" w:type="pct"/>
          </w:tcPr>
          <w:p w14:paraId="091D9CE9" w14:textId="77777777" w:rsidR="007B3093" w:rsidRDefault="00000000">
            <w:pPr>
              <w:tabs>
                <w:tab w:val="left" w:pos="-1440"/>
              </w:tabs>
              <w:contextualSpacing/>
              <w:jc w:val="both"/>
              <w:rPr>
                <w:rFonts w:cstheme="minorHAnsi"/>
                <w:b/>
              </w:rPr>
            </w:pPr>
            <w:r>
              <w:rPr>
                <w:rFonts w:cstheme="minorHAnsi"/>
                <w:b/>
              </w:rPr>
              <w:t xml:space="preserve">Insumo: </w:t>
            </w:r>
          </w:p>
        </w:tc>
        <w:tc>
          <w:tcPr>
            <w:tcW w:w="4070" w:type="pct"/>
          </w:tcPr>
          <w:p w14:paraId="50194A46" w14:textId="77777777" w:rsidR="007B3093" w:rsidRDefault="00000000">
            <w:pPr>
              <w:pStyle w:val="Prrafodelista"/>
              <w:numPr>
                <w:ilvl w:val="0"/>
                <w:numId w:val="82"/>
              </w:numPr>
              <w:tabs>
                <w:tab w:val="left" w:pos="-1440"/>
              </w:tabs>
              <w:jc w:val="both"/>
              <w:rPr>
                <w:rFonts w:cstheme="minorHAnsi"/>
              </w:rPr>
            </w:pPr>
            <w:r>
              <w:rPr>
                <w:rFonts w:cstheme="minorHAnsi"/>
              </w:rPr>
              <w:t>Plan de Capacitación de Talento Humano.</w:t>
            </w:r>
          </w:p>
          <w:p w14:paraId="75432FAA" w14:textId="77777777" w:rsidR="007B3093" w:rsidRDefault="00000000">
            <w:pPr>
              <w:pStyle w:val="Prrafodelista"/>
              <w:numPr>
                <w:ilvl w:val="0"/>
                <w:numId w:val="82"/>
              </w:numPr>
              <w:tabs>
                <w:tab w:val="left" w:pos="-1440"/>
              </w:tabs>
              <w:jc w:val="both"/>
              <w:rPr>
                <w:rFonts w:cstheme="minorHAnsi"/>
              </w:rPr>
            </w:pPr>
            <w:r>
              <w:rPr>
                <w:rFonts w:cstheme="minorHAnsi"/>
              </w:rPr>
              <w:t>Matriz de competencias</w:t>
            </w:r>
          </w:p>
          <w:p w14:paraId="2D889248" w14:textId="77777777" w:rsidR="007B3093" w:rsidRDefault="00000000">
            <w:pPr>
              <w:pStyle w:val="Prrafodelista"/>
              <w:numPr>
                <w:ilvl w:val="0"/>
                <w:numId w:val="82"/>
              </w:numPr>
              <w:tabs>
                <w:tab w:val="left" w:pos="-1440"/>
              </w:tabs>
              <w:jc w:val="both"/>
              <w:rPr>
                <w:rFonts w:cstheme="minorHAnsi"/>
              </w:rPr>
            </w:pPr>
            <w:r>
              <w:rPr>
                <w:rFonts w:cstheme="minorHAnsi"/>
              </w:rPr>
              <w:lastRenderedPageBreak/>
              <w:t>Plan de gestión del cambio</w:t>
            </w:r>
          </w:p>
        </w:tc>
      </w:tr>
      <w:tr w:rsidR="007B3093" w14:paraId="6BAEDFFE" w14:textId="77777777">
        <w:trPr>
          <w:trHeight w:val="650"/>
        </w:trPr>
        <w:tc>
          <w:tcPr>
            <w:tcW w:w="930" w:type="pct"/>
          </w:tcPr>
          <w:p w14:paraId="7533F5FF" w14:textId="77777777" w:rsidR="007B3093" w:rsidRDefault="00000000">
            <w:pPr>
              <w:tabs>
                <w:tab w:val="left" w:pos="-1440"/>
              </w:tabs>
              <w:contextualSpacing/>
              <w:jc w:val="both"/>
              <w:rPr>
                <w:rFonts w:cstheme="minorHAnsi"/>
                <w:b/>
              </w:rPr>
            </w:pPr>
            <w:r>
              <w:rPr>
                <w:rFonts w:cstheme="minorHAnsi"/>
                <w:b/>
              </w:rPr>
              <w:lastRenderedPageBreak/>
              <w:t>Productos</w:t>
            </w:r>
          </w:p>
        </w:tc>
        <w:tc>
          <w:tcPr>
            <w:tcW w:w="4070" w:type="pct"/>
          </w:tcPr>
          <w:p w14:paraId="65713EBB" w14:textId="77777777" w:rsidR="007B3093" w:rsidRDefault="00000000">
            <w:pPr>
              <w:pStyle w:val="Prrafodelista"/>
              <w:numPr>
                <w:ilvl w:val="0"/>
                <w:numId w:val="83"/>
              </w:numPr>
              <w:tabs>
                <w:tab w:val="left" w:pos="-1440"/>
              </w:tabs>
              <w:ind w:left="357" w:hanging="357"/>
              <w:jc w:val="both"/>
              <w:rPr>
                <w:rFonts w:cstheme="minorHAnsi"/>
              </w:rPr>
            </w:pPr>
            <w:r>
              <w:rPr>
                <w:bCs/>
              </w:rPr>
              <w:t xml:space="preserve">Taller para la elaboración de </w:t>
            </w:r>
            <w:r>
              <w:t>Mapas de empatía y de valor.</w:t>
            </w:r>
          </w:p>
          <w:p w14:paraId="448078F4" w14:textId="77777777" w:rsidR="007B3093" w:rsidRDefault="00000000">
            <w:pPr>
              <w:pStyle w:val="Prrafodelista"/>
              <w:numPr>
                <w:ilvl w:val="0"/>
                <w:numId w:val="83"/>
              </w:numPr>
              <w:tabs>
                <w:tab w:val="left" w:pos="-1440"/>
              </w:tabs>
              <w:ind w:left="357" w:hanging="357"/>
              <w:jc w:val="both"/>
              <w:rPr>
                <w:rFonts w:cstheme="minorHAnsi"/>
              </w:rPr>
            </w:pPr>
            <w:r>
              <w:rPr>
                <w:bCs/>
              </w:rPr>
              <w:t>Taller para la elaboración de</w:t>
            </w:r>
            <w:r>
              <w:rPr>
                <w:b/>
              </w:rPr>
              <w:t xml:space="preserve"> </w:t>
            </w:r>
            <w:r>
              <w:rPr>
                <w:bCs/>
              </w:rPr>
              <w:t>las</w:t>
            </w:r>
            <w:r>
              <w:t xml:space="preserve"> Matrices de estereotipos e ideas preconcebidas.   </w:t>
            </w:r>
          </w:p>
          <w:p w14:paraId="0FAD0D7F" w14:textId="77777777" w:rsidR="007B3093" w:rsidRDefault="00000000">
            <w:pPr>
              <w:pStyle w:val="Prrafodelista"/>
              <w:numPr>
                <w:ilvl w:val="0"/>
                <w:numId w:val="83"/>
              </w:numPr>
              <w:tabs>
                <w:tab w:val="left" w:pos="-1440"/>
              </w:tabs>
              <w:ind w:left="357" w:hanging="357"/>
              <w:jc w:val="both"/>
              <w:rPr>
                <w:rFonts w:cstheme="minorHAnsi"/>
              </w:rPr>
            </w:pPr>
            <w:r>
              <w:rPr>
                <w:bCs/>
              </w:rPr>
              <w:t xml:space="preserve">Taller para la elaboración de la metodología y estrategia </w:t>
            </w:r>
            <w:r>
              <w:t>Océano azul y posibles mejoras al modelo de gestión.</w:t>
            </w:r>
          </w:p>
          <w:p w14:paraId="7CEB8757" w14:textId="77777777" w:rsidR="007B3093" w:rsidRDefault="00000000">
            <w:pPr>
              <w:pStyle w:val="Prrafodelista"/>
              <w:numPr>
                <w:ilvl w:val="0"/>
                <w:numId w:val="83"/>
              </w:numPr>
              <w:tabs>
                <w:tab w:val="left" w:pos="-1440"/>
              </w:tabs>
              <w:ind w:left="357" w:hanging="357"/>
              <w:jc w:val="both"/>
              <w:rPr>
                <w:rFonts w:cstheme="minorHAnsi"/>
              </w:rPr>
            </w:pPr>
            <w:r>
              <w:rPr>
                <w:bCs/>
              </w:rPr>
              <w:t>Taller para la elaboración de</w:t>
            </w:r>
            <w:r>
              <w:t xml:space="preserve"> la metodología de </w:t>
            </w:r>
            <w:r>
              <w:rPr>
                <w:bCs/>
              </w:rPr>
              <w:t>las herramientas que permiten visionar el futuro</w:t>
            </w:r>
            <w:r>
              <w:t>.</w:t>
            </w:r>
          </w:p>
          <w:p w14:paraId="72B41C5F" w14:textId="77777777" w:rsidR="007B3093" w:rsidRDefault="00000000">
            <w:pPr>
              <w:pStyle w:val="Prrafodelista"/>
              <w:numPr>
                <w:ilvl w:val="0"/>
                <w:numId w:val="83"/>
              </w:numPr>
              <w:tabs>
                <w:tab w:val="left" w:pos="-1440"/>
              </w:tabs>
              <w:ind w:left="357" w:hanging="357"/>
              <w:jc w:val="both"/>
              <w:rPr>
                <w:rFonts w:cstheme="minorHAnsi"/>
              </w:rPr>
            </w:pPr>
            <w:r>
              <w:rPr>
                <w:bCs/>
              </w:rPr>
              <w:t>Taller para la elaboración de los escenarios tanto adversos como positivos para la Procuraduría General del Estado del futuro</w:t>
            </w:r>
            <w:r>
              <w:rPr>
                <w:b/>
              </w:rPr>
              <w:t>.</w:t>
            </w:r>
          </w:p>
          <w:p w14:paraId="02B16DD0" w14:textId="77777777" w:rsidR="007B3093" w:rsidRDefault="00000000">
            <w:pPr>
              <w:pStyle w:val="Prrafodelista"/>
              <w:numPr>
                <w:ilvl w:val="0"/>
                <w:numId w:val="83"/>
              </w:numPr>
              <w:tabs>
                <w:tab w:val="left" w:pos="-1440"/>
              </w:tabs>
              <w:ind w:left="357" w:hanging="357"/>
              <w:jc w:val="both"/>
              <w:rPr>
                <w:rFonts w:cstheme="minorHAnsi"/>
              </w:rPr>
            </w:pPr>
            <w:r>
              <w:rPr>
                <w:bCs/>
              </w:rPr>
              <w:t>Taller para la elaboración de escenarios para el diseño de nuevos servicios y productos para la Procuraduría General del Estado</w:t>
            </w:r>
            <w:r>
              <w:t>.</w:t>
            </w:r>
          </w:p>
          <w:p w14:paraId="6BCE7D6E" w14:textId="77777777" w:rsidR="007B3093" w:rsidRDefault="00000000">
            <w:pPr>
              <w:pStyle w:val="Prrafodelista"/>
              <w:numPr>
                <w:ilvl w:val="0"/>
                <w:numId w:val="83"/>
              </w:numPr>
              <w:tabs>
                <w:tab w:val="left" w:pos="-1440"/>
              </w:tabs>
              <w:ind w:left="357" w:hanging="357"/>
              <w:jc w:val="both"/>
              <w:rPr>
                <w:rFonts w:cstheme="minorHAnsi"/>
              </w:rPr>
            </w:pPr>
            <w:r>
              <w:rPr>
                <w:bCs/>
              </w:rPr>
              <w:t>Taller para la construcción del árbol de competencias futuro de la Procuraduría General del Estado, en el marco de la normativa vigente.</w:t>
            </w:r>
          </w:p>
        </w:tc>
      </w:tr>
    </w:tbl>
    <w:p w14:paraId="2ED40DEF"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36672DA0" w14:textId="77777777">
        <w:tc>
          <w:tcPr>
            <w:tcW w:w="5000" w:type="pct"/>
            <w:gridSpan w:val="2"/>
          </w:tcPr>
          <w:p w14:paraId="18274AA4" w14:textId="77777777" w:rsidR="007B3093" w:rsidRDefault="00000000">
            <w:pPr>
              <w:tabs>
                <w:tab w:val="left" w:pos="-1440"/>
              </w:tabs>
              <w:contextualSpacing/>
              <w:jc w:val="both"/>
              <w:rPr>
                <w:rFonts w:cstheme="minorHAnsi"/>
                <w:b/>
              </w:rPr>
            </w:pPr>
            <w:r>
              <w:rPr>
                <w:rFonts w:cstheme="minorHAnsi"/>
                <w:b/>
              </w:rPr>
              <w:t>Contratación de Especialista en procesos de capacitación para apoyar y asesorar técnicamente a la PGE</w:t>
            </w:r>
          </w:p>
        </w:tc>
      </w:tr>
      <w:tr w:rsidR="007B3093" w14:paraId="45FD153E" w14:textId="77777777">
        <w:trPr>
          <w:trHeight w:val="485"/>
        </w:trPr>
        <w:tc>
          <w:tcPr>
            <w:tcW w:w="723" w:type="pct"/>
          </w:tcPr>
          <w:p w14:paraId="2F4E27DF"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645C5A32" w14:textId="77777777" w:rsidR="007B3093" w:rsidRDefault="00000000">
            <w:pPr>
              <w:pStyle w:val="Prrafodelista"/>
              <w:tabs>
                <w:tab w:val="left" w:pos="-1440"/>
              </w:tabs>
              <w:ind w:left="284"/>
              <w:jc w:val="both"/>
              <w:rPr>
                <w:rFonts w:cstheme="minorHAnsi"/>
              </w:rPr>
            </w:pPr>
            <w:r>
              <w:rPr>
                <w:rFonts w:cstheme="minorHAnsi"/>
              </w:rPr>
              <w:t>Contratación de especialista en procesos de capacitación para apoyar y asesorar técnicamente a la PGE</w:t>
            </w:r>
          </w:p>
        </w:tc>
      </w:tr>
      <w:tr w:rsidR="007B3093" w14:paraId="4DCE11DD" w14:textId="77777777">
        <w:tc>
          <w:tcPr>
            <w:tcW w:w="723" w:type="pct"/>
          </w:tcPr>
          <w:p w14:paraId="1924C6A4"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32E53042" w14:textId="77777777" w:rsidR="007B3093" w:rsidRDefault="00000000">
            <w:pPr>
              <w:pStyle w:val="Prrafodelista"/>
              <w:numPr>
                <w:ilvl w:val="0"/>
                <w:numId w:val="62"/>
              </w:numPr>
              <w:tabs>
                <w:tab w:val="left" w:pos="-1440"/>
              </w:tabs>
              <w:jc w:val="both"/>
              <w:rPr>
                <w:rFonts w:cstheme="minorHAnsi"/>
              </w:rPr>
            </w:pPr>
            <w:r>
              <w:rPr>
                <w:rFonts w:ascii="Calibri" w:eastAsia="Times New Roman" w:hAnsi="Calibri" w:cs="Calibri"/>
                <w:color w:val="000000"/>
                <w:szCs w:val="18"/>
                <w:lang w:eastAsia="es-EC"/>
              </w:rPr>
              <w:t>Diagnóstico situacional y propuesta de direccionamiento estratégico;</w:t>
            </w:r>
          </w:p>
          <w:p w14:paraId="1D793409" w14:textId="77777777" w:rsidR="007B3093" w:rsidRDefault="00000000">
            <w:pPr>
              <w:pStyle w:val="Prrafodelista"/>
              <w:numPr>
                <w:ilvl w:val="0"/>
                <w:numId w:val="62"/>
              </w:numPr>
              <w:tabs>
                <w:tab w:val="left" w:pos="-1440"/>
              </w:tabs>
              <w:jc w:val="both"/>
              <w:rPr>
                <w:rFonts w:cstheme="minorHAnsi"/>
              </w:rPr>
            </w:pPr>
            <w:r>
              <w:rPr>
                <w:rFonts w:cstheme="minorHAnsi"/>
              </w:rPr>
              <w:t>Competencias y atribuciones institucionales.</w:t>
            </w:r>
          </w:p>
        </w:tc>
      </w:tr>
      <w:tr w:rsidR="007B3093" w14:paraId="5F514574" w14:textId="77777777">
        <w:tc>
          <w:tcPr>
            <w:tcW w:w="723" w:type="pct"/>
          </w:tcPr>
          <w:p w14:paraId="759027E5"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36576983" w14:textId="77777777" w:rsidR="007B3093" w:rsidRDefault="00000000">
            <w:pPr>
              <w:pStyle w:val="Prrafodelista"/>
              <w:numPr>
                <w:ilvl w:val="0"/>
                <w:numId w:val="52"/>
              </w:numPr>
              <w:tabs>
                <w:tab w:val="left" w:pos="-1440"/>
              </w:tabs>
              <w:jc w:val="both"/>
              <w:rPr>
                <w:rFonts w:cstheme="minorHAnsi"/>
                <w:bCs/>
                <w:color w:val="000000"/>
                <w:lang w:eastAsia="es-EC"/>
              </w:rPr>
            </w:pPr>
            <w:r>
              <w:rPr>
                <w:rFonts w:cstheme="minorHAnsi"/>
                <w:bCs/>
                <w:color w:val="000000"/>
                <w:lang w:eastAsia="es-EC"/>
              </w:rPr>
              <w:t>Informe de evaluación que determine el estado actual de los procesos de capacitación que realiza la PGE a nivel de su personal (interno) y de otros servidores del Estado (externo)</w:t>
            </w:r>
          </w:p>
          <w:p w14:paraId="5277A107" w14:textId="77777777" w:rsidR="007B3093" w:rsidRDefault="00000000">
            <w:pPr>
              <w:pStyle w:val="Prrafodelista"/>
              <w:numPr>
                <w:ilvl w:val="0"/>
                <w:numId w:val="52"/>
              </w:numPr>
              <w:tabs>
                <w:tab w:val="left" w:pos="-1440"/>
              </w:tabs>
              <w:jc w:val="both"/>
              <w:rPr>
                <w:rFonts w:cstheme="minorHAnsi"/>
                <w:bCs/>
                <w:color w:val="000000"/>
                <w:lang w:eastAsia="es-EC"/>
              </w:rPr>
            </w:pPr>
            <w:r>
              <w:rPr>
                <w:rFonts w:cstheme="minorHAnsi"/>
                <w:bCs/>
                <w:color w:val="000000"/>
                <w:lang w:eastAsia="es-EC"/>
              </w:rPr>
              <w:t>Informe que contenga los TDR de los procesos de contratación del PROFIP o componente 3 del Programa de Modernización de la Administración Financiera para capacitaciones de la PGE en el 2021</w:t>
            </w:r>
          </w:p>
          <w:p w14:paraId="52696C99" w14:textId="77777777" w:rsidR="007B3093" w:rsidRDefault="00000000">
            <w:pPr>
              <w:pStyle w:val="Prrafodelista"/>
              <w:numPr>
                <w:ilvl w:val="0"/>
                <w:numId w:val="52"/>
              </w:numPr>
              <w:tabs>
                <w:tab w:val="left" w:pos="-1440"/>
              </w:tabs>
              <w:jc w:val="both"/>
              <w:rPr>
                <w:rFonts w:cstheme="minorHAnsi"/>
                <w:bCs/>
                <w:color w:val="000000"/>
                <w:lang w:eastAsia="es-EC"/>
              </w:rPr>
            </w:pPr>
            <w:r>
              <w:rPr>
                <w:rFonts w:cstheme="minorHAnsi"/>
                <w:bCs/>
                <w:color w:val="000000"/>
                <w:lang w:eastAsia="es-EC"/>
              </w:rPr>
              <w:t>Informe que evalúe y determine las necesidades de capacitación a nivel interno y externo y propuesta de opciones de modelos institucionales para un sistema de capacitación de la PGE</w:t>
            </w:r>
          </w:p>
          <w:p w14:paraId="3178085E" w14:textId="77777777" w:rsidR="007B3093" w:rsidRDefault="00000000">
            <w:pPr>
              <w:pStyle w:val="Prrafodelista"/>
              <w:numPr>
                <w:ilvl w:val="0"/>
                <w:numId w:val="52"/>
              </w:numPr>
              <w:tabs>
                <w:tab w:val="left" w:pos="-1440"/>
              </w:tabs>
              <w:jc w:val="both"/>
              <w:rPr>
                <w:rFonts w:cstheme="minorHAnsi"/>
                <w:bCs/>
                <w:color w:val="000000"/>
                <w:lang w:eastAsia="es-EC"/>
              </w:rPr>
            </w:pPr>
            <w:r>
              <w:rPr>
                <w:rFonts w:cstheme="minorHAnsi"/>
                <w:bCs/>
                <w:color w:val="000000"/>
                <w:lang w:eastAsia="es-EC"/>
              </w:rPr>
              <w:t>Informe que contenga la propuesta de modelo priorizado para un sistema de capacitación de la PGE</w:t>
            </w:r>
          </w:p>
          <w:p w14:paraId="64E5CF5E" w14:textId="77777777" w:rsidR="007B3093" w:rsidRDefault="00000000">
            <w:pPr>
              <w:pStyle w:val="Prrafodelista"/>
              <w:numPr>
                <w:ilvl w:val="0"/>
                <w:numId w:val="52"/>
              </w:numPr>
              <w:tabs>
                <w:tab w:val="left" w:pos="-1440"/>
              </w:tabs>
              <w:jc w:val="both"/>
              <w:rPr>
                <w:rFonts w:cstheme="minorHAnsi"/>
              </w:rPr>
            </w:pPr>
            <w:r>
              <w:rPr>
                <w:rFonts w:cstheme="minorHAnsi"/>
                <w:bCs/>
                <w:color w:val="000000"/>
                <w:lang w:eastAsia="es-EC"/>
              </w:rPr>
              <w:t>Informe de avance de implementación del modelo del sistema de capacitación de la PGE</w:t>
            </w:r>
          </w:p>
        </w:tc>
      </w:tr>
    </w:tbl>
    <w:p w14:paraId="4BE25A17" w14:textId="77777777" w:rsidR="007B3093" w:rsidRDefault="007B3093">
      <w:pPr>
        <w:spacing w:after="0" w:line="240" w:lineRule="auto"/>
        <w:contextualSpacing/>
        <w:rPr>
          <w:rFonts w:cstheme="minorHAnsi"/>
        </w:rPr>
      </w:pPr>
    </w:p>
    <w:p w14:paraId="45A71439" w14:textId="77777777" w:rsidR="007B3093" w:rsidRDefault="007B3093">
      <w:pPr>
        <w:spacing w:after="0" w:line="240" w:lineRule="auto"/>
        <w:contextualSpacing/>
        <w:rPr>
          <w:rFonts w:cstheme="minorHAnsi"/>
        </w:rPr>
      </w:pPr>
    </w:p>
    <w:p w14:paraId="35BFAFD1"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914"/>
      </w:tblGrid>
      <w:tr w:rsidR="007B3093" w14:paraId="4DE15E31" w14:textId="77777777">
        <w:trPr>
          <w:trHeight w:val="399"/>
        </w:trPr>
        <w:tc>
          <w:tcPr>
            <w:tcW w:w="5000" w:type="pct"/>
            <w:gridSpan w:val="2"/>
            <w:tcBorders>
              <w:bottom w:val="single" w:sz="4" w:space="0" w:color="auto"/>
            </w:tcBorders>
            <w:shd w:val="clear" w:color="auto" w:fill="ACB9CA" w:themeFill="text2" w:themeFillTint="66"/>
          </w:tcPr>
          <w:p w14:paraId="15C8A7FD" w14:textId="77777777" w:rsidR="007B3093" w:rsidRDefault="00000000">
            <w:pPr>
              <w:pStyle w:val="Prrafodelista"/>
              <w:ind w:left="240"/>
              <w:jc w:val="center"/>
              <w:rPr>
                <w:rFonts w:cstheme="minorHAnsi"/>
                <w:color w:val="000000"/>
              </w:rPr>
            </w:pPr>
            <w:r>
              <w:rPr>
                <w:rFonts w:cstheme="minorHAnsi"/>
                <w:b/>
              </w:rPr>
              <w:t>ACTIVIDAD 1.3</w:t>
            </w:r>
          </w:p>
        </w:tc>
      </w:tr>
      <w:tr w:rsidR="007B3093" w14:paraId="190ED7CA" w14:textId="77777777">
        <w:trPr>
          <w:trHeight w:val="399"/>
        </w:trPr>
        <w:tc>
          <w:tcPr>
            <w:tcW w:w="5000" w:type="pct"/>
            <w:gridSpan w:val="2"/>
            <w:tcBorders>
              <w:bottom w:val="single" w:sz="4" w:space="0" w:color="auto"/>
            </w:tcBorders>
          </w:tcPr>
          <w:p w14:paraId="59E74A00" w14:textId="77777777" w:rsidR="007B3093" w:rsidRDefault="00000000">
            <w:pPr>
              <w:contextualSpacing/>
              <w:jc w:val="both"/>
              <w:rPr>
                <w:rFonts w:cstheme="minorHAnsi"/>
                <w:b/>
                <w:color w:val="000000"/>
              </w:rPr>
            </w:pPr>
            <w:r>
              <w:rPr>
                <w:rFonts w:cstheme="minorHAnsi"/>
                <w:b/>
                <w:color w:val="000000"/>
              </w:rPr>
              <w:t>Implementar un Sistema Informático Integrado</w:t>
            </w:r>
          </w:p>
        </w:tc>
      </w:tr>
      <w:tr w:rsidR="007B3093" w14:paraId="68150CE6" w14:textId="77777777">
        <w:trPr>
          <w:trHeight w:val="399"/>
        </w:trPr>
        <w:tc>
          <w:tcPr>
            <w:tcW w:w="5000" w:type="pct"/>
            <w:gridSpan w:val="2"/>
            <w:tcBorders>
              <w:top w:val="single" w:sz="4" w:space="0" w:color="auto"/>
              <w:left w:val="nil"/>
              <w:bottom w:val="single" w:sz="4" w:space="0" w:color="auto"/>
              <w:right w:val="nil"/>
            </w:tcBorders>
          </w:tcPr>
          <w:p w14:paraId="69792889" w14:textId="77777777" w:rsidR="007B3093" w:rsidRDefault="007B3093">
            <w:pPr>
              <w:contextualSpacing/>
              <w:jc w:val="both"/>
              <w:rPr>
                <w:b/>
              </w:rPr>
            </w:pPr>
          </w:p>
        </w:tc>
      </w:tr>
      <w:tr w:rsidR="007B3093" w14:paraId="39A8F6DC" w14:textId="77777777">
        <w:trPr>
          <w:trHeight w:val="399"/>
        </w:trPr>
        <w:tc>
          <w:tcPr>
            <w:tcW w:w="5000" w:type="pct"/>
            <w:gridSpan w:val="2"/>
            <w:tcBorders>
              <w:top w:val="single" w:sz="4" w:space="0" w:color="auto"/>
            </w:tcBorders>
          </w:tcPr>
          <w:p w14:paraId="0A9CBA6F" w14:textId="77777777" w:rsidR="007B3093" w:rsidRDefault="00000000">
            <w:pPr>
              <w:contextualSpacing/>
              <w:jc w:val="both"/>
              <w:rPr>
                <w:b/>
              </w:rPr>
            </w:pPr>
            <w:r>
              <w:rPr>
                <w:b/>
              </w:rPr>
              <w:lastRenderedPageBreak/>
              <w:t>Consultoría para la Implementación, puesta en marcha y acompañamiento del Sistema Nacional de Defensa Jurídica del Estado, todo ello en el marco del Nuevo Modelo de Gestión y la Agenda Digital de la Procuraduría General del Estado</w:t>
            </w:r>
          </w:p>
        </w:tc>
      </w:tr>
      <w:tr w:rsidR="007B3093" w14:paraId="2C73E35D" w14:textId="77777777">
        <w:trPr>
          <w:trHeight w:val="559"/>
        </w:trPr>
        <w:tc>
          <w:tcPr>
            <w:tcW w:w="930" w:type="pct"/>
          </w:tcPr>
          <w:p w14:paraId="22133B27" w14:textId="77777777" w:rsidR="007B3093" w:rsidRDefault="00000000">
            <w:pPr>
              <w:contextualSpacing/>
              <w:jc w:val="both"/>
              <w:rPr>
                <w:rFonts w:cstheme="minorHAnsi"/>
                <w:b/>
              </w:rPr>
            </w:pPr>
            <w:r>
              <w:rPr>
                <w:rFonts w:cstheme="minorHAnsi"/>
                <w:b/>
              </w:rPr>
              <w:t xml:space="preserve">Objetivo: </w:t>
            </w:r>
          </w:p>
        </w:tc>
        <w:tc>
          <w:tcPr>
            <w:tcW w:w="4070" w:type="pct"/>
          </w:tcPr>
          <w:p w14:paraId="56D109DA" w14:textId="77777777" w:rsidR="007B3093" w:rsidRDefault="00000000">
            <w:pPr>
              <w:jc w:val="both"/>
              <w:rPr>
                <w:rFonts w:cstheme="minorHAnsi"/>
                <w:color w:val="000000"/>
              </w:rPr>
            </w:pPr>
            <w:r>
              <w:t>Desarrollar e implementar una plataforma informática institucional integral, que permita el efectivo cumplimiento de la misión de la Procuraduría General del Estado, modernizando y automatizando los procesos, aplicaciones e implementando en una nueva arquitectura tecnológica con el fin de mejorar los servicios del organismo, aplicando las mejores prácticas de seguridad integral de los datos, soportar la demanda exponencial a nivel nacional, todo ello en el marco del Modelo de Gestión y la Agenda Digital de la Procuraduría General del Estado de Ecuador.</w:t>
            </w:r>
          </w:p>
        </w:tc>
      </w:tr>
      <w:tr w:rsidR="007B3093" w14:paraId="2E28824E" w14:textId="77777777">
        <w:trPr>
          <w:trHeight w:val="1262"/>
        </w:trPr>
        <w:tc>
          <w:tcPr>
            <w:tcW w:w="930" w:type="pct"/>
          </w:tcPr>
          <w:p w14:paraId="74E6213A" w14:textId="77777777" w:rsidR="007B3093" w:rsidRDefault="00000000">
            <w:pPr>
              <w:contextualSpacing/>
              <w:jc w:val="both"/>
              <w:rPr>
                <w:rFonts w:cstheme="minorHAnsi"/>
                <w:b/>
              </w:rPr>
            </w:pPr>
            <w:r>
              <w:rPr>
                <w:rFonts w:cstheme="minorHAnsi"/>
                <w:b/>
              </w:rPr>
              <w:t>Insumos:</w:t>
            </w:r>
          </w:p>
        </w:tc>
        <w:tc>
          <w:tcPr>
            <w:tcW w:w="4070" w:type="pct"/>
          </w:tcPr>
          <w:p w14:paraId="3B95A1FC" w14:textId="77777777" w:rsidR="007B3093" w:rsidRDefault="00000000">
            <w:pPr>
              <w:pStyle w:val="Prrafodelista"/>
              <w:numPr>
                <w:ilvl w:val="0"/>
                <w:numId w:val="24"/>
              </w:numPr>
              <w:ind w:left="317"/>
              <w:jc w:val="both"/>
              <w:rPr>
                <w:rFonts w:cstheme="minorHAnsi"/>
                <w:color w:val="000000"/>
              </w:rPr>
            </w:pPr>
            <w:r>
              <w:rPr>
                <w:rFonts w:cstheme="minorHAnsi"/>
                <w:color w:val="000000"/>
              </w:rPr>
              <w:t>Modelo de Gestión</w:t>
            </w:r>
          </w:p>
          <w:p w14:paraId="76741A62" w14:textId="77777777" w:rsidR="007B3093" w:rsidRDefault="00000000">
            <w:pPr>
              <w:pStyle w:val="Prrafodelista"/>
              <w:numPr>
                <w:ilvl w:val="0"/>
                <w:numId w:val="24"/>
              </w:numPr>
              <w:ind w:left="317"/>
              <w:jc w:val="both"/>
              <w:rPr>
                <w:rFonts w:cstheme="minorHAnsi"/>
                <w:color w:val="000000"/>
              </w:rPr>
            </w:pPr>
            <w:r>
              <w:rPr>
                <w:rFonts w:cstheme="minorHAnsi"/>
                <w:color w:val="000000"/>
              </w:rPr>
              <w:t>Agenda Digital</w:t>
            </w:r>
          </w:p>
          <w:p w14:paraId="5F2519A3" w14:textId="77777777" w:rsidR="007B3093" w:rsidRDefault="00000000">
            <w:pPr>
              <w:pStyle w:val="Prrafodelista"/>
              <w:numPr>
                <w:ilvl w:val="0"/>
                <w:numId w:val="24"/>
              </w:numPr>
              <w:ind w:left="317"/>
              <w:jc w:val="both"/>
              <w:rPr>
                <w:rFonts w:cstheme="minorHAnsi"/>
                <w:color w:val="000000"/>
              </w:rPr>
            </w:pPr>
            <w:r>
              <w:rPr>
                <w:rFonts w:cstheme="minorHAnsi"/>
                <w:color w:val="000000"/>
              </w:rPr>
              <w:t>Diagnóstico en profundidad</w:t>
            </w:r>
          </w:p>
          <w:p w14:paraId="2D555BC1" w14:textId="77777777" w:rsidR="007B3093" w:rsidRDefault="00000000">
            <w:pPr>
              <w:pStyle w:val="Prrafodelista"/>
              <w:numPr>
                <w:ilvl w:val="0"/>
                <w:numId w:val="24"/>
              </w:numPr>
              <w:ind w:left="317"/>
              <w:jc w:val="both"/>
              <w:rPr>
                <w:rFonts w:cstheme="minorHAnsi"/>
                <w:color w:val="000000"/>
              </w:rPr>
            </w:pPr>
            <w:r>
              <w:rPr>
                <w:rFonts w:cstheme="minorHAnsi"/>
                <w:color w:val="000000"/>
              </w:rPr>
              <w:t>Estatuto Orgánico Funcional por procesos</w:t>
            </w:r>
          </w:p>
          <w:p w14:paraId="3EADD747" w14:textId="77777777" w:rsidR="007B3093" w:rsidRDefault="00000000">
            <w:pPr>
              <w:pStyle w:val="Prrafodelista"/>
              <w:numPr>
                <w:ilvl w:val="0"/>
                <w:numId w:val="24"/>
              </w:numPr>
              <w:ind w:left="317"/>
              <w:jc w:val="both"/>
              <w:rPr>
                <w:rFonts w:cstheme="minorHAnsi"/>
                <w:color w:val="000000"/>
              </w:rPr>
            </w:pPr>
            <w:r>
              <w:rPr>
                <w:rFonts w:cstheme="minorHAnsi"/>
                <w:color w:val="000000"/>
              </w:rPr>
              <w:t>Manual de Procedimientos</w:t>
            </w:r>
          </w:p>
        </w:tc>
      </w:tr>
      <w:tr w:rsidR="007B3093" w14:paraId="11CB69E1" w14:textId="77777777">
        <w:trPr>
          <w:trHeight w:val="1307"/>
        </w:trPr>
        <w:tc>
          <w:tcPr>
            <w:tcW w:w="930" w:type="pct"/>
          </w:tcPr>
          <w:p w14:paraId="631BB710" w14:textId="77777777" w:rsidR="007B3093" w:rsidRDefault="00000000">
            <w:pPr>
              <w:contextualSpacing/>
              <w:jc w:val="both"/>
              <w:rPr>
                <w:rFonts w:cstheme="minorHAnsi"/>
                <w:b/>
              </w:rPr>
            </w:pPr>
            <w:r>
              <w:rPr>
                <w:rFonts w:cstheme="minorHAnsi"/>
                <w:b/>
              </w:rPr>
              <w:t xml:space="preserve">Productos: </w:t>
            </w:r>
          </w:p>
        </w:tc>
        <w:tc>
          <w:tcPr>
            <w:tcW w:w="4070" w:type="pct"/>
          </w:tcPr>
          <w:p w14:paraId="394ABAA7" w14:textId="77777777" w:rsidR="007B3093" w:rsidRDefault="00000000">
            <w:pPr>
              <w:pStyle w:val="Prrafodelista"/>
              <w:numPr>
                <w:ilvl w:val="0"/>
                <w:numId w:val="6"/>
              </w:numPr>
              <w:ind w:left="317"/>
              <w:jc w:val="both"/>
              <w:rPr>
                <w:rFonts w:cstheme="minorHAnsi"/>
                <w:color w:val="000000"/>
                <w:sz w:val="28"/>
              </w:rPr>
            </w:pPr>
            <w:r>
              <w:rPr>
                <w:rFonts w:ascii="Calibri" w:eastAsia="Times New Roman" w:hAnsi="Calibri" w:cs="Calibri"/>
                <w:color w:val="000000"/>
                <w:szCs w:val="18"/>
                <w:lang w:eastAsia="es-EC"/>
              </w:rPr>
              <w:t>Análisis, diseño y definición de las funcionalidades de los sistemas a desarrollar;</w:t>
            </w:r>
          </w:p>
          <w:p w14:paraId="02E76A58" w14:textId="77777777" w:rsidR="007B3093" w:rsidRDefault="00000000">
            <w:pPr>
              <w:pStyle w:val="Prrafodelista"/>
              <w:numPr>
                <w:ilvl w:val="0"/>
                <w:numId w:val="6"/>
              </w:numPr>
              <w:ind w:left="317"/>
              <w:jc w:val="both"/>
              <w:rPr>
                <w:rFonts w:cstheme="minorHAnsi"/>
                <w:color w:val="000000"/>
                <w:sz w:val="28"/>
              </w:rPr>
            </w:pPr>
            <w:r>
              <w:rPr>
                <w:rFonts w:ascii="Calibri" w:eastAsia="Times New Roman" w:hAnsi="Calibri" w:cs="Calibri"/>
                <w:color w:val="000000"/>
                <w:szCs w:val="18"/>
                <w:lang w:eastAsia="es-EC"/>
              </w:rPr>
              <w:t xml:space="preserve">Implementación de la plataforma de orquestación de contenedores; </w:t>
            </w:r>
          </w:p>
          <w:p w14:paraId="02E76500" w14:textId="77777777" w:rsidR="007B3093" w:rsidRDefault="00000000">
            <w:pPr>
              <w:pStyle w:val="Prrafodelista"/>
              <w:numPr>
                <w:ilvl w:val="0"/>
                <w:numId w:val="6"/>
              </w:numPr>
              <w:ind w:left="317"/>
              <w:jc w:val="both"/>
              <w:rPr>
                <w:rFonts w:cstheme="minorHAnsi"/>
                <w:color w:val="000000"/>
                <w:sz w:val="28"/>
              </w:rPr>
            </w:pPr>
            <w:r>
              <w:rPr>
                <w:rFonts w:ascii="Calibri" w:eastAsia="Times New Roman" w:hAnsi="Calibri" w:cs="Calibri"/>
                <w:color w:val="000000"/>
                <w:szCs w:val="18"/>
                <w:lang w:eastAsia="es-EC"/>
              </w:rPr>
              <w:t xml:space="preserve">Modernización de bases de datos; </w:t>
            </w:r>
          </w:p>
          <w:p w14:paraId="021A58DE" w14:textId="77777777" w:rsidR="007B3093" w:rsidRDefault="00000000">
            <w:pPr>
              <w:pStyle w:val="Prrafodelista"/>
              <w:numPr>
                <w:ilvl w:val="0"/>
                <w:numId w:val="6"/>
              </w:numPr>
              <w:ind w:left="317"/>
              <w:jc w:val="both"/>
              <w:rPr>
                <w:rFonts w:cstheme="minorHAnsi"/>
                <w:color w:val="000000"/>
                <w:sz w:val="28"/>
              </w:rPr>
            </w:pPr>
            <w:r>
              <w:rPr>
                <w:rFonts w:ascii="Calibri" w:eastAsia="Times New Roman" w:hAnsi="Calibri" w:cs="Calibri"/>
                <w:color w:val="000000"/>
                <w:szCs w:val="18"/>
                <w:lang w:eastAsia="es-EC"/>
              </w:rPr>
              <w:t xml:space="preserve">Sistema Gestión de la Defensa Jurídica del Estado; </w:t>
            </w:r>
          </w:p>
          <w:p w14:paraId="47CFF909" w14:textId="77777777" w:rsidR="007B3093" w:rsidRDefault="00000000">
            <w:pPr>
              <w:pStyle w:val="Prrafodelista"/>
              <w:numPr>
                <w:ilvl w:val="0"/>
                <w:numId w:val="6"/>
              </w:numPr>
              <w:ind w:left="317"/>
              <w:jc w:val="both"/>
              <w:rPr>
                <w:rFonts w:cstheme="minorHAnsi"/>
                <w:color w:val="000000"/>
                <w:sz w:val="28"/>
              </w:rPr>
            </w:pPr>
            <w:r>
              <w:rPr>
                <w:rFonts w:ascii="Calibri" w:eastAsia="Times New Roman" w:hAnsi="Calibri" w:cs="Calibri"/>
                <w:color w:val="000000"/>
                <w:szCs w:val="18"/>
                <w:lang w:eastAsia="es-EC"/>
              </w:rPr>
              <w:t xml:space="preserve">Sistema de asesoramiento jurídico; </w:t>
            </w:r>
          </w:p>
          <w:p w14:paraId="1091AFEC" w14:textId="77777777" w:rsidR="007B3093" w:rsidRDefault="00000000">
            <w:pPr>
              <w:pStyle w:val="Prrafodelista"/>
              <w:numPr>
                <w:ilvl w:val="0"/>
                <w:numId w:val="6"/>
              </w:numPr>
              <w:ind w:left="317"/>
              <w:jc w:val="both"/>
              <w:rPr>
                <w:rFonts w:cstheme="minorHAnsi"/>
                <w:color w:val="000000"/>
                <w:sz w:val="28"/>
              </w:rPr>
            </w:pPr>
            <w:r>
              <w:rPr>
                <w:rFonts w:ascii="Calibri" w:eastAsia="Times New Roman" w:hAnsi="Calibri" w:cs="Calibri"/>
                <w:color w:val="000000"/>
                <w:szCs w:val="18"/>
                <w:lang w:eastAsia="es-EC"/>
              </w:rPr>
              <w:t xml:space="preserve">Sistema Informático Integrado de Gestión Interna; </w:t>
            </w:r>
          </w:p>
          <w:p w14:paraId="40169F57" w14:textId="77777777" w:rsidR="007B3093" w:rsidRDefault="00000000">
            <w:pPr>
              <w:pStyle w:val="Prrafodelista"/>
              <w:numPr>
                <w:ilvl w:val="0"/>
                <w:numId w:val="6"/>
              </w:numPr>
              <w:ind w:left="317"/>
              <w:jc w:val="both"/>
              <w:rPr>
                <w:rFonts w:cstheme="minorHAnsi"/>
                <w:color w:val="000000"/>
                <w:sz w:val="28"/>
              </w:rPr>
            </w:pPr>
            <w:r>
              <w:rPr>
                <w:rFonts w:ascii="Calibri" w:eastAsia="Times New Roman" w:hAnsi="Calibri" w:cs="Calibri"/>
                <w:color w:val="000000"/>
                <w:szCs w:val="18"/>
                <w:lang w:eastAsia="es-EC"/>
              </w:rPr>
              <w:t xml:space="preserve">Sistema de Gestión de Análisis Estratégico; </w:t>
            </w:r>
          </w:p>
          <w:p w14:paraId="3EEBA5B2" w14:textId="77777777" w:rsidR="007B3093" w:rsidRDefault="00000000">
            <w:pPr>
              <w:pStyle w:val="Prrafodelista"/>
              <w:numPr>
                <w:ilvl w:val="0"/>
                <w:numId w:val="6"/>
              </w:numPr>
              <w:ind w:left="317"/>
              <w:jc w:val="both"/>
              <w:rPr>
                <w:rFonts w:cstheme="minorHAnsi"/>
                <w:color w:val="000000"/>
                <w:sz w:val="28"/>
              </w:rPr>
            </w:pPr>
            <w:r>
              <w:rPr>
                <w:rFonts w:ascii="Calibri" w:eastAsia="Times New Roman" w:hAnsi="Calibri" w:cs="Calibri"/>
                <w:color w:val="000000"/>
                <w:szCs w:val="18"/>
                <w:lang w:eastAsia="es-EC"/>
              </w:rPr>
              <w:t xml:space="preserve">Plataforma de gestión de grandes volúmenes y análisis inteligente de datos; </w:t>
            </w:r>
          </w:p>
          <w:p w14:paraId="71407660" w14:textId="77777777" w:rsidR="007B3093" w:rsidRDefault="00000000">
            <w:pPr>
              <w:pStyle w:val="Prrafodelista"/>
              <w:numPr>
                <w:ilvl w:val="0"/>
                <w:numId w:val="6"/>
              </w:numPr>
              <w:ind w:left="317"/>
              <w:jc w:val="both"/>
              <w:rPr>
                <w:rFonts w:cstheme="minorHAnsi"/>
                <w:color w:val="000000"/>
                <w:sz w:val="28"/>
              </w:rPr>
            </w:pPr>
            <w:r>
              <w:rPr>
                <w:rFonts w:ascii="Calibri" w:eastAsia="Times New Roman" w:hAnsi="Calibri" w:cs="Calibri"/>
                <w:color w:val="000000"/>
                <w:szCs w:val="18"/>
                <w:lang w:eastAsia="es-EC"/>
              </w:rPr>
              <w:t xml:space="preserve">Plan de Gestión del Cambio (Tecnológico); </w:t>
            </w:r>
          </w:p>
          <w:p w14:paraId="510A4379" w14:textId="77777777" w:rsidR="007B3093" w:rsidRDefault="00000000">
            <w:pPr>
              <w:pStyle w:val="Prrafodelista"/>
              <w:numPr>
                <w:ilvl w:val="0"/>
                <w:numId w:val="6"/>
              </w:numPr>
              <w:ind w:left="317"/>
              <w:jc w:val="both"/>
              <w:rPr>
                <w:rFonts w:cstheme="minorHAnsi"/>
                <w:color w:val="000000"/>
              </w:rPr>
            </w:pPr>
            <w:r>
              <w:rPr>
                <w:rFonts w:ascii="Calibri" w:eastAsia="Times New Roman" w:hAnsi="Calibri" w:cs="Calibri"/>
                <w:color w:val="000000"/>
                <w:szCs w:val="18"/>
                <w:lang w:eastAsia="es-EC"/>
              </w:rPr>
              <w:t>Proceso de organización y regla técnica de documentación y archivo de la PGE (proceso archivístico), inventario, digitalización, depuración de todos los juicios</w:t>
            </w:r>
          </w:p>
        </w:tc>
      </w:tr>
    </w:tbl>
    <w:p w14:paraId="43A985F3" w14:textId="77777777" w:rsidR="007B3093" w:rsidRDefault="007B3093">
      <w:pPr>
        <w:spacing w:after="0" w:line="240" w:lineRule="auto"/>
        <w:contextualSpacing/>
        <w:rPr>
          <w:rFonts w:cstheme="minorHAnsi"/>
        </w:rPr>
      </w:pPr>
    </w:p>
    <w:p w14:paraId="5984915E"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914"/>
      </w:tblGrid>
      <w:tr w:rsidR="007B3093" w14:paraId="4EA618E5" w14:textId="77777777">
        <w:trPr>
          <w:trHeight w:val="446"/>
        </w:trPr>
        <w:tc>
          <w:tcPr>
            <w:tcW w:w="5000" w:type="pct"/>
            <w:gridSpan w:val="2"/>
          </w:tcPr>
          <w:p w14:paraId="4DC9B809" w14:textId="77777777" w:rsidR="007B3093" w:rsidRDefault="00000000">
            <w:pPr>
              <w:tabs>
                <w:tab w:val="left" w:pos="-1440"/>
              </w:tabs>
              <w:contextualSpacing/>
              <w:jc w:val="both"/>
              <w:rPr>
                <w:rFonts w:cstheme="minorHAnsi"/>
                <w:b/>
              </w:rPr>
            </w:pPr>
            <w:r>
              <w:rPr>
                <w:b/>
              </w:rPr>
              <w:t xml:space="preserve">Consultoría para especialistas </w:t>
            </w:r>
            <w:proofErr w:type="spellStart"/>
            <w:r>
              <w:rPr>
                <w:b/>
              </w:rPr>
              <w:t>TICs</w:t>
            </w:r>
            <w:proofErr w:type="spellEnd"/>
            <w:r>
              <w:rPr>
                <w:b/>
              </w:rPr>
              <w:t xml:space="preserve"> en Arquitectura de bases de datos y desarrollo </w:t>
            </w:r>
          </w:p>
        </w:tc>
      </w:tr>
      <w:tr w:rsidR="007B3093" w14:paraId="6F06F874" w14:textId="77777777">
        <w:trPr>
          <w:trHeight w:val="446"/>
        </w:trPr>
        <w:tc>
          <w:tcPr>
            <w:tcW w:w="930" w:type="pct"/>
          </w:tcPr>
          <w:p w14:paraId="5515EB0C" w14:textId="77777777" w:rsidR="007B3093" w:rsidRDefault="00000000">
            <w:pPr>
              <w:tabs>
                <w:tab w:val="left" w:pos="-1440"/>
              </w:tabs>
              <w:contextualSpacing/>
              <w:jc w:val="both"/>
              <w:rPr>
                <w:rFonts w:cstheme="minorHAnsi"/>
                <w:b/>
              </w:rPr>
            </w:pPr>
            <w:r>
              <w:rPr>
                <w:rFonts w:cstheme="minorHAnsi"/>
                <w:b/>
              </w:rPr>
              <w:t xml:space="preserve">Objetivo: </w:t>
            </w:r>
          </w:p>
        </w:tc>
        <w:tc>
          <w:tcPr>
            <w:tcW w:w="4070" w:type="pct"/>
          </w:tcPr>
          <w:p w14:paraId="44E70DBE" w14:textId="77777777" w:rsidR="007B3093" w:rsidRDefault="00000000">
            <w:pPr>
              <w:pStyle w:val="Prrafodelista"/>
              <w:tabs>
                <w:tab w:val="left" w:pos="-1440"/>
              </w:tabs>
              <w:ind w:left="284"/>
              <w:jc w:val="both"/>
              <w:rPr>
                <w:rFonts w:cstheme="minorHAnsi"/>
              </w:rPr>
            </w:pPr>
            <w:r>
              <w:rPr>
                <w:rFonts w:cstheme="minorHAnsi"/>
              </w:rPr>
              <w:t xml:space="preserve">Validar los criterios de </w:t>
            </w:r>
            <w:proofErr w:type="gramStart"/>
            <w:r>
              <w:rPr>
                <w:rFonts w:cstheme="minorHAnsi"/>
              </w:rPr>
              <w:t>desarrollo  y</w:t>
            </w:r>
            <w:proofErr w:type="gramEnd"/>
            <w:r>
              <w:rPr>
                <w:rFonts w:cstheme="minorHAnsi"/>
              </w:rPr>
              <w:t xml:space="preserve"> bases de datos aplicados por la consultoría de </w:t>
            </w:r>
            <w:r>
              <w:t>implementación de una plataforma informática institucional integral de casos y causas de la PGE.</w:t>
            </w:r>
          </w:p>
        </w:tc>
      </w:tr>
      <w:tr w:rsidR="007B3093" w14:paraId="06E68079" w14:textId="77777777">
        <w:trPr>
          <w:trHeight w:val="690"/>
        </w:trPr>
        <w:tc>
          <w:tcPr>
            <w:tcW w:w="930" w:type="pct"/>
          </w:tcPr>
          <w:p w14:paraId="79767073" w14:textId="77777777" w:rsidR="007B3093" w:rsidRDefault="00000000">
            <w:pPr>
              <w:tabs>
                <w:tab w:val="left" w:pos="-1440"/>
              </w:tabs>
              <w:contextualSpacing/>
              <w:jc w:val="both"/>
              <w:rPr>
                <w:rFonts w:cstheme="minorHAnsi"/>
                <w:b/>
              </w:rPr>
            </w:pPr>
            <w:r>
              <w:rPr>
                <w:rFonts w:cstheme="minorHAnsi"/>
                <w:b/>
              </w:rPr>
              <w:t xml:space="preserve">Insumo: </w:t>
            </w:r>
          </w:p>
        </w:tc>
        <w:tc>
          <w:tcPr>
            <w:tcW w:w="4070" w:type="pct"/>
          </w:tcPr>
          <w:p w14:paraId="4FC4E4C9" w14:textId="77777777" w:rsidR="007B3093" w:rsidRDefault="00000000">
            <w:pPr>
              <w:pStyle w:val="Prrafodelista"/>
              <w:numPr>
                <w:ilvl w:val="3"/>
                <w:numId w:val="86"/>
              </w:numPr>
              <w:spacing w:after="0" w:line="240" w:lineRule="auto"/>
              <w:ind w:left="340" w:hanging="340"/>
              <w:jc w:val="both"/>
              <w:rPr>
                <w:rFonts w:cstheme="minorHAnsi"/>
                <w:color w:val="000000"/>
              </w:rPr>
            </w:pPr>
            <w:r>
              <w:rPr>
                <w:rFonts w:cstheme="minorHAnsi"/>
                <w:color w:val="000000"/>
              </w:rPr>
              <w:t>Bases de datos de causas y casos</w:t>
            </w:r>
          </w:p>
          <w:p w14:paraId="4F89DA58" w14:textId="77777777" w:rsidR="007B3093" w:rsidRDefault="00000000">
            <w:pPr>
              <w:pStyle w:val="Prrafodelista"/>
              <w:numPr>
                <w:ilvl w:val="3"/>
                <w:numId w:val="86"/>
              </w:numPr>
              <w:spacing w:after="0" w:line="240" w:lineRule="auto"/>
              <w:ind w:left="340" w:hanging="340"/>
              <w:jc w:val="both"/>
              <w:rPr>
                <w:rFonts w:cstheme="minorHAnsi"/>
                <w:color w:val="000000"/>
              </w:rPr>
            </w:pPr>
            <w:r>
              <w:rPr>
                <w:rFonts w:cstheme="minorHAnsi"/>
                <w:color w:val="000000"/>
              </w:rPr>
              <w:t>Agenda Digital</w:t>
            </w:r>
          </w:p>
          <w:p w14:paraId="768A4E50" w14:textId="77777777" w:rsidR="007B3093" w:rsidRDefault="00000000">
            <w:pPr>
              <w:pStyle w:val="Prrafodelista"/>
              <w:numPr>
                <w:ilvl w:val="3"/>
                <w:numId w:val="86"/>
              </w:numPr>
              <w:spacing w:after="0" w:line="240" w:lineRule="auto"/>
              <w:ind w:left="340" w:hanging="340"/>
              <w:jc w:val="both"/>
              <w:rPr>
                <w:rFonts w:cstheme="minorHAnsi"/>
                <w:color w:val="000000"/>
              </w:rPr>
            </w:pPr>
            <w:r>
              <w:rPr>
                <w:rFonts w:cstheme="minorHAnsi"/>
                <w:color w:val="000000"/>
              </w:rPr>
              <w:t>Diagnóstico en profundidad</w:t>
            </w:r>
          </w:p>
          <w:p w14:paraId="32EB45EE" w14:textId="77777777" w:rsidR="007B3093" w:rsidRDefault="00000000">
            <w:pPr>
              <w:pStyle w:val="Prrafodelista"/>
              <w:numPr>
                <w:ilvl w:val="3"/>
                <w:numId w:val="86"/>
              </w:numPr>
              <w:spacing w:after="0" w:line="240" w:lineRule="auto"/>
              <w:ind w:left="340" w:hanging="340"/>
              <w:jc w:val="both"/>
              <w:rPr>
                <w:rFonts w:cstheme="minorHAnsi"/>
                <w:color w:val="000000"/>
              </w:rPr>
            </w:pPr>
            <w:r>
              <w:rPr>
                <w:rFonts w:cstheme="minorHAnsi"/>
                <w:color w:val="000000"/>
              </w:rPr>
              <w:t>Manual de Procedimientos</w:t>
            </w:r>
          </w:p>
        </w:tc>
      </w:tr>
      <w:tr w:rsidR="007B3093" w14:paraId="761E81D3" w14:textId="77777777">
        <w:trPr>
          <w:trHeight w:val="650"/>
        </w:trPr>
        <w:tc>
          <w:tcPr>
            <w:tcW w:w="930" w:type="pct"/>
          </w:tcPr>
          <w:p w14:paraId="53DB6099" w14:textId="77777777" w:rsidR="007B3093" w:rsidRDefault="00000000">
            <w:pPr>
              <w:tabs>
                <w:tab w:val="left" w:pos="-1440"/>
              </w:tabs>
              <w:contextualSpacing/>
              <w:jc w:val="both"/>
              <w:rPr>
                <w:rFonts w:cstheme="minorHAnsi"/>
                <w:b/>
              </w:rPr>
            </w:pPr>
            <w:r>
              <w:rPr>
                <w:rFonts w:cstheme="minorHAnsi"/>
                <w:b/>
              </w:rPr>
              <w:t>Productos</w:t>
            </w:r>
          </w:p>
        </w:tc>
        <w:tc>
          <w:tcPr>
            <w:tcW w:w="4070" w:type="pct"/>
          </w:tcPr>
          <w:p w14:paraId="2215A1BB" w14:textId="77777777" w:rsidR="007B3093" w:rsidRDefault="00000000">
            <w:pPr>
              <w:pStyle w:val="Prrafodelista"/>
              <w:numPr>
                <w:ilvl w:val="0"/>
                <w:numId w:val="96"/>
              </w:numPr>
              <w:spacing w:after="0" w:line="240" w:lineRule="auto"/>
              <w:ind w:left="357" w:hanging="357"/>
              <w:jc w:val="both"/>
              <w:rPr>
                <w:rFonts w:cstheme="minorHAnsi"/>
                <w:color w:val="000000"/>
              </w:rPr>
            </w:pPr>
            <w:r>
              <w:rPr>
                <w:rFonts w:cstheme="minorHAnsi"/>
                <w:color w:val="000000"/>
              </w:rPr>
              <w:t>Base de causas y casos depurados</w:t>
            </w:r>
          </w:p>
          <w:p w14:paraId="32EA35BC" w14:textId="77777777" w:rsidR="007B3093" w:rsidRDefault="00000000">
            <w:pPr>
              <w:pStyle w:val="Prrafodelista"/>
              <w:numPr>
                <w:ilvl w:val="0"/>
                <w:numId w:val="96"/>
              </w:numPr>
              <w:spacing w:after="0" w:line="240" w:lineRule="auto"/>
              <w:ind w:left="357" w:hanging="357"/>
              <w:jc w:val="both"/>
              <w:rPr>
                <w:rFonts w:cstheme="minorHAnsi"/>
                <w:color w:val="000000"/>
                <w:sz w:val="28"/>
              </w:rPr>
            </w:pPr>
            <w:r>
              <w:rPr>
                <w:rFonts w:ascii="Calibri" w:eastAsia="Times New Roman" w:hAnsi="Calibri" w:cs="Calibri"/>
                <w:color w:val="000000"/>
                <w:szCs w:val="18"/>
                <w:lang w:eastAsia="es-EC"/>
              </w:rPr>
              <w:t>Análisis, diseño y definición de las funcionalidades de los sistemas a desarrollar;</w:t>
            </w:r>
          </w:p>
          <w:p w14:paraId="5E1C4CFB" w14:textId="77777777" w:rsidR="007B3093" w:rsidRDefault="00000000">
            <w:pPr>
              <w:pStyle w:val="Prrafodelista"/>
              <w:numPr>
                <w:ilvl w:val="0"/>
                <w:numId w:val="96"/>
              </w:numPr>
              <w:spacing w:after="0" w:line="240" w:lineRule="auto"/>
              <w:ind w:left="357" w:hanging="357"/>
              <w:jc w:val="both"/>
              <w:rPr>
                <w:rFonts w:cstheme="minorHAnsi"/>
                <w:color w:val="000000"/>
                <w:sz w:val="28"/>
              </w:rPr>
            </w:pPr>
            <w:r>
              <w:rPr>
                <w:rFonts w:ascii="Calibri" w:eastAsia="Times New Roman" w:hAnsi="Calibri" w:cs="Calibri"/>
                <w:color w:val="000000"/>
                <w:szCs w:val="18"/>
                <w:lang w:eastAsia="es-EC"/>
              </w:rPr>
              <w:t xml:space="preserve">Modernización de bases de datos; </w:t>
            </w:r>
          </w:p>
          <w:p w14:paraId="7EC2114C" w14:textId="77777777" w:rsidR="007B3093" w:rsidRDefault="00000000">
            <w:pPr>
              <w:pStyle w:val="Prrafodelista"/>
              <w:numPr>
                <w:ilvl w:val="0"/>
                <w:numId w:val="96"/>
              </w:numPr>
              <w:spacing w:after="0" w:line="240" w:lineRule="auto"/>
              <w:ind w:left="357" w:hanging="357"/>
              <w:jc w:val="both"/>
              <w:rPr>
                <w:rFonts w:cstheme="minorHAnsi"/>
              </w:rPr>
            </w:pPr>
            <w:r>
              <w:rPr>
                <w:rFonts w:ascii="Calibri" w:eastAsia="Times New Roman" w:hAnsi="Calibri" w:cs="Calibri"/>
                <w:color w:val="000000"/>
                <w:szCs w:val="18"/>
                <w:lang w:eastAsia="es-EC"/>
              </w:rPr>
              <w:lastRenderedPageBreak/>
              <w:t>Verificación de datos BI</w:t>
            </w:r>
          </w:p>
        </w:tc>
      </w:tr>
    </w:tbl>
    <w:p w14:paraId="0B67672E" w14:textId="77777777" w:rsidR="007B3093" w:rsidRDefault="007B3093">
      <w:pPr>
        <w:spacing w:after="0" w:line="240" w:lineRule="auto"/>
        <w:contextualSpacing/>
        <w:rPr>
          <w:rFonts w:cstheme="minorHAnsi"/>
        </w:rPr>
      </w:pPr>
    </w:p>
    <w:p w14:paraId="18EDF601"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2176B0CF" w14:textId="77777777">
        <w:trPr>
          <w:trHeight w:val="383"/>
        </w:trPr>
        <w:tc>
          <w:tcPr>
            <w:tcW w:w="5000" w:type="pct"/>
            <w:shd w:val="clear" w:color="auto" w:fill="ACB9CA" w:themeFill="text2" w:themeFillTint="66"/>
          </w:tcPr>
          <w:p w14:paraId="7C0330DE" w14:textId="77777777" w:rsidR="007B3093" w:rsidRDefault="00000000">
            <w:pPr>
              <w:pStyle w:val="Prrafodelista"/>
              <w:ind w:left="240"/>
              <w:jc w:val="center"/>
              <w:rPr>
                <w:rFonts w:cstheme="minorHAnsi"/>
                <w:color w:val="000000"/>
              </w:rPr>
            </w:pPr>
            <w:r>
              <w:rPr>
                <w:rFonts w:cstheme="minorHAnsi"/>
                <w:b/>
              </w:rPr>
              <w:t>ACTIVIDAD 1.4</w:t>
            </w:r>
          </w:p>
        </w:tc>
      </w:tr>
      <w:tr w:rsidR="007B3093" w14:paraId="2D5C07D0" w14:textId="77777777">
        <w:trPr>
          <w:trHeight w:val="383"/>
        </w:trPr>
        <w:tc>
          <w:tcPr>
            <w:tcW w:w="5000" w:type="pct"/>
          </w:tcPr>
          <w:p w14:paraId="6169A7ED" w14:textId="77777777" w:rsidR="007B3093" w:rsidRDefault="00000000">
            <w:pPr>
              <w:contextualSpacing/>
              <w:jc w:val="both"/>
              <w:rPr>
                <w:rFonts w:cstheme="minorHAnsi"/>
                <w:b/>
                <w:color w:val="000000"/>
              </w:rPr>
            </w:pPr>
            <w:r>
              <w:rPr>
                <w:rFonts w:cstheme="minorHAnsi"/>
                <w:b/>
                <w:color w:val="000000"/>
              </w:rPr>
              <w:t>Fortalecer el Hardware para soportar el nuevo sistema integrado</w:t>
            </w:r>
          </w:p>
        </w:tc>
      </w:tr>
    </w:tbl>
    <w:p w14:paraId="3EA492CD"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914"/>
      </w:tblGrid>
      <w:tr w:rsidR="007B3093" w14:paraId="0C4C3540" w14:textId="77777777">
        <w:tc>
          <w:tcPr>
            <w:tcW w:w="5000" w:type="pct"/>
            <w:gridSpan w:val="2"/>
          </w:tcPr>
          <w:p w14:paraId="4AA08CF3" w14:textId="77777777" w:rsidR="007B3093" w:rsidRDefault="00000000">
            <w:pPr>
              <w:spacing w:after="0" w:line="240" w:lineRule="auto"/>
              <w:contextualSpacing/>
              <w:rPr>
                <w:rFonts w:cstheme="minorHAnsi"/>
                <w:b/>
              </w:rPr>
            </w:pPr>
            <w:r>
              <w:rPr>
                <w:rFonts w:cstheme="minorHAnsi"/>
                <w:b/>
              </w:rPr>
              <w:t>Adquisición emergente de equipos informáticos para fortalecer el hardware de la Procuraduría General del Estado</w:t>
            </w:r>
          </w:p>
        </w:tc>
      </w:tr>
      <w:tr w:rsidR="007B3093" w14:paraId="0F8BA55F" w14:textId="77777777">
        <w:tc>
          <w:tcPr>
            <w:tcW w:w="930" w:type="pct"/>
          </w:tcPr>
          <w:p w14:paraId="62A38C19" w14:textId="77777777" w:rsidR="007B3093" w:rsidRDefault="00000000">
            <w:pPr>
              <w:contextualSpacing/>
              <w:jc w:val="both"/>
              <w:rPr>
                <w:rFonts w:cstheme="minorHAnsi"/>
                <w:b/>
              </w:rPr>
            </w:pPr>
            <w:r>
              <w:rPr>
                <w:rFonts w:cstheme="minorHAnsi"/>
                <w:b/>
              </w:rPr>
              <w:t xml:space="preserve">Objetivo: </w:t>
            </w:r>
          </w:p>
        </w:tc>
        <w:tc>
          <w:tcPr>
            <w:tcW w:w="4070" w:type="pct"/>
          </w:tcPr>
          <w:p w14:paraId="37428F99" w14:textId="77777777" w:rsidR="007B3093" w:rsidRDefault="00000000">
            <w:pPr>
              <w:jc w:val="both"/>
              <w:rPr>
                <w:rFonts w:cstheme="minorHAnsi"/>
                <w:color w:val="000000"/>
              </w:rPr>
            </w:pPr>
            <w:r>
              <w:t>Gestionar e implementar el fortalecimiento de la institución con la adquisición de equipos indispensables para la adecuada prestación de los servicios y funciones que cumplen las direcciones misionales y regionales de la Procuraduría General del Estado, para cubrir las necesidades emergentes de equipamiento tecnológico.</w:t>
            </w:r>
          </w:p>
        </w:tc>
      </w:tr>
      <w:tr w:rsidR="007B3093" w14:paraId="665C8E2E" w14:textId="77777777">
        <w:tc>
          <w:tcPr>
            <w:tcW w:w="930" w:type="pct"/>
          </w:tcPr>
          <w:p w14:paraId="7B53D73E" w14:textId="77777777" w:rsidR="007B3093" w:rsidRDefault="00000000">
            <w:pPr>
              <w:contextualSpacing/>
              <w:jc w:val="both"/>
              <w:rPr>
                <w:rFonts w:cstheme="minorHAnsi"/>
                <w:b/>
              </w:rPr>
            </w:pPr>
            <w:r>
              <w:rPr>
                <w:rFonts w:cstheme="minorHAnsi"/>
                <w:b/>
              </w:rPr>
              <w:t xml:space="preserve">Insumos: </w:t>
            </w:r>
          </w:p>
        </w:tc>
        <w:tc>
          <w:tcPr>
            <w:tcW w:w="4070" w:type="pct"/>
          </w:tcPr>
          <w:p w14:paraId="5A756C65" w14:textId="77777777" w:rsidR="007B3093" w:rsidRDefault="00000000">
            <w:pPr>
              <w:pStyle w:val="Prrafodelista"/>
              <w:numPr>
                <w:ilvl w:val="0"/>
                <w:numId w:val="8"/>
              </w:numPr>
              <w:tabs>
                <w:tab w:val="left" w:pos="-1440"/>
              </w:tabs>
              <w:ind w:left="357" w:hanging="357"/>
              <w:jc w:val="both"/>
              <w:rPr>
                <w:rFonts w:cstheme="minorHAnsi"/>
              </w:rPr>
            </w:pPr>
            <w:r>
              <w:rPr>
                <w:rFonts w:ascii="Calibri" w:eastAsia="Times New Roman" w:hAnsi="Calibri" w:cs="Calibri"/>
                <w:color w:val="000000"/>
                <w:szCs w:val="18"/>
                <w:lang w:eastAsia="es-EC"/>
              </w:rPr>
              <w:t>Diagnóstico situacional y propuesta de direccionamiento estratégico;</w:t>
            </w:r>
          </w:p>
          <w:p w14:paraId="65CC36BB" w14:textId="77777777" w:rsidR="007B3093" w:rsidRDefault="00000000">
            <w:pPr>
              <w:pStyle w:val="Prrafodelista"/>
              <w:numPr>
                <w:ilvl w:val="0"/>
                <w:numId w:val="8"/>
              </w:numPr>
              <w:tabs>
                <w:tab w:val="left" w:pos="-1440"/>
              </w:tabs>
              <w:ind w:left="357" w:hanging="357"/>
              <w:jc w:val="both"/>
              <w:rPr>
                <w:rFonts w:cstheme="minorHAnsi"/>
              </w:rPr>
            </w:pPr>
            <w:r>
              <w:rPr>
                <w:rFonts w:ascii="Calibri" w:eastAsia="Times New Roman" w:hAnsi="Calibri" w:cs="Calibri"/>
                <w:color w:val="000000"/>
                <w:szCs w:val="18"/>
                <w:lang w:eastAsia="es-EC"/>
              </w:rPr>
              <w:t>Propuesta de agenda digital institucional.</w:t>
            </w:r>
          </w:p>
        </w:tc>
      </w:tr>
      <w:tr w:rsidR="007B3093" w14:paraId="63A383AC" w14:textId="77777777">
        <w:tc>
          <w:tcPr>
            <w:tcW w:w="930" w:type="pct"/>
          </w:tcPr>
          <w:p w14:paraId="07C76A48" w14:textId="77777777" w:rsidR="007B3093" w:rsidRDefault="00000000">
            <w:pPr>
              <w:contextualSpacing/>
              <w:jc w:val="both"/>
              <w:rPr>
                <w:rFonts w:cstheme="minorHAnsi"/>
                <w:b/>
              </w:rPr>
            </w:pPr>
            <w:r>
              <w:rPr>
                <w:rFonts w:cstheme="minorHAnsi"/>
                <w:b/>
              </w:rPr>
              <w:t xml:space="preserve">Productos: </w:t>
            </w:r>
          </w:p>
        </w:tc>
        <w:tc>
          <w:tcPr>
            <w:tcW w:w="4070" w:type="pct"/>
          </w:tcPr>
          <w:p w14:paraId="08451165" w14:textId="77777777" w:rsidR="007B3093" w:rsidRDefault="00000000">
            <w:pPr>
              <w:pStyle w:val="Prrafodelista"/>
              <w:numPr>
                <w:ilvl w:val="0"/>
                <w:numId w:val="58"/>
              </w:numPr>
              <w:ind w:left="357" w:hanging="357"/>
              <w:jc w:val="both"/>
              <w:rPr>
                <w:rFonts w:cstheme="minorHAnsi"/>
                <w:color w:val="000000"/>
              </w:rPr>
            </w:pPr>
            <w:r>
              <w:rPr>
                <w:rFonts w:ascii="Calibri" w:eastAsia="Times New Roman" w:hAnsi="Calibri" w:cs="Calibri"/>
                <w:color w:val="000000"/>
                <w:lang w:eastAsia="es-EC"/>
              </w:rPr>
              <w:t>104 computadores portátiles</w:t>
            </w:r>
          </w:p>
          <w:p w14:paraId="5CB8FCDF" w14:textId="77777777" w:rsidR="007B3093" w:rsidRDefault="00000000">
            <w:pPr>
              <w:pStyle w:val="Prrafodelista"/>
              <w:numPr>
                <w:ilvl w:val="0"/>
                <w:numId w:val="58"/>
              </w:numPr>
              <w:ind w:left="357" w:hanging="357"/>
              <w:jc w:val="both"/>
              <w:rPr>
                <w:rFonts w:cstheme="minorHAnsi"/>
                <w:color w:val="000000"/>
              </w:rPr>
            </w:pPr>
            <w:r>
              <w:rPr>
                <w:rFonts w:ascii="Calibri" w:eastAsia="Times New Roman" w:hAnsi="Calibri" w:cs="Calibri"/>
                <w:color w:val="000000"/>
                <w:lang w:eastAsia="es-EC"/>
              </w:rPr>
              <w:t>8 escáner de alta velocidad</w:t>
            </w:r>
          </w:p>
          <w:p w14:paraId="3FC9E528" w14:textId="77777777" w:rsidR="007B3093" w:rsidRDefault="00000000">
            <w:pPr>
              <w:pStyle w:val="Prrafodelista"/>
              <w:numPr>
                <w:ilvl w:val="0"/>
                <w:numId w:val="58"/>
              </w:numPr>
              <w:ind w:left="357" w:hanging="357"/>
              <w:jc w:val="both"/>
              <w:rPr>
                <w:rFonts w:cstheme="minorHAnsi"/>
                <w:color w:val="000000"/>
              </w:rPr>
            </w:pPr>
            <w:r>
              <w:rPr>
                <w:rFonts w:ascii="Calibri" w:eastAsia="Times New Roman" w:hAnsi="Calibri" w:cs="Calibri"/>
                <w:color w:val="000000"/>
                <w:lang w:eastAsia="es-EC"/>
              </w:rPr>
              <w:t>18 impresoras multifunción</w:t>
            </w:r>
          </w:p>
          <w:p w14:paraId="3F6909D2" w14:textId="77777777" w:rsidR="007B3093" w:rsidRDefault="00000000">
            <w:pPr>
              <w:pStyle w:val="Prrafodelista"/>
              <w:numPr>
                <w:ilvl w:val="0"/>
                <w:numId w:val="58"/>
              </w:numPr>
              <w:ind w:left="357" w:hanging="357"/>
              <w:jc w:val="both"/>
              <w:rPr>
                <w:rFonts w:cstheme="minorHAnsi"/>
                <w:color w:val="000000"/>
              </w:rPr>
            </w:pPr>
            <w:r>
              <w:rPr>
                <w:rFonts w:ascii="Calibri" w:eastAsia="Times New Roman" w:hAnsi="Calibri" w:cs="Calibri"/>
                <w:color w:val="000000"/>
                <w:lang w:eastAsia="es-EC"/>
              </w:rPr>
              <w:t>3 impresoras multifunción a color</w:t>
            </w:r>
          </w:p>
          <w:p w14:paraId="3BAA9268" w14:textId="77777777" w:rsidR="007B3093" w:rsidRDefault="00000000">
            <w:pPr>
              <w:pStyle w:val="Prrafodelista"/>
              <w:numPr>
                <w:ilvl w:val="0"/>
                <w:numId w:val="58"/>
              </w:numPr>
              <w:ind w:left="357" w:hanging="357"/>
              <w:jc w:val="both"/>
              <w:rPr>
                <w:rFonts w:cstheme="minorHAnsi"/>
                <w:color w:val="000000"/>
              </w:rPr>
            </w:pPr>
            <w:r>
              <w:rPr>
                <w:rFonts w:cstheme="minorHAnsi"/>
                <w:color w:val="000000"/>
              </w:rPr>
              <w:t>20 tóner impresora multifunción</w:t>
            </w:r>
          </w:p>
          <w:p w14:paraId="19BF86CF" w14:textId="77777777" w:rsidR="007B3093" w:rsidRDefault="00000000">
            <w:pPr>
              <w:pStyle w:val="Prrafodelista"/>
              <w:numPr>
                <w:ilvl w:val="0"/>
                <w:numId w:val="58"/>
              </w:numPr>
              <w:ind w:left="357" w:hanging="357"/>
              <w:jc w:val="both"/>
              <w:rPr>
                <w:rFonts w:cstheme="minorHAnsi"/>
                <w:color w:val="000000"/>
              </w:rPr>
            </w:pPr>
            <w:r>
              <w:rPr>
                <w:rFonts w:cstheme="minorHAnsi"/>
                <w:color w:val="000000"/>
              </w:rPr>
              <w:t xml:space="preserve"> </w:t>
            </w:r>
            <w:proofErr w:type="gramStart"/>
            <w:r>
              <w:rPr>
                <w:rFonts w:cstheme="minorHAnsi"/>
                <w:color w:val="000000"/>
              </w:rPr>
              <w:t>Tóner impresora</w:t>
            </w:r>
            <w:proofErr w:type="gramEnd"/>
            <w:r>
              <w:rPr>
                <w:rFonts w:cstheme="minorHAnsi"/>
                <w:color w:val="000000"/>
              </w:rPr>
              <w:t xml:space="preserve"> multifunción a color</w:t>
            </w:r>
          </w:p>
        </w:tc>
      </w:tr>
    </w:tbl>
    <w:p w14:paraId="12FF3A79"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914"/>
      </w:tblGrid>
      <w:tr w:rsidR="007B3093" w14:paraId="2989A374" w14:textId="77777777">
        <w:tc>
          <w:tcPr>
            <w:tcW w:w="5000" w:type="pct"/>
            <w:gridSpan w:val="2"/>
          </w:tcPr>
          <w:p w14:paraId="6472F764" w14:textId="77777777" w:rsidR="007B3093" w:rsidRDefault="00000000">
            <w:pPr>
              <w:contextualSpacing/>
              <w:jc w:val="both"/>
              <w:rPr>
                <w:rFonts w:cstheme="minorHAnsi"/>
                <w:b/>
                <w:color w:val="000000"/>
              </w:rPr>
            </w:pPr>
            <w:r>
              <w:rPr>
                <w:rFonts w:cstheme="minorHAnsi"/>
                <w:b/>
                <w:color w:val="000000"/>
              </w:rPr>
              <w:t>Adquisición de equipos para renovación parcial del parque informático, usuario final a nivel nacional para fortalecer el hardware de la Procuraduría General del Estado</w:t>
            </w:r>
          </w:p>
        </w:tc>
      </w:tr>
      <w:tr w:rsidR="007B3093" w14:paraId="6E741AEA" w14:textId="77777777">
        <w:tc>
          <w:tcPr>
            <w:tcW w:w="930" w:type="pct"/>
          </w:tcPr>
          <w:p w14:paraId="205050BD" w14:textId="77777777" w:rsidR="007B3093" w:rsidRDefault="00000000">
            <w:pPr>
              <w:contextualSpacing/>
              <w:jc w:val="both"/>
              <w:rPr>
                <w:rFonts w:cstheme="minorHAnsi"/>
                <w:b/>
              </w:rPr>
            </w:pPr>
            <w:r>
              <w:rPr>
                <w:rFonts w:cstheme="minorHAnsi"/>
                <w:b/>
              </w:rPr>
              <w:t xml:space="preserve">Objetivo: </w:t>
            </w:r>
          </w:p>
        </w:tc>
        <w:tc>
          <w:tcPr>
            <w:tcW w:w="4070" w:type="pct"/>
          </w:tcPr>
          <w:p w14:paraId="443633F5" w14:textId="77777777" w:rsidR="007B3093" w:rsidRDefault="00000000">
            <w:pPr>
              <w:jc w:val="both"/>
            </w:pPr>
            <w:r>
              <w:t>Fortalecer el parque informático de la PGE mediante la adquisición de equipos para usuario final e indispensables para la adecuada prestación de los servicios y funciones que cumplen las direcciones misionales y regionales de la Procuraduría General del Estado.</w:t>
            </w:r>
          </w:p>
        </w:tc>
      </w:tr>
      <w:tr w:rsidR="007B3093" w14:paraId="27BF7602" w14:textId="77777777">
        <w:tc>
          <w:tcPr>
            <w:tcW w:w="930" w:type="pct"/>
          </w:tcPr>
          <w:p w14:paraId="773965D6" w14:textId="77777777" w:rsidR="007B3093" w:rsidRDefault="00000000">
            <w:pPr>
              <w:contextualSpacing/>
              <w:jc w:val="both"/>
              <w:rPr>
                <w:rFonts w:cstheme="minorHAnsi"/>
                <w:b/>
              </w:rPr>
            </w:pPr>
            <w:r>
              <w:rPr>
                <w:rFonts w:cstheme="minorHAnsi"/>
                <w:b/>
              </w:rPr>
              <w:t xml:space="preserve">Insumos: </w:t>
            </w:r>
          </w:p>
        </w:tc>
        <w:tc>
          <w:tcPr>
            <w:tcW w:w="4070" w:type="pct"/>
          </w:tcPr>
          <w:p w14:paraId="7004B30F" w14:textId="77777777" w:rsidR="007B3093" w:rsidRDefault="00000000">
            <w:pPr>
              <w:pStyle w:val="Prrafodelista"/>
              <w:numPr>
                <w:ilvl w:val="0"/>
                <w:numId w:val="59"/>
              </w:numPr>
              <w:tabs>
                <w:tab w:val="left" w:pos="-1440"/>
              </w:tabs>
              <w:ind w:left="357" w:hanging="357"/>
              <w:jc w:val="both"/>
              <w:rPr>
                <w:rFonts w:cstheme="minorHAnsi"/>
              </w:rPr>
            </w:pPr>
            <w:r>
              <w:rPr>
                <w:rFonts w:ascii="Calibri" w:eastAsia="Times New Roman" w:hAnsi="Calibri" w:cs="Calibri"/>
                <w:color w:val="000000"/>
                <w:szCs w:val="18"/>
                <w:lang w:eastAsia="es-EC"/>
              </w:rPr>
              <w:t>Diagnóstico situacional y propuesta de direccionamiento estratégico;</w:t>
            </w:r>
          </w:p>
          <w:p w14:paraId="7F562B13" w14:textId="77777777" w:rsidR="007B3093" w:rsidRDefault="00000000">
            <w:pPr>
              <w:pStyle w:val="Prrafodelista"/>
              <w:numPr>
                <w:ilvl w:val="0"/>
                <w:numId w:val="59"/>
              </w:numPr>
              <w:tabs>
                <w:tab w:val="left" w:pos="-1440"/>
              </w:tabs>
              <w:ind w:left="357" w:hanging="357"/>
              <w:jc w:val="both"/>
              <w:rPr>
                <w:rFonts w:cstheme="minorHAnsi"/>
              </w:rPr>
            </w:pPr>
            <w:r>
              <w:rPr>
                <w:rFonts w:ascii="Calibri" w:eastAsia="Times New Roman" w:hAnsi="Calibri" w:cs="Calibri"/>
                <w:color w:val="000000"/>
                <w:szCs w:val="18"/>
                <w:lang w:eastAsia="es-EC"/>
              </w:rPr>
              <w:t>Propuesta de agenda digital institucional.</w:t>
            </w:r>
          </w:p>
        </w:tc>
      </w:tr>
      <w:tr w:rsidR="007B3093" w14:paraId="5022FBE9" w14:textId="77777777">
        <w:tc>
          <w:tcPr>
            <w:tcW w:w="930" w:type="pct"/>
          </w:tcPr>
          <w:p w14:paraId="771EF92C" w14:textId="77777777" w:rsidR="007B3093" w:rsidRDefault="00000000">
            <w:pPr>
              <w:contextualSpacing/>
              <w:jc w:val="both"/>
              <w:rPr>
                <w:rFonts w:cstheme="minorHAnsi"/>
                <w:b/>
              </w:rPr>
            </w:pPr>
            <w:r>
              <w:rPr>
                <w:rFonts w:cstheme="minorHAnsi"/>
                <w:b/>
              </w:rPr>
              <w:t xml:space="preserve">Productos: </w:t>
            </w:r>
          </w:p>
        </w:tc>
        <w:tc>
          <w:tcPr>
            <w:tcW w:w="4070" w:type="pct"/>
          </w:tcPr>
          <w:p w14:paraId="7A4A1400" w14:textId="77777777" w:rsidR="007B3093" w:rsidRDefault="00000000">
            <w:pPr>
              <w:pStyle w:val="Prrafodelista"/>
              <w:numPr>
                <w:ilvl w:val="0"/>
                <w:numId w:val="60"/>
              </w:numPr>
              <w:ind w:left="357" w:hanging="357"/>
              <w:jc w:val="both"/>
              <w:rPr>
                <w:rFonts w:cstheme="minorHAnsi"/>
                <w:color w:val="000000"/>
              </w:rPr>
            </w:pPr>
            <w:r>
              <w:rPr>
                <w:rFonts w:ascii="Calibri" w:eastAsia="Times New Roman" w:hAnsi="Calibri" w:cs="Calibri"/>
                <w:color w:val="000000"/>
                <w:lang w:eastAsia="es-EC"/>
              </w:rPr>
              <w:t>Computadores portátiles (usuario final)</w:t>
            </w:r>
          </w:p>
          <w:p w14:paraId="06EE507F" w14:textId="77777777" w:rsidR="007B3093" w:rsidRDefault="00000000">
            <w:pPr>
              <w:pStyle w:val="Prrafodelista"/>
              <w:numPr>
                <w:ilvl w:val="0"/>
                <w:numId w:val="60"/>
              </w:numPr>
              <w:ind w:left="357" w:hanging="357"/>
              <w:jc w:val="both"/>
              <w:rPr>
                <w:rFonts w:cstheme="minorHAnsi"/>
                <w:color w:val="000000"/>
              </w:rPr>
            </w:pPr>
            <w:r>
              <w:rPr>
                <w:rFonts w:ascii="Calibri" w:eastAsia="Times New Roman" w:hAnsi="Calibri" w:cs="Calibri"/>
                <w:color w:val="000000"/>
                <w:lang w:eastAsia="es-EC"/>
              </w:rPr>
              <w:t>Computadores portátiles (usuario TI)</w:t>
            </w:r>
          </w:p>
          <w:p w14:paraId="7F92BB6D" w14:textId="77777777" w:rsidR="007B3093" w:rsidRDefault="00000000">
            <w:pPr>
              <w:pStyle w:val="Prrafodelista"/>
              <w:numPr>
                <w:ilvl w:val="0"/>
                <w:numId w:val="60"/>
              </w:numPr>
              <w:ind w:left="357" w:hanging="357"/>
              <w:jc w:val="both"/>
              <w:rPr>
                <w:rFonts w:cstheme="minorHAnsi"/>
                <w:color w:val="000000"/>
              </w:rPr>
            </w:pPr>
            <w:r>
              <w:rPr>
                <w:rFonts w:ascii="Calibri" w:eastAsia="Times New Roman" w:hAnsi="Calibri" w:cs="Calibri"/>
                <w:color w:val="000000"/>
                <w:lang w:eastAsia="es-EC"/>
              </w:rPr>
              <w:t>Escáner de alta velocidad</w:t>
            </w:r>
          </w:p>
          <w:p w14:paraId="3B2D33A4" w14:textId="77777777" w:rsidR="007B3093" w:rsidRDefault="00000000">
            <w:pPr>
              <w:pStyle w:val="Prrafodelista"/>
              <w:numPr>
                <w:ilvl w:val="0"/>
                <w:numId w:val="60"/>
              </w:numPr>
              <w:ind w:left="357" w:hanging="357"/>
              <w:jc w:val="both"/>
              <w:rPr>
                <w:rFonts w:cstheme="minorHAnsi"/>
                <w:color w:val="000000"/>
              </w:rPr>
            </w:pPr>
            <w:r>
              <w:rPr>
                <w:rFonts w:ascii="Calibri" w:eastAsia="Times New Roman" w:hAnsi="Calibri" w:cs="Calibri"/>
                <w:color w:val="000000"/>
                <w:lang w:eastAsia="es-EC"/>
              </w:rPr>
              <w:t>Impresoras multifunción</w:t>
            </w:r>
          </w:p>
        </w:tc>
      </w:tr>
    </w:tbl>
    <w:p w14:paraId="6926F19C" w14:textId="77777777" w:rsidR="007B3093" w:rsidRDefault="007B3093">
      <w:pPr>
        <w:spacing w:after="0" w:line="240" w:lineRule="auto"/>
        <w:contextualSpacing/>
        <w:rPr>
          <w:rFonts w:cstheme="minorHAnsi"/>
        </w:rPr>
      </w:pPr>
    </w:p>
    <w:p w14:paraId="160FD0F4"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914"/>
      </w:tblGrid>
      <w:tr w:rsidR="007B3093" w14:paraId="7EE907F3" w14:textId="77777777">
        <w:tc>
          <w:tcPr>
            <w:tcW w:w="5000" w:type="pct"/>
            <w:gridSpan w:val="2"/>
          </w:tcPr>
          <w:p w14:paraId="77CFEDF7" w14:textId="77777777" w:rsidR="007B3093" w:rsidRDefault="00000000">
            <w:pPr>
              <w:contextualSpacing/>
              <w:jc w:val="both"/>
              <w:rPr>
                <w:rFonts w:cstheme="minorHAnsi"/>
                <w:b/>
                <w:color w:val="000000"/>
              </w:rPr>
            </w:pPr>
            <w:r>
              <w:rPr>
                <w:rFonts w:cstheme="minorHAnsi"/>
                <w:b/>
                <w:color w:val="000000"/>
              </w:rPr>
              <w:t>Adquisición de equipos para renovación parcial de equipos informáticos de usuario final a nivel nacional para fortalecer el hardware de la Procuraduría General del Estado</w:t>
            </w:r>
          </w:p>
        </w:tc>
      </w:tr>
      <w:tr w:rsidR="007B3093" w14:paraId="4F241541" w14:textId="77777777">
        <w:tc>
          <w:tcPr>
            <w:tcW w:w="930" w:type="pct"/>
          </w:tcPr>
          <w:p w14:paraId="4CE2F2C8" w14:textId="77777777" w:rsidR="007B3093" w:rsidRDefault="00000000">
            <w:pPr>
              <w:contextualSpacing/>
              <w:jc w:val="both"/>
              <w:rPr>
                <w:rFonts w:cstheme="minorHAnsi"/>
                <w:b/>
              </w:rPr>
            </w:pPr>
            <w:r>
              <w:rPr>
                <w:rFonts w:cstheme="minorHAnsi"/>
                <w:b/>
              </w:rPr>
              <w:t xml:space="preserve">Objetivo: </w:t>
            </w:r>
          </w:p>
        </w:tc>
        <w:tc>
          <w:tcPr>
            <w:tcW w:w="4070" w:type="pct"/>
          </w:tcPr>
          <w:p w14:paraId="3988C616" w14:textId="77777777" w:rsidR="007B3093" w:rsidRDefault="00000000">
            <w:pPr>
              <w:jc w:val="both"/>
            </w:pPr>
            <w:r>
              <w:t xml:space="preserve">Fortalecer el parque informático de la PGE mediante la adquisición de equipos para usuario final e indispensables para la adecuada prestación de </w:t>
            </w:r>
            <w:r>
              <w:lastRenderedPageBreak/>
              <w:t>los servicios y funciones que cumplen las direcciones misionales y regionales de la Procuraduría General del Estado.</w:t>
            </w:r>
          </w:p>
        </w:tc>
      </w:tr>
      <w:tr w:rsidR="007B3093" w14:paraId="1BD32E9B" w14:textId="77777777">
        <w:tc>
          <w:tcPr>
            <w:tcW w:w="930" w:type="pct"/>
          </w:tcPr>
          <w:p w14:paraId="36504198" w14:textId="77777777" w:rsidR="007B3093" w:rsidRDefault="00000000">
            <w:pPr>
              <w:contextualSpacing/>
              <w:jc w:val="both"/>
              <w:rPr>
                <w:rFonts w:cstheme="minorHAnsi"/>
                <w:b/>
              </w:rPr>
            </w:pPr>
            <w:r>
              <w:rPr>
                <w:rFonts w:cstheme="minorHAnsi"/>
                <w:b/>
              </w:rPr>
              <w:lastRenderedPageBreak/>
              <w:t xml:space="preserve">Insumos: </w:t>
            </w:r>
          </w:p>
        </w:tc>
        <w:tc>
          <w:tcPr>
            <w:tcW w:w="4070" w:type="pct"/>
          </w:tcPr>
          <w:p w14:paraId="3FF13C09" w14:textId="77777777" w:rsidR="007B3093" w:rsidRDefault="00000000">
            <w:pPr>
              <w:pStyle w:val="Prrafodelista"/>
              <w:numPr>
                <w:ilvl w:val="0"/>
                <w:numId w:val="92"/>
              </w:numPr>
              <w:tabs>
                <w:tab w:val="left" w:pos="-1440"/>
              </w:tabs>
              <w:ind w:left="357" w:hanging="357"/>
              <w:jc w:val="both"/>
              <w:rPr>
                <w:rFonts w:cstheme="minorHAnsi"/>
              </w:rPr>
            </w:pPr>
            <w:r>
              <w:rPr>
                <w:rFonts w:ascii="Calibri" w:eastAsia="Times New Roman" w:hAnsi="Calibri" w:cs="Calibri"/>
                <w:color w:val="000000"/>
                <w:szCs w:val="18"/>
                <w:lang w:eastAsia="es-EC"/>
              </w:rPr>
              <w:t>Diagnóstico situacional y propuesta de direccionamiento estratégico;</w:t>
            </w:r>
          </w:p>
          <w:p w14:paraId="2498FA9D" w14:textId="77777777" w:rsidR="007B3093" w:rsidRDefault="00000000">
            <w:pPr>
              <w:pStyle w:val="Prrafodelista"/>
              <w:numPr>
                <w:ilvl w:val="0"/>
                <w:numId w:val="92"/>
              </w:numPr>
              <w:tabs>
                <w:tab w:val="left" w:pos="-1440"/>
              </w:tabs>
              <w:ind w:left="357" w:hanging="357"/>
              <w:jc w:val="both"/>
              <w:rPr>
                <w:rFonts w:cstheme="minorHAnsi"/>
              </w:rPr>
            </w:pPr>
            <w:r>
              <w:rPr>
                <w:rFonts w:ascii="Calibri" w:eastAsia="Times New Roman" w:hAnsi="Calibri" w:cs="Calibri"/>
                <w:color w:val="000000"/>
                <w:szCs w:val="18"/>
                <w:lang w:eastAsia="es-EC"/>
              </w:rPr>
              <w:t>Propuesta de agenda digital institucional.</w:t>
            </w:r>
          </w:p>
        </w:tc>
      </w:tr>
      <w:tr w:rsidR="007B3093" w14:paraId="2369038B" w14:textId="77777777">
        <w:tc>
          <w:tcPr>
            <w:tcW w:w="930" w:type="pct"/>
          </w:tcPr>
          <w:p w14:paraId="0FAFB46C" w14:textId="77777777" w:rsidR="007B3093" w:rsidRDefault="00000000">
            <w:pPr>
              <w:contextualSpacing/>
              <w:jc w:val="both"/>
              <w:rPr>
                <w:rFonts w:cstheme="minorHAnsi"/>
                <w:b/>
              </w:rPr>
            </w:pPr>
            <w:r>
              <w:rPr>
                <w:rFonts w:cstheme="minorHAnsi"/>
                <w:b/>
              </w:rPr>
              <w:t xml:space="preserve">Productos: </w:t>
            </w:r>
          </w:p>
        </w:tc>
        <w:tc>
          <w:tcPr>
            <w:tcW w:w="4070" w:type="pct"/>
          </w:tcPr>
          <w:p w14:paraId="62A94AFB" w14:textId="77777777" w:rsidR="007B3093" w:rsidRDefault="00000000">
            <w:pPr>
              <w:pStyle w:val="Prrafodelista"/>
              <w:numPr>
                <w:ilvl w:val="0"/>
                <w:numId w:val="97"/>
              </w:numPr>
              <w:ind w:left="0" w:firstLine="357"/>
              <w:jc w:val="both"/>
              <w:rPr>
                <w:rFonts w:cstheme="minorHAnsi"/>
                <w:color w:val="000000"/>
              </w:rPr>
            </w:pPr>
            <w:r>
              <w:rPr>
                <w:rFonts w:ascii="Calibri" w:eastAsia="Times New Roman" w:hAnsi="Calibri" w:cs="Calibri"/>
                <w:color w:val="000000"/>
                <w:lang w:eastAsia="es-EC"/>
              </w:rPr>
              <w:t>Computadores portátiles (usuario final)</w:t>
            </w:r>
          </w:p>
          <w:p w14:paraId="13AE5E6C" w14:textId="77777777" w:rsidR="007B3093" w:rsidRDefault="00000000">
            <w:pPr>
              <w:pStyle w:val="Prrafodelista"/>
              <w:numPr>
                <w:ilvl w:val="0"/>
                <w:numId w:val="97"/>
              </w:numPr>
              <w:ind w:left="0" w:firstLine="357"/>
              <w:jc w:val="both"/>
              <w:rPr>
                <w:rFonts w:cstheme="minorHAnsi"/>
                <w:color w:val="000000"/>
              </w:rPr>
            </w:pPr>
            <w:r>
              <w:rPr>
                <w:rFonts w:ascii="Calibri" w:eastAsia="Times New Roman" w:hAnsi="Calibri" w:cs="Calibri"/>
                <w:color w:val="000000"/>
                <w:lang w:eastAsia="es-EC"/>
              </w:rPr>
              <w:t>Computadores de escritorio (usuario TI)</w:t>
            </w:r>
          </w:p>
        </w:tc>
      </w:tr>
    </w:tbl>
    <w:p w14:paraId="0EB9A8B7" w14:textId="77777777" w:rsidR="007B3093" w:rsidRDefault="00000000">
      <w:pPr>
        <w:spacing w:after="0" w:line="240" w:lineRule="auto"/>
        <w:contextualSpacing/>
        <w:jc w:val="both"/>
        <w:rPr>
          <w:rFonts w:cstheme="minorHAnsi"/>
          <w:sz w:val="20"/>
          <w:szCs w:val="20"/>
        </w:rPr>
      </w:pPr>
      <w:r>
        <w:rPr>
          <w:rFonts w:cstheme="minorHAnsi"/>
          <w:sz w:val="20"/>
          <w:szCs w:val="20"/>
        </w:rPr>
        <w:t>Nota:  Dado que la Procuraduría General del Estado no es una entidad dependiente del Ejecutivo, no requiere aval para adquisición de Hardware, acorde lo determinado en el Código Orgánico de la Economía social de los Conocimientos, Creatividad e Innovación, Apartado II, De las Tecnologías Libres y Formatos Abiertos.</w:t>
      </w:r>
    </w:p>
    <w:p w14:paraId="038A3752"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03FB98D4" w14:textId="77777777">
        <w:trPr>
          <w:trHeight w:val="401"/>
        </w:trPr>
        <w:tc>
          <w:tcPr>
            <w:tcW w:w="5000" w:type="pct"/>
            <w:shd w:val="clear" w:color="auto" w:fill="ACB9CA" w:themeFill="text2" w:themeFillTint="66"/>
          </w:tcPr>
          <w:p w14:paraId="6878F929" w14:textId="77777777" w:rsidR="007B3093" w:rsidRDefault="00000000">
            <w:pPr>
              <w:pStyle w:val="Prrafodelista"/>
              <w:ind w:left="240"/>
              <w:jc w:val="center"/>
              <w:rPr>
                <w:rFonts w:cstheme="minorHAnsi"/>
                <w:color w:val="000000"/>
              </w:rPr>
            </w:pPr>
            <w:r>
              <w:rPr>
                <w:rFonts w:cstheme="minorHAnsi"/>
                <w:b/>
              </w:rPr>
              <w:t>ACTIVIDAD 1.5</w:t>
            </w:r>
          </w:p>
        </w:tc>
      </w:tr>
      <w:tr w:rsidR="007B3093" w14:paraId="5A1EF75C" w14:textId="77777777">
        <w:trPr>
          <w:trHeight w:val="380"/>
        </w:trPr>
        <w:tc>
          <w:tcPr>
            <w:tcW w:w="5000" w:type="pct"/>
          </w:tcPr>
          <w:p w14:paraId="6622A4F3" w14:textId="77777777" w:rsidR="007B3093" w:rsidRDefault="00000000">
            <w:pPr>
              <w:contextualSpacing/>
              <w:jc w:val="both"/>
              <w:rPr>
                <w:rFonts w:cstheme="minorHAnsi"/>
                <w:b/>
                <w:color w:val="000000"/>
              </w:rPr>
            </w:pPr>
            <w:r>
              <w:rPr>
                <w:rFonts w:cstheme="minorHAnsi"/>
                <w:b/>
                <w:color w:val="000000"/>
              </w:rPr>
              <w:t xml:space="preserve">Administración del Proyecto </w:t>
            </w:r>
          </w:p>
        </w:tc>
      </w:tr>
    </w:tbl>
    <w:p w14:paraId="710472A4"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914"/>
      </w:tblGrid>
      <w:tr w:rsidR="007B3093" w14:paraId="19A788E4" w14:textId="77777777">
        <w:tc>
          <w:tcPr>
            <w:tcW w:w="5000" w:type="pct"/>
            <w:gridSpan w:val="2"/>
          </w:tcPr>
          <w:p w14:paraId="52AEDED6" w14:textId="77777777" w:rsidR="007B3093" w:rsidRDefault="00000000">
            <w:pPr>
              <w:contextualSpacing/>
              <w:jc w:val="both"/>
              <w:rPr>
                <w:rFonts w:cstheme="minorHAnsi"/>
                <w:b/>
                <w:color w:val="000000"/>
              </w:rPr>
            </w:pPr>
            <w:r>
              <w:rPr>
                <w:rFonts w:cstheme="minorHAnsi"/>
                <w:b/>
                <w:color w:val="000000"/>
              </w:rPr>
              <w:t>Contratos de Servicios profesionales para la Administración del Proyecto de Fortalecimiento Institucional de la PGE</w:t>
            </w:r>
          </w:p>
        </w:tc>
      </w:tr>
      <w:tr w:rsidR="007B3093" w14:paraId="3B6A23FD" w14:textId="77777777">
        <w:tc>
          <w:tcPr>
            <w:tcW w:w="930" w:type="pct"/>
          </w:tcPr>
          <w:p w14:paraId="4B3B61CD" w14:textId="77777777" w:rsidR="007B3093" w:rsidRDefault="00000000">
            <w:pPr>
              <w:contextualSpacing/>
              <w:jc w:val="both"/>
              <w:rPr>
                <w:rFonts w:cstheme="minorHAnsi"/>
                <w:b/>
              </w:rPr>
            </w:pPr>
            <w:r>
              <w:rPr>
                <w:rFonts w:cstheme="minorHAnsi"/>
                <w:b/>
              </w:rPr>
              <w:t xml:space="preserve">Objetivo: </w:t>
            </w:r>
          </w:p>
        </w:tc>
        <w:tc>
          <w:tcPr>
            <w:tcW w:w="4070" w:type="pct"/>
          </w:tcPr>
          <w:p w14:paraId="4023E08C" w14:textId="77777777" w:rsidR="007B3093" w:rsidRDefault="00000000">
            <w:pPr>
              <w:pStyle w:val="Prrafodelista"/>
              <w:ind w:left="240"/>
              <w:jc w:val="both"/>
              <w:rPr>
                <w:rFonts w:cstheme="minorHAnsi"/>
                <w:color w:val="000000"/>
              </w:rPr>
            </w:pPr>
            <w:r>
              <w:rPr>
                <w:rFonts w:cstheme="minorHAnsi"/>
                <w:color w:val="000000"/>
              </w:rPr>
              <w:t xml:space="preserve">Ejecutar mediante la administración eficaz de los recursos otorgados al proyecto las acciones necesarias para el alcanzar los objetivos </w:t>
            </w:r>
            <w:proofErr w:type="gramStart"/>
            <w:r>
              <w:rPr>
                <w:rFonts w:cstheme="minorHAnsi"/>
                <w:color w:val="000000"/>
              </w:rPr>
              <w:t>del mismo</w:t>
            </w:r>
            <w:proofErr w:type="gramEnd"/>
            <w:r>
              <w:rPr>
                <w:rFonts w:cstheme="minorHAnsi"/>
                <w:color w:val="000000"/>
              </w:rPr>
              <w:t>.</w:t>
            </w:r>
          </w:p>
        </w:tc>
      </w:tr>
      <w:tr w:rsidR="007B3093" w14:paraId="0B909DE9" w14:textId="77777777">
        <w:trPr>
          <w:trHeight w:val="487"/>
        </w:trPr>
        <w:tc>
          <w:tcPr>
            <w:tcW w:w="930" w:type="pct"/>
          </w:tcPr>
          <w:p w14:paraId="71F38589" w14:textId="77777777" w:rsidR="007B3093" w:rsidRDefault="00000000">
            <w:pPr>
              <w:contextualSpacing/>
              <w:jc w:val="both"/>
              <w:rPr>
                <w:rFonts w:cstheme="minorHAnsi"/>
                <w:b/>
              </w:rPr>
            </w:pPr>
            <w:r>
              <w:rPr>
                <w:rFonts w:cstheme="minorHAnsi"/>
                <w:b/>
              </w:rPr>
              <w:t xml:space="preserve">Insumos: </w:t>
            </w:r>
          </w:p>
        </w:tc>
        <w:tc>
          <w:tcPr>
            <w:tcW w:w="4070" w:type="pct"/>
          </w:tcPr>
          <w:p w14:paraId="2656D6CD" w14:textId="77777777" w:rsidR="007B3093" w:rsidRDefault="00000000">
            <w:pPr>
              <w:pStyle w:val="Prrafodelista"/>
              <w:numPr>
                <w:ilvl w:val="0"/>
                <w:numId w:val="46"/>
              </w:numPr>
              <w:ind w:left="317"/>
              <w:jc w:val="both"/>
              <w:rPr>
                <w:rFonts w:cstheme="minorHAnsi"/>
                <w:color w:val="000000"/>
              </w:rPr>
            </w:pPr>
            <w:r>
              <w:rPr>
                <w:rFonts w:cstheme="minorHAnsi"/>
                <w:color w:val="000000"/>
              </w:rPr>
              <w:t>Recursos humanos.</w:t>
            </w:r>
          </w:p>
          <w:p w14:paraId="6C7B3E07" w14:textId="77777777" w:rsidR="007B3093" w:rsidRDefault="00000000">
            <w:pPr>
              <w:pStyle w:val="Prrafodelista"/>
              <w:numPr>
                <w:ilvl w:val="0"/>
                <w:numId w:val="46"/>
              </w:numPr>
              <w:ind w:left="317"/>
              <w:jc w:val="both"/>
              <w:rPr>
                <w:rFonts w:cstheme="minorHAnsi"/>
                <w:color w:val="000000"/>
              </w:rPr>
            </w:pPr>
            <w:r>
              <w:rPr>
                <w:rFonts w:cstheme="minorHAnsi"/>
                <w:color w:val="000000"/>
              </w:rPr>
              <w:t>Recursos financieros.</w:t>
            </w:r>
          </w:p>
          <w:p w14:paraId="4F077E4A" w14:textId="77777777" w:rsidR="007B3093" w:rsidRDefault="00000000">
            <w:pPr>
              <w:pStyle w:val="Prrafodelista"/>
              <w:numPr>
                <w:ilvl w:val="0"/>
                <w:numId w:val="46"/>
              </w:numPr>
              <w:ind w:left="317"/>
              <w:jc w:val="both"/>
              <w:rPr>
                <w:rFonts w:cstheme="minorHAnsi"/>
                <w:color w:val="000000"/>
              </w:rPr>
            </w:pPr>
            <w:r>
              <w:rPr>
                <w:rFonts w:cstheme="minorHAnsi"/>
                <w:color w:val="000000"/>
              </w:rPr>
              <w:t>Materiales</w:t>
            </w:r>
          </w:p>
          <w:p w14:paraId="6D84BE83" w14:textId="77777777" w:rsidR="007B3093" w:rsidRDefault="00000000">
            <w:pPr>
              <w:pStyle w:val="Prrafodelista"/>
              <w:numPr>
                <w:ilvl w:val="0"/>
                <w:numId w:val="46"/>
              </w:numPr>
              <w:ind w:left="317"/>
              <w:jc w:val="both"/>
              <w:rPr>
                <w:rFonts w:cstheme="minorHAnsi"/>
                <w:color w:val="000000"/>
              </w:rPr>
            </w:pPr>
            <w:r>
              <w:rPr>
                <w:rFonts w:cstheme="minorHAnsi"/>
                <w:color w:val="000000"/>
              </w:rPr>
              <w:t>Equipo de oficina</w:t>
            </w:r>
          </w:p>
          <w:p w14:paraId="188D9B6F" w14:textId="77777777" w:rsidR="007B3093" w:rsidRDefault="00000000">
            <w:pPr>
              <w:pStyle w:val="Prrafodelista"/>
              <w:numPr>
                <w:ilvl w:val="0"/>
                <w:numId w:val="46"/>
              </w:numPr>
              <w:ind w:left="317"/>
              <w:jc w:val="both"/>
              <w:rPr>
                <w:rFonts w:cstheme="minorHAnsi"/>
                <w:color w:val="000000"/>
              </w:rPr>
            </w:pPr>
            <w:r>
              <w:rPr>
                <w:rFonts w:cstheme="minorHAnsi"/>
                <w:color w:val="000000"/>
              </w:rPr>
              <w:t>Reglamento Operativo del Proyecto (ROP)</w:t>
            </w:r>
          </w:p>
        </w:tc>
      </w:tr>
      <w:tr w:rsidR="007B3093" w14:paraId="524AC8F3" w14:textId="77777777">
        <w:tc>
          <w:tcPr>
            <w:tcW w:w="930" w:type="pct"/>
          </w:tcPr>
          <w:p w14:paraId="4606AA0B" w14:textId="77777777" w:rsidR="007B3093" w:rsidRDefault="00000000">
            <w:pPr>
              <w:contextualSpacing/>
              <w:jc w:val="both"/>
              <w:rPr>
                <w:rFonts w:cstheme="minorHAnsi"/>
                <w:b/>
              </w:rPr>
            </w:pPr>
            <w:r>
              <w:rPr>
                <w:rFonts w:cstheme="minorHAnsi"/>
                <w:b/>
              </w:rPr>
              <w:t xml:space="preserve">Productos: </w:t>
            </w:r>
          </w:p>
        </w:tc>
        <w:tc>
          <w:tcPr>
            <w:tcW w:w="4070" w:type="pct"/>
          </w:tcPr>
          <w:p w14:paraId="08B63CE5" w14:textId="77777777" w:rsidR="007B3093" w:rsidRDefault="00000000">
            <w:pPr>
              <w:pStyle w:val="Prrafodelista"/>
              <w:numPr>
                <w:ilvl w:val="0"/>
                <w:numId w:val="84"/>
              </w:numPr>
              <w:ind w:left="357" w:hanging="357"/>
              <w:jc w:val="both"/>
              <w:rPr>
                <w:rFonts w:cstheme="minorHAnsi"/>
                <w:color w:val="000000"/>
              </w:rPr>
            </w:pPr>
            <w:r>
              <w:rPr>
                <w:rFonts w:cstheme="minorHAnsi"/>
                <w:color w:val="000000"/>
              </w:rPr>
              <w:t>Informes de gestión de avance de proyecto.</w:t>
            </w:r>
          </w:p>
        </w:tc>
      </w:tr>
    </w:tbl>
    <w:p w14:paraId="1A0BEF1E" w14:textId="77777777" w:rsidR="007B3093" w:rsidRDefault="007B3093">
      <w:pPr>
        <w:spacing w:after="0" w:line="240" w:lineRule="auto"/>
        <w:contextualSpacing/>
        <w:rPr>
          <w:rFonts w:cstheme="minorHAnsi"/>
        </w:rPr>
      </w:pPr>
    </w:p>
    <w:p w14:paraId="56E10765"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3186D04C" w14:textId="77777777">
        <w:trPr>
          <w:trHeight w:val="217"/>
        </w:trPr>
        <w:tc>
          <w:tcPr>
            <w:tcW w:w="5000" w:type="pct"/>
            <w:shd w:val="clear" w:color="auto" w:fill="222A35" w:themeFill="text2" w:themeFillShade="80"/>
          </w:tcPr>
          <w:p w14:paraId="11E5A20F" w14:textId="77777777" w:rsidR="007B3093" w:rsidRDefault="00000000">
            <w:pPr>
              <w:tabs>
                <w:tab w:val="left" w:pos="-1440"/>
              </w:tabs>
              <w:contextualSpacing/>
              <w:jc w:val="both"/>
              <w:rPr>
                <w:rFonts w:cstheme="minorHAnsi"/>
              </w:rPr>
            </w:pPr>
            <w:r>
              <w:rPr>
                <w:rFonts w:cstheme="minorHAnsi"/>
                <w:b/>
                <w:color w:val="FFFFFF" w:themeColor="background1"/>
              </w:rPr>
              <w:t>C2: Fortalecer la defensa legal del Estado</w:t>
            </w:r>
          </w:p>
        </w:tc>
      </w:tr>
    </w:tbl>
    <w:p w14:paraId="1BF1CBF4"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35A97D5B" w14:textId="77777777">
        <w:trPr>
          <w:trHeight w:val="211"/>
        </w:trPr>
        <w:tc>
          <w:tcPr>
            <w:tcW w:w="5000" w:type="pct"/>
            <w:shd w:val="clear" w:color="auto" w:fill="ACB9CA" w:themeFill="text2" w:themeFillTint="66"/>
          </w:tcPr>
          <w:p w14:paraId="262A090A" w14:textId="77777777" w:rsidR="007B3093" w:rsidRDefault="00000000">
            <w:pPr>
              <w:tabs>
                <w:tab w:val="left" w:pos="-1440"/>
              </w:tabs>
              <w:contextualSpacing/>
              <w:jc w:val="center"/>
              <w:rPr>
                <w:rFonts w:cstheme="minorHAnsi"/>
                <w:b/>
              </w:rPr>
            </w:pPr>
            <w:r>
              <w:rPr>
                <w:rFonts w:cstheme="minorHAnsi"/>
                <w:b/>
              </w:rPr>
              <w:t>ACTIVIDAD 2.1</w:t>
            </w:r>
          </w:p>
        </w:tc>
      </w:tr>
      <w:tr w:rsidR="007B3093" w14:paraId="65B57B34" w14:textId="77777777">
        <w:trPr>
          <w:trHeight w:val="377"/>
        </w:trPr>
        <w:tc>
          <w:tcPr>
            <w:tcW w:w="5000" w:type="pct"/>
          </w:tcPr>
          <w:p w14:paraId="423AD2CB" w14:textId="77777777" w:rsidR="007B3093" w:rsidRDefault="00000000">
            <w:pPr>
              <w:contextualSpacing/>
              <w:jc w:val="both"/>
              <w:rPr>
                <w:rFonts w:cstheme="minorHAnsi"/>
                <w:b/>
                <w:color w:val="000000"/>
              </w:rPr>
            </w:pPr>
            <w:r>
              <w:rPr>
                <w:rFonts w:cstheme="minorHAnsi"/>
                <w:b/>
                <w:color w:val="000000"/>
              </w:rPr>
              <w:t>Capacitar a los funcionarios de la PGE en temas jurídicos y gestión de casos orales.</w:t>
            </w:r>
          </w:p>
        </w:tc>
      </w:tr>
    </w:tbl>
    <w:p w14:paraId="7E446256"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7931EDA9" w14:textId="77777777">
        <w:tc>
          <w:tcPr>
            <w:tcW w:w="5000" w:type="pct"/>
            <w:gridSpan w:val="2"/>
          </w:tcPr>
          <w:p w14:paraId="207D8564" w14:textId="77777777" w:rsidR="007B3093" w:rsidRDefault="00000000">
            <w:pPr>
              <w:contextualSpacing/>
              <w:jc w:val="both"/>
              <w:rPr>
                <w:rFonts w:cstheme="minorHAnsi"/>
                <w:b/>
                <w:color w:val="000000"/>
              </w:rPr>
            </w:pPr>
            <w:r>
              <w:rPr>
                <w:rFonts w:cstheme="minorHAnsi"/>
                <w:b/>
                <w:color w:val="000000"/>
              </w:rPr>
              <w:t>Capacitación en la actualización de derecho procesal interamericano y de jurisprudencia de la Corte Interamericana de Derechos Humanos para las y los servidores de la Procuraduría General del Estado y funcionarios competentes del Estado ecuatoriano</w:t>
            </w:r>
          </w:p>
          <w:p w14:paraId="0A730275" w14:textId="77777777" w:rsidR="007B3093" w:rsidRDefault="00000000">
            <w:pPr>
              <w:tabs>
                <w:tab w:val="left" w:pos="-1440"/>
              </w:tabs>
              <w:contextualSpacing/>
              <w:jc w:val="both"/>
              <w:rPr>
                <w:rFonts w:cstheme="minorHAnsi"/>
                <w:b/>
              </w:rPr>
            </w:pPr>
            <w:r>
              <w:rPr>
                <w:rFonts w:cstheme="minorHAnsi"/>
                <w:b/>
              </w:rPr>
              <w:t xml:space="preserve"> </w:t>
            </w:r>
          </w:p>
        </w:tc>
      </w:tr>
      <w:tr w:rsidR="007B3093" w14:paraId="50203ADE" w14:textId="77777777">
        <w:trPr>
          <w:trHeight w:val="485"/>
        </w:trPr>
        <w:tc>
          <w:tcPr>
            <w:tcW w:w="723" w:type="pct"/>
          </w:tcPr>
          <w:p w14:paraId="0B775E37"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7D661428" w14:textId="77777777" w:rsidR="007B3093" w:rsidRDefault="00000000">
            <w:pPr>
              <w:pStyle w:val="Prrafodelista"/>
              <w:tabs>
                <w:tab w:val="left" w:pos="-1440"/>
              </w:tabs>
              <w:ind w:left="284"/>
              <w:jc w:val="both"/>
              <w:rPr>
                <w:rFonts w:cstheme="minorHAnsi"/>
              </w:rPr>
            </w:pPr>
            <w:r>
              <w:t xml:space="preserve">Optimizar y fortalecer las habilidades y destrezas de las y los servidores de la Procuraduría General del Estado y funcionarios competentes del Estado ecuatoriano en el patrocinio y defensa legal del Estado, a través de la ejecución de un curso de capacitación especializado en la actualización del Derecho Procesal Interamericano y de la Jurisprudencia de la Corte Interamericana.  </w:t>
            </w:r>
          </w:p>
        </w:tc>
      </w:tr>
      <w:tr w:rsidR="007B3093" w14:paraId="29AA7896" w14:textId="77777777">
        <w:tc>
          <w:tcPr>
            <w:tcW w:w="723" w:type="pct"/>
          </w:tcPr>
          <w:p w14:paraId="7F7F25B2" w14:textId="77777777" w:rsidR="007B3093" w:rsidRDefault="00000000">
            <w:pPr>
              <w:tabs>
                <w:tab w:val="left" w:pos="-1440"/>
              </w:tabs>
              <w:contextualSpacing/>
              <w:jc w:val="both"/>
              <w:rPr>
                <w:rFonts w:cstheme="minorHAnsi"/>
                <w:b/>
              </w:rPr>
            </w:pPr>
            <w:r>
              <w:rPr>
                <w:rFonts w:cstheme="minorHAnsi"/>
                <w:b/>
              </w:rPr>
              <w:lastRenderedPageBreak/>
              <w:t>Insumos:</w:t>
            </w:r>
          </w:p>
        </w:tc>
        <w:tc>
          <w:tcPr>
            <w:tcW w:w="4277" w:type="pct"/>
          </w:tcPr>
          <w:p w14:paraId="4BD60FB4" w14:textId="77777777" w:rsidR="007B3093" w:rsidRDefault="00000000">
            <w:pPr>
              <w:pStyle w:val="Prrafodelista"/>
              <w:numPr>
                <w:ilvl w:val="0"/>
                <w:numId w:val="12"/>
              </w:numPr>
              <w:tabs>
                <w:tab w:val="left" w:pos="-1440"/>
              </w:tabs>
              <w:ind w:left="357" w:hanging="357"/>
              <w:jc w:val="both"/>
              <w:rPr>
                <w:rFonts w:cstheme="minorHAnsi"/>
              </w:rPr>
            </w:pPr>
            <w:r>
              <w:rPr>
                <w:rFonts w:ascii="Calibri" w:eastAsia="Times New Roman" w:hAnsi="Calibri" w:cs="Calibri"/>
                <w:color w:val="000000"/>
                <w:lang w:eastAsia="es-EC"/>
              </w:rPr>
              <w:t>Diagnóstico situacional y propuesta de direccionamiento estratégico;</w:t>
            </w:r>
          </w:p>
          <w:p w14:paraId="6E2557E9" w14:textId="77777777" w:rsidR="007B3093" w:rsidRDefault="00000000">
            <w:pPr>
              <w:pStyle w:val="Prrafodelista"/>
              <w:numPr>
                <w:ilvl w:val="0"/>
                <w:numId w:val="12"/>
              </w:numPr>
              <w:tabs>
                <w:tab w:val="left" w:pos="-1440"/>
              </w:tabs>
              <w:ind w:left="357" w:hanging="357"/>
              <w:jc w:val="both"/>
              <w:rPr>
                <w:rFonts w:cstheme="minorHAnsi"/>
              </w:rPr>
            </w:pPr>
            <w:r>
              <w:rPr>
                <w:rFonts w:cstheme="minorHAnsi"/>
              </w:rPr>
              <w:t xml:space="preserve">Competencias y atribuciones institucionales </w:t>
            </w:r>
          </w:p>
        </w:tc>
      </w:tr>
      <w:tr w:rsidR="007B3093" w14:paraId="5EE9E6A0" w14:textId="77777777">
        <w:tc>
          <w:tcPr>
            <w:tcW w:w="723" w:type="pct"/>
          </w:tcPr>
          <w:p w14:paraId="0BE0DE8C"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4CC66259" w14:textId="77777777" w:rsidR="007B3093" w:rsidRDefault="00000000">
            <w:pPr>
              <w:pStyle w:val="Prrafodelista"/>
              <w:numPr>
                <w:ilvl w:val="0"/>
                <w:numId w:val="13"/>
              </w:numPr>
              <w:tabs>
                <w:tab w:val="left" w:pos="-1440"/>
              </w:tabs>
              <w:ind w:left="317"/>
              <w:jc w:val="both"/>
              <w:rPr>
                <w:b/>
                <w:bCs/>
                <w:color w:val="000000"/>
              </w:rPr>
            </w:pPr>
            <w:r>
              <w:rPr>
                <w:b/>
                <w:bCs/>
                <w:color w:val="000000"/>
              </w:rPr>
              <w:t>FORO PÚBLICO</w:t>
            </w:r>
          </w:p>
          <w:p w14:paraId="71B7C0BA" w14:textId="77777777" w:rsidR="007B3093" w:rsidRDefault="00000000">
            <w:pPr>
              <w:pStyle w:val="Prrafodelista"/>
              <w:numPr>
                <w:ilvl w:val="0"/>
                <w:numId w:val="13"/>
              </w:numPr>
              <w:tabs>
                <w:tab w:val="left" w:pos="-1440"/>
              </w:tabs>
              <w:ind w:left="317"/>
              <w:jc w:val="both"/>
              <w:rPr>
                <w:b/>
                <w:bCs/>
                <w:color w:val="000000"/>
              </w:rPr>
            </w:pPr>
            <w:r>
              <w:rPr>
                <w:b/>
                <w:bCs/>
                <w:color w:val="000000"/>
              </w:rPr>
              <w:t>MÓDULO DE INICIO:</w:t>
            </w:r>
          </w:p>
          <w:p w14:paraId="31699BF4" w14:textId="77777777" w:rsidR="007B3093" w:rsidRDefault="00000000">
            <w:pPr>
              <w:pStyle w:val="Prrafodelista"/>
              <w:tabs>
                <w:tab w:val="left" w:pos="-1440"/>
              </w:tabs>
              <w:ind w:left="317"/>
              <w:jc w:val="both"/>
            </w:pPr>
            <w:r>
              <w:t>Nociones sobre el derecho de los tratados</w:t>
            </w:r>
          </w:p>
          <w:p w14:paraId="3B90A733" w14:textId="77777777" w:rsidR="007B3093" w:rsidRDefault="00000000">
            <w:pPr>
              <w:pStyle w:val="Prrafodelista"/>
              <w:tabs>
                <w:tab w:val="left" w:pos="-1440"/>
              </w:tabs>
              <w:ind w:left="317"/>
              <w:jc w:val="both"/>
            </w:pPr>
            <w:r>
              <w:t>Sistema Interamericano de Derechos Humanos y la Comisión Interamericana de Derechos Humanos</w:t>
            </w:r>
          </w:p>
          <w:p w14:paraId="376B14E9" w14:textId="77777777" w:rsidR="007B3093" w:rsidRDefault="00000000">
            <w:pPr>
              <w:pStyle w:val="Prrafodelista"/>
              <w:tabs>
                <w:tab w:val="left" w:pos="-1440"/>
              </w:tabs>
              <w:ind w:left="317"/>
              <w:jc w:val="both"/>
            </w:pPr>
            <w:r>
              <w:t xml:space="preserve">La Corte Interamericana de Derechos Humanos: competencias </w:t>
            </w:r>
          </w:p>
          <w:p w14:paraId="220E1021" w14:textId="77777777" w:rsidR="007B3093" w:rsidRDefault="00000000">
            <w:pPr>
              <w:pStyle w:val="Prrafodelista"/>
              <w:tabs>
                <w:tab w:val="left" w:pos="-1440"/>
              </w:tabs>
              <w:ind w:left="317"/>
              <w:jc w:val="both"/>
            </w:pPr>
            <w:r>
              <w:t>El control de convencionalidad</w:t>
            </w:r>
          </w:p>
          <w:p w14:paraId="108D8188" w14:textId="77777777" w:rsidR="007B3093" w:rsidRDefault="00000000">
            <w:pPr>
              <w:pStyle w:val="Prrafodelista"/>
              <w:tabs>
                <w:tab w:val="left" w:pos="-1440"/>
              </w:tabs>
              <w:ind w:left="317"/>
              <w:jc w:val="both"/>
            </w:pPr>
            <w:r>
              <w:t>Principios procesales aplicables en el litigio interamericano</w:t>
            </w:r>
          </w:p>
          <w:p w14:paraId="1FAEF315" w14:textId="77777777" w:rsidR="007B3093" w:rsidRDefault="00000000">
            <w:pPr>
              <w:pStyle w:val="Prrafodelista"/>
              <w:tabs>
                <w:tab w:val="left" w:pos="-1440"/>
              </w:tabs>
              <w:ind w:left="317"/>
              <w:jc w:val="both"/>
            </w:pPr>
            <w:r>
              <w:t>Las excepciones preliminares</w:t>
            </w:r>
          </w:p>
          <w:p w14:paraId="15B03AB5" w14:textId="77777777" w:rsidR="007B3093" w:rsidRDefault="00000000">
            <w:pPr>
              <w:pStyle w:val="Prrafodelista"/>
              <w:tabs>
                <w:tab w:val="left" w:pos="-1440"/>
              </w:tabs>
              <w:ind w:left="317"/>
              <w:jc w:val="both"/>
            </w:pPr>
            <w:r>
              <w:t>La teoría de la prueba en materia procesal interamericano</w:t>
            </w:r>
          </w:p>
          <w:p w14:paraId="24C8EF92" w14:textId="77777777" w:rsidR="007B3093" w:rsidRDefault="00000000">
            <w:pPr>
              <w:pStyle w:val="Prrafodelista"/>
              <w:tabs>
                <w:tab w:val="left" w:pos="-1440"/>
              </w:tabs>
              <w:ind w:left="317"/>
              <w:jc w:val="both"/>
            </w:pPr>
            <w:r>
              <w:t>La carga de la prueba por parte de los Estados</w:t>
            </w:r>
          </w:p>
          <w:p w14:paraId="4B9B8842" w14:textId="77777777" w:rsidR="007B3093" w:rsidRDefault="00000000">
            <w:pPr>
              <w:pStyle w:val="Prrafodelista"/>
              <w:numPr>
                <w:ilvl w:val="0"/>
                <w:numId w:val="13"/>
              </w:numPr>
              <w:tabs>
                <w:tab w:val="left" w:pos="-1440"/>
              </w:tabs>
              <w:ind w:left="317"/>
              <w:jc w:val="both"/>
              <w:rPr>
                <w:rFonts w:cstheme="minorHAnsi"/>
              </w:rPr>
            </w:pPr>
            <w:r>
              <w:rPr>
                <w:b/>
                <w:bCs/>
                <w:color w:val="000000"/>
              </w:rPr>
              <w:t>MÓDULO AUTO FORMATIVO:</w:t>
            </w:r>
          </w:p>
          <w:p w14:paraId="28C72C1C" w14:textId="77777777" w:rsidR="007B3093" w:rsidRDefault="00000000">
            <w:pPr>
              <w:pStyle w:val="Prrafodelista"/>
              <w:tabs>
                <w:tab w:val="left" w:pos="-1440"/>
              </w:tabs>
              <w:ind w:left="317"/>
              <w:jc w:val="both"/>
            </w:pPr>
            <w:r>
              <w:t xml:space="preserve">El derecho a la vida en la jurisprudencia de la Corte Interamericana de Derechos Humanos. </w:t>
            </w:r>
          </w:p>
          <w:p w14:paraId="7BF409BB" w14:textId="77777777" w:rsidR="007B3093" w:rsidRDefault="00000000">
            <w:pPr>
              <w:pStyle w:val="Prrafodelista"/>
              <w:tabs>
                <w:tab w:val="left" w:pos="-1440"/>
              </w:tabs>
              <w:ind w:left="317"/>
              <w:jc w:val="both"/>
            </w:pPr>
            <w:r>
              <w:t xml:space="preserve">El derecho a la integridad personal en la jurisprudencia de la Corte Interamericana de Derechos Humanos. </w:t>
            </w:r>
          </w:p>
          <w:p w14:paraId="5C2649C9" w14:textId="77777777" w:rsidR="007B3093" w:rsidRDefault="00000000">
            <w:pPr>
              <w:pStyle w:val="Prrafodelista"/>
              <w:tabs>
                <w:tab w:val="left" w:pos="-1440"/>
              </w:tabs>
              <w:ind w:left="317"/>
              <w:jc w:val="both"/>
            </w:pPr>
            <w:r>
              <w:t xml:space="preserve">El derecho a la libertad personal en la jurisprudencia de la Corte Interamericana de Derechos Humanos. </w:t>
            </w:r>
          </w:p>
          <w:p w14:paraId="43E991CA" w14:textId="77777777" w:rsidR="007B3093" w:rsidRDefault="00000000">
            <w:pPr>
              <w:pStyle w:val="Prrafodelista"/>
              <w:tabs>
                <w:tab w:val="left" w:pos="-1440"/>
              </w:tabs>
              <w:ind w:left="317"/>
              <w:jc w:val="both"/>
            </w:pPr>
            <w:r>
              <w:t xml:space="preserve">Los derechos de las personas privadas de libertad en la jurisprudencia de la Corte Interamericana de Derechos Humanos. </w:t>
            </w:r>
          </w:p>
          <w:p w14:paraId="728AD031" w14:textId="77777777" w:rsidR="007B3093" w:rsidRDefault="00000000">
            <w:pPr>
              <w:pStyle w:val="Prrafodelista"/>
              <w:tabs>
                <w:tab w:val="left" w:pos="-1440"/>
              </w:tabs>
              <w:ind w:left="317"/>
              <w:jc w:val="both"/>
            </w:pPr>
            <w:r>
              <w:t xml:space="preserve">El derecho a la libre expresión en la jurisprudencia de la Corte Interamericana de Derechos Humanos. </w:t>
            </w:r>
          </w:p>
          <w:p w14:paraId="5261D186" w14:textId="77777777" w:rsidR="007B3093" w:rsidRDefault="00000000">
            <w:pPr>
              <w:pStyle w:val="Prrafodelista"/>
              <w:tabs>
                <w:tab w:val="left" w:pos="-1440"/>
              </w:tabs>
              <w:ind w:left="317"/>
              <w:jc w:val="both"/>
            </w:pPr>
            <w:r>
              <w:t xml:space="preserve">Los derechos económicos, sociales, culturales y ambientales en la jurisprudencia de la Corte Interamericana de Derechos Humanos. </w:t>
            </w:r>
          </w:p>
          <w:p w14:paraId="0DAFE6E9" w14:textId="77777777" w:rsidR="007B3093" w:rsidRDefault="00000000">
            <w:pPr>
              <w:pStyle w:val="Prrafodelista"/>
              <w:tabs>
                <w:tab w:val="left" w:pos="-1440"/>
              </w:tabs>
              <w:ind w:left="317"/>
              <w:jc w:val="both"/>
            </w:pPr>
            <w:r>
              <w:t xml:space="preserve">Los derechos de las comunidades indígenas y tribales en la jurisprudencia de la Corte Interamericana de Derechos Humanos. </w:t>
            </w:r>
          </w:p>
          <w:p w14:paraId="303A3B55" w14:textId="77777777" w:rsidR="007B3093" w:rsidRDefault="00000000">
            <w:pPr>
              <w:pStyle w:val="Prrafodelista"/>
              <w:tabs>
                <w:tab w:val="left" w:pos="-1440"/>
              </w:tabs>
              <w:ind w:left="317"/>
              <w:jc w:val="both"/>
            </w:pPr>
            <w:r>
              <w:t xml:space="preserve">Los derechos de las mujeres en la jurisprudencia de la Corte Interamericana de Derechos Humanos. </w:t>
            </w:r>
          </w:p>
          <w:p w14:paraId="4502F8AE" w14:textId="77777777" w:rsidR="007B3093" w:rsidRDefault="00000000">
            <w:pPr>
              <w:pStyle w:val="Prrafodelista"/>
              <w:tabs>
                <w:tab w:val="left" w:pos="-1440"/>
              </w:tabs>
              <w:ind w:left="317"/>
              <w:jc w:val="both"/>
            </w:pPr>
            <w:r>
              <w:t xml:space="preserve">Los derechos de niñas, niños y adolescentes en la jurisprudencia de la Corte Interamericana de Derechos Humanos. </w:t>
            </w:r>
          </w:p>
          <w:p w14:paraId="1E0B0C05" w14:textId="77777777" w:rsidR="007B3093" w:rsidRDefault="00000000">
            <w:pPr>
              <w:pStyle w:val="Prrafodelista"/>
              <w:tabs>
                <w:tab w:val="left" w:pos="-1440"/>
              </w:tabs>
              <w:ind w:left="317"/>
              <w:jc w:val="both"/>
            </w:pPr>
            <w:r>
              <w:t xml:space="preserve">Los derechos de las personas LGTBI en la jurisprudencia de la Corte Interamericana de Derechos Humanos. </w:t>
            </w:r>
          </w:p>
          <w:p w14:paraId="28D8E95E" w14:textId="77777777" w:rsidR="007B3093" w:rsidRDefault="00000000">
            <w:pPr>
              <w:pStyle w:val="Prrafodelista"/>
              <w:tabs>
                <w:tab w:val="left" w:pos="-1440"/>
              </w:tabs>
              <w:ind w:left="317"/>
              <w:jc w:val="both"/>
            </w:pPr>
            <w:r>
              <w:t xml:space="preserve">Derechos de las personas con discapacidad en la jurisprudencia de la Corte Interamericana de Derechos Humanos. </w:t>
            </w:r>
          </w:p>
          <w:p w14:paraId="247D94EA" w14:textId="77777777" w:rsidR="007B3093" w:rsidRDefault="00000000">
            <w:pPr>
              <w:pStyle w:val="Prrafodelista"/>
              <w:tabs>
                <w:tab w:val="left" w:pos="-1440"/>
              </w:tabs>
              <w:ind w:left="317"/>
              <w:jc w:val="both"/>
            </w:pPr>
            <w:r>
              <w:t xml:space="preserve">Derechos humanos y medio ambiente. Opinión consultiva 23. </w:t>
            </w:r>
          </w:p>
          <w:p w14:paraId="00C69FB7" w14:textId="77777777" w:rsidR="007B3093" w:rsidRDefault="00000000">
            <w:pPr>
              <w:pStyle w:val="Prrafodelista"/>
              <w:tabs>
                <w:tab w:val="left" w:pos="-1440"/>
              </w:tabs>
              <w:ind w:left="317"/>
              <w:jc w:val="both"/>
              <w:rPr>
                <w:rFonts w:cstheme="minorHAnsi"/>
              </w:rPr>
            </w:pPr>
            <w:r>
              <w:t>Graves violaciones de derechos humanos en la jurisprudencia de la Corte Interamericana de Derechos Humanos</w:t>
            </w:r>
          </w:p>
        </w:tc>
      </w:tr>
    </w:tbl>
    <w:p w14:paraId="4E417C57" w14:textId="77777777" w:rsidR="007B3093" w:rsidRDefault="007B3093">
      <w:pPr>
        <w:spacing w:after="0" w:line="240" w:lineRule="auto"/>
        <w:contextualSpacing/>
        <w:rPr>
          <w:rFonts w:cstheme="minorHAnsi"/>
        </w:rPr>
      </w:pPr>
    </w:p>
    <w:p w14:paraId="414BF058"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3595AE12" w14:textId="77777777">
        <w:tc>
          <w:tcPr>
            <w:tcW w:w="5000" w:type="pct"/>
            <w:gridSpan w:val="2"/>
          </w:tcPr>
          <w:p w14:paraId="19503889" w14:textId="77777777" w:rsidR="007B3093" w:rsidRDefault="00000000">
            <w:pPr>
              <w:tabs>
                <w:tab w:val="left" w:pos="-1440"/>
              </w:tabs>
              <w:contextualSpacing/>
              <w:jc w:val="both"/>
              <w:rPr>
                <w:rFonts w:cstheme="minorHAnsi"/>
                <w:b/>
              </w:rPr>
            </w:pPr>
            <w:r>
              <w:rPr>
                <w:rFonts w:cstheme="minorHAnsi"/>
                <w:b/>
              </w:rPr>
              <w:t>Capacitación para fortalecimiento de habilidades y destrezas de las y los servidores de PGE en el desempeño de sus atribuciones y competencias laborales.</w:t>
            </w:r>
          </w:p>
        </w:tc>
      </w:tr>
      <w:tr w:rsidR="007B3093" w14:paraId="2AC77C6C" w14:textId="77777777">
        <w:trPr>
          <w:trHeight w:val="485"/>
        </w:trPr>
        <w:tc>
          <w:tcPr>
            <w:tcW w:w="723" w:type="pct"/>
          </w:tcPr>
          <w:p w14:paraId="4A43BB42"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shd w:val="clear" w:color="auto" w:fill="auto"/>
          </w:tcPr>
          <w:p w14:paraId="2373C133" w14:textId="77777777" w:rsidR="007B3093" w:rsidRDefault="00000000">
            <w:pPr>
              <w:pStyle w:val="Prrafodelista"/>
              <w:tabs>
                <w:tab w:val="left" w:pos="-1440"/>
              </w:tabs>
              <w:ind w:left="317"/>
              <w:jc w:val="both"/>
              <w:rPr>
                <w:rFonts w:cstheme="minorHAnsi"/>
              </w:rPr>
            </w:pPr>
            <w:r>
              <w:rPr>
                <w:szCs w:val="16"/>
              </w:rPr>
              <w:t xml:space="preserve">Contribuir al desarrollo y fortalecimiento de las capacidades, destrezas y habilidades de los servidores de la Procuraduría General del Estado en el </w:t>
            </w:r>
            <w:r>
              <w:rPr>
                <w:szCs w:val="16"/>
              </w:rPr>
              <w:lastRenderedPageBreak/>
              <w:t>desempeño de sus laborales, en pro de la especialización, a través de procesos de formación y capacitación en el ámbito del Derecho, dentro de los ejes de: representación legal y patrocinio; asesoría, consultoría e iniciativa legislativa; y, control de la legalidad.</w:t>
            </w:r>
          </w:p>
        </w:tc>
      </w:tr>
      <w:tr w:rsidR="007B3093" w14:paraId="3929E2AB" w14:textId="77777777">
        <w:tc>
          <w:tcPr>
            <w:tcW w:w="723" w:type="pct"/>
          </w:tcPr>
          <w:p w14:paraId="41FD0C3B" w14:textId="77777777" w:rsidR="007B3093" w:rsidRDefault="00000000">
            <w:pPr>
              <w:tabs>
                <w:tab w:val="left" w:pos="-1440"/>
              </w:tabs>
              <w:contextualSpacing/>
              <w:jc w:val="both"/>
              <w:rPr>
                <w:rFonts w:cstheme="minorHAnsi"/>
                <w:b/>
              </w:rPr>
            </w:pPr>
            <w:r>
              <w:rPr>
                <w:rFonts w:cstheme="minorHAnsi"/>
                <w:b/>
              </w:rPr>
              <w:lastRenderedPageBreak/>
              <w:t>Insumos:</w:t>
            </w:r>
          </w:p>
        </w:tc>
        <w:tc>
          <w:tcPr>
            <w:tcW w:w="4277" w:type="pct"/>
          </w:tcPr>
          <w:p w14:paraId="23CB1AD6" w14:textId="77777777" w:rsidR="007B3093" w:rsidRDefault="00000000">
            <w:pPr>
              <w:pStyle w:val="Prrafodelista"/>
              <w:numPr>
                <w:ilvl w:val="0"/>
                <w:numId w:val="61"/>
              </w:numPr>
              <w:tabs>
                <w:tab w:val="left" w:pos="-1440"/>
              </w:tabs>
              <w:ind w:left="357" w:hanging="357"/>
              <w:jc w:val="both"/>
              <w:rPr>
                <w:rFonts w:cstheme="minorHAnsi"/>
              </w:rPr>
            </w:pPr>
            <w:r>
              <w:rPr>
                <w:rFonts w:ascii="Calibri" w:eastAsia="Times New Roman" w:hAnsi="Calibri" w:cs="Calibri"/>
                <w:color w:val="000000"/>
                <w:szCs w:val="18"/>
                <w:lang w:eastAsia="es-EC"/>
              </w:rPr>
              <w:t>Diagnóstico situacional y propuesta de direccionamiento estratégico;</w:t>
            </w:r>
          </w:p>
          <w:p w14:paraId="41D150B2" w14:textId="77777777" w:rsidR="007B3093" w:rsidRDefault="00000000">
            <w:pPr>
              <w:pStyle w:val="Prrafodelista"/>
              <w:numPr>
                <w:ilvl w:val="0"/>
                <w:numId w:val="61"/>
              </w:numPr>
              <w:tabs>
                <w:tab w:val="left" w:pos="-1440"/>
              </w:tabs>
              <w:ind w:left="357" w:hanging="357"/>
              <w:jc w:val="both"/>
              <w:rPr>
                <w:rFonts w:cstheme="minorHAnsi"/>
              </w:rPr>
            </w:pPr>
            <w:r>
              <w:rPr>
                <w:rFonts w:cstheme="minorHAnsi"/>
              </w:rPr>
              <w:t>Competencias y atribuciones institucionales.</w:t>
            </w:r>
          </w:p>
          <w:p w14:paraId="1611850C" w14:textId="77777777" w:rsidR="007B3093" w:rsidRDefault="00000000">
            <w:pPr>
              <w:pStyle w:val="Prrafodelista"/>
              <w:numPr>
                <w:ilvl w:val="0"/>
                <w:numId w:val="61"/>
              </w:numPr>
              <w:tabs>
                <w:tab w:val="left" w:pos="-1440"/>
              </w:tabs>
              <w:ind w:left="357" w:hanging="357"/>
              <w:jc w:val="both"/>
              <w:rPr>
                <w:rFonts w:cstheme="minorHAnsi"/>
              </w:rPr>
            </w:pPr>
            <w:r>
              <w:rPr>
                <w:rFonts w:cstheme="minorHAnsi"/>
              </w:rPr>
              <w:t>Plan de capacitación Áreas misionales Institucionales en función de brechas.</w:t>
            </w:r>
          </w:p>
        </w:tc>
      </w:tr>
      <w:tr w:rsidR="007B3093" w14:paraId="72AD04A9" w14:textId="77777777">
        <w:tc>
          <w:tcPr>
            <w:tcW w:w="723" w:type="pct"/>
          </w:tcPr>
          <w:p w14:paraId="16E994A3"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19F7F4E1" w14:textId="77777777" w:rsidR="007B3093" w:rsidRDefault="00000000">
            <w:pPr>
              <w:pStyle w:val="Prrafodelista"/>
              <w:tabs>
                <w:tab w:val="left" w:pos="-1440"/>
              </w:tabs>
              <w:ind w:left="317"/>
              <w:jc w:val="both"/>
              <w:rPr>
                <w:szCs w:val="16"/>
              </w:rPr>
            </w:pPr>
            <w:r>
              <w:rPr>
                <w:szCs w:val="16"/>
              </w:rPr>
              <w:t>Cursos de capacitación para el fortalecimiento de las habilidades y destrezas de las y los servidores de la Procuraduría General del Estado en el desempeño de sus atribuciones y competencias laborales:</w:t>
            </w:r>
          </w:p>
          <w:p w14:paraId="587A1009" w14:textId="77777777" w:rsidR="007B3093" w:rsidRDefault="00000000">
            <w:pPr>
              <w:pStyle w:val="Prrafodelista"/>
              <w:tabs>
                <w:tab w:val="left" w:pos="-1440"/>
              </w:tabs>
              <w:ind w:left="317"/>
              <w:jc w:val="both"/>
              <w:rPr>
                <w:szCs w:val="16"/>
              </w:rPr>
            </w:pPr>
            <w:r>
              <w:rPr>
                <w:szCs w:val="16"/>
              </w:rPr>
              <w:t>1. Dogmática Penal</w:t>
            </w:r>
          </w:p>
          <w:p w14:paraId="5DC6213A" w14:textId="77777777" w:rsidR="007B3093" w:rsidRDefault="00000000">
            <w:pPr>
              <w:pStyle w:val="Prrafodelista"/>
              <w:tabs>
                <w:tab w:val="left" w:pos="-1440"/>
              </w:tabs>
              <w:ind w:left="317"/>
              <w:jc w:val="both"/>
              <w:rPr>
                <w:szCs w:val="16"/>
              </w:rPr>
            </w:pPr>
            <w:r>
              <w:rPr>
                <w:szCs w:val="16"/>
              </w:rPr>
              <w:t>2. Teoría del Delito y la investigación: que comprende delitos contra la eficiencia de la Administración Pública y delitos económicos</w:t>
            </w:r>
          </w:p>
          <w:p w14:paraId="14F5A6DC" w14:textId="77777777" w:rsidR="007B3093" w:rsidRDefault="00000000">
            <w:pPr>
              <w:pStyle w:val="Prrafodelista"/>
              <w:tabs>
                <w:tab w:val="left" w:pos="-1440"/>
              </w:tabs>
              <w:ind w:left="317"/>
              <w:jc w:val="both"/>
              <w:rPr>
                <w:szCs w:val="16"/>
              </w:rPr>
            </w:pPr>
            <w:r>
              <w:rPr>
                <w:szCs w:val="16"/>
              </w:rPr>
              <w:t>3. Código Orgánico General de Procesos: Procedimientos y contenidos relevantes</w:t>
            </w:r>
          </w:p>
          <w:p w14:paraId="2F0EF1E8" w14:textId="77777777" w:rsidR="007B3093" w:rsidRDefault="00000000">
            <w:pPr>
              <w:pStyle w:val="Prrafodelista"/>
              <w:tabs>
                <w:tab w:val="left" w:pos="-1440"/>
              </w:tabs>
              <w:ind w:left="317"/>
              <w:jc w:val="both"/>
              <w:rPr>
                <w:szCs w:val="16"/>
              </w:rPr>
            </w:pPr>
            <w:r>
              <w:rPr>
                <w:szCs w:val="16"/>
              </w:rPr>
              <w:t>4. Código Orgánico Administrativo: Procedimientos y contenidos relevantes</w:t>
            </w:r>
          </w:p>
          <w:p w14:paraId="6B631CA8" w14:textId="77777777" w:rsidR="007B3093" w:rsidRDefault="00000000">
            <w:pPr>
              <w:pStyle w:val="Prrafodelista"/>
              <w:tabs>
                <w:tab w:val="left" w:pos="-1440"/>
              </w:tabs>
              <w:ind w:left="317"/>
              <w:jc w:val="both"/>
              <w:rPr>
                <w:szCs w:val="16"/>
              </w:rPr>
            </w:pPr>
            <w:r>
              <w:rPr>
                <w:szCs w:val="16"/>
              </w:rPr>
              <w:t>5. Garantías Constitucionales: Procedimientos y contenidos relevantes</w:t>
            </w:r>
          </w:p>
          <w:p w14:paraId="544F4EE4" w14:textId="77777777" w:rsidR="007B3093" w:rsidRDefault="00000000">
            <w:pPr>
              <w:pStyle w:val="Prrafodelista"/>
              <w:tabs>
                <w:tab w:val="left" w:pos="-1440"/>
              </w:tabs>
              <w:ind w:left="317"/>
              <w:jc w:val="both"/>
              <w:rPr>
                <w:szCs w:val="16"/>
              </w:rPr>
            </w:pPr>
            <w:r>
              <w:rPr>
                <w:szCs w:val="16"/>
              </w:rPr>
              <w:t>6. Litigación Oral en materia penal</w:t>
            </w:r>
          </w:p>
          <w:p w14:paraId="01927665" w14:textId="77777777" w:rsidR="007B3093" w:rsidRDefault="00000000">
            <w:pPr>
              <w:pStyle w:val="Prrafodelista"/>
              <w:tabs>
                <w:tab w:val="left" w:pos="-1440"/>
              </w:tabs>
              <w:ind w:left="317"/>
              <w:jc w:val="both"/>
              <w:rPr>
                <w:szCs w:val="16"/>
              </w:rPr>
            </w:pPr>
            <w:r>
              <w:rPr>
                <w:szCs w:val="16"/>
              </w:rPr>
              <w:t>7. Litigación Oral en materias no penales</w:t>
            </w:r>
          </w:p>
          <w:p w14:paraId="6AD4B3F1" w14:textId="77777777" w:rsidR="007B3093" w:rsidRDefault="00000000">
            <w:pPr>
              <w:pStyle w:val="Prrafodelista"/>
              <w:tabs>
                <w:tab w:val="left" w:pos="-1440"/>
              </w:tabs>
              <w:ind w:left="317"/>
              <w:jc w:val="both"/>
              <w:rPr>
                <w:szCs w:val="16"/>
              </w:rPr>
            </w:pPr>
            <w:r>
              <w:rPr>
                <w:szCs w:val="16"/>
              </w:rPr>
              <w:t>8. Procedimientos y mecanismos de reparación</w:t>
            </w:r>
          </w:p>
          <w:p w14:paraId="7D0807AE" w14:textId="77777777" w:rsidR="007B3093" w:rsidRDefault="00000000">
            <w:pPr>
              <w:pStyle w:val="Prrafodelista"/>
              <w:tabs>
                <w:tab w:val="left" w:pos="-1440"/>
              </w:tabs>
              <w:ind w:left="317"/>
              <w:jc w:val="both"/>
              <w:rPr>
                <w:szCs w:val="16"/>
              </w:rPr>
            </w:pPr>
            <w:r>
              <w:rPr>
                <w:szCs w:val="16"/>
              </w:rPr>
              <w:t>9. Cooperación Penal Internacional</w:t>
            </w:r>
          </w:p>
          <w:p w14:paraId="381B8F94" w14:textId="77777777" w:rsidR="007B3093" w:rsidRDefault="00000000">
            <w:pPr>
              <w:pStyle w:val="Prrafodelista"/>
              <w:tabs>
                <w:tab w:val="left" w:pos="-1440"/>
              </w:tabs>
              <w:ind w:left="317"/>
              <w:jc w:val="both"/>
              <w:rPr>
                <w:szCs w:val="16"/>
              </w:rPr>
            </w:pPr>
            <w:r>
              <w:rPr>
                <w:szCs w:val="16"/>
              </w:rPr>
              <w:t>10. Derecho Internacional, arbitraje de inversiones y soluciones de controversias</w:t>
            </w:r>
          </w:p>
          <w:p w14:paraId="145FF3DD" w14:textId="77777777" w:rsidR="007B3093" w:rsidRDefault="00000000">
            <w:pPr>
              <w:pStyle w:val="Prrafodelista"/>
              <w:tabs>
                <w:tab w:val="left" w:pos="-1440"/>
              </w:tabs>
              <w:ind w:left="317"/>
              <w:jc w:val="both"/>
              <w:rPr>
                <w:szCs w:val="16"/>
              </w:rPr>
            </w:pPr>
            <w:r>
              <w:rPr>
                <w:szCs w:val="16"/>
              </w:rPr>
              <w:t>11. Derechos Humanos</w:t>
            </w:r>
          </w:p>
          <w:p w14:paraId="401B299F" w14:textId="77777777" w:rsidR="007B3093" w:rsidRDefault="00000000">
            <w:pPr>
              <w:pStyle w:val="Prrafodelista"/>
              <w:tabs>
                <w:tab w:val="left" w:pos="-1440"/>
              </w:tabs>
              <w:ind w:left="317"/>
              <w:jc w:val="both"/>
              <w:rPr>
                <w:szCs w:val="16"/>
              </w:rPr>
            </w:pPr>
            <w:r>
              <w:rPr>
                <w:szCs w:val="16"/>
              </w:rPr>
              <w:t>12. Negociación Avanzada – Métodos Alternativos de Solución de Conflictos</w:t>
            </w:r>
          </w:p>
          <w:p w14:paraId="6D188569" w14:textId="77777777" w:rsidR="007B3093" w:rsidRDefault="00000000">
            <w:pPr>
              <w:pStyle w:val="Prrafodelista"/>
              <w:tabs>
                <w:tab w:val="left" w:pos="-1440"/>
              </w:tabs>
              <w:ind w:left="317"/>
              <w:jc w:val="both"/>
              <w:rPr>
                <w:szCs w:val="16"/>
              </w:rPr>
            </w:pPr>
            <w:r>
              <w:rPr>
                <w:szCs w:val="16"/>
              </w:rPr>
              <w:t>13. Auditoria Legal: Normas de Control</w:t>
            </w:r>
          </w:p>
          <w:p w14:paraId="60C30660" w14:textId="77777777" w:rsidR="007B3093" w:rsidRDefault="00000000">
            <w:pPr>
              <w:pStyle w:val="Prrafodelista"/>
              <w:tabs>
                <w:tab w:val="left" w:pos="-1440"/>
              </w:tabs>
              <w:ind w:left="317"/>
              <w:jc w:val="both"/>
              <w:rPr>
                <w:szCs w:val="16"/>
              </w:rPr>
            </w:pPr>
            <w:r>
              <w:rPr>
                <w:szCs w:val="16"/>
              </w:rPr>
              <w:t>14. Gestión Pública – Contratación Pública</w:t>
            </w:r>
          </w:p>
          <w:p w14:paraId="34D88D2F" w14:textId="77777777" w:rsidR="007B3093" w:rsidRDefault="00000000">
            <w:pPr>
              <w:pStyle w:val="Prrafodelista"/>
              <w:tabs>
                <w:tab w:val="left" w:pos="-1440"/>
              </w:tabs>
              <w:ind w:left="317"/>
              <w:jc w:val="both"/>
              <w:rPr>
                <w:rFonts w:cstheme="minorHAnsi"/>
              </w:rPr>
            </w:pPr>
            <w:r>
              <w:rPr>
                <w:szCs w:val="16"/>
              </w:rPr>
              <w:t>15. Formador de Formadores.</w:t>
            </w:r>
          </w:p>
        </w:tc>
      </w:tr>
    </w:tbl>
    <w:p w14:paraId="7298B742" w14:textId="77777777" w:rsidR="007B3093" w:rsidRDefault="007B3093">
      <w:pPr>
        <w:spacing w:after="0" w:line="240" w:lineRule="auto"/>
        <w:contextualSpacing/>
        <w:rPr>
          <w:rFonts w:cstheme="minorHAnsi"/>
        </w:rPr>
      </w:pPr>
    </w:p>
    <w:p w14:paraId="67BB6685"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3D80A726" w14:textId="77777777">
        <w:tc>
          <w:tcPr>
            <w:tcW w:w="5000" w:type="pct"/>
            <w:gridSpan w:val="2"/>
          </w:tcPr>
          <w:p w14:paraId="1B58ECC9" w14:textId="77777777" w:rsidR="007B3093" w:rsidRDefault="00000000">
            <w:pPr>
              <w:tabs>
                <w:tab w:val="left" w:pos="-1440"/>
              </w:tabs>
              <w:contextualSpacing/>
              <w:jc w:val="both"/>
              <w:rPr>
                <w:rFonts w:cstheme="minorHAnsi"/>
                <w:b/>
              </w:rPr>
            </w:pPr>
            <w:r>
              <w:rPr>
                <w:rFonts w:cstheme="minorHAnsi"/>
                <w:b/>
              </w:rPr>
              <w:t>Contratación de un consultor individual para realizar la implementación del modelo del sistema de capacitación de la PGE</w:t>
            </w:r>
          </w:p>
        </w:tc>
      </w:tr>
      <w:tr w:rsidR="007B3093" w14:paraId="1CC34ECB" w14:textId="77777777">
        <w:trPr>
          <w:trHeight w:val="485"/>
        </w:trPr>
        <w:tc>
          <w:tcPr>
            <w:tcW w:w="723" w:type="pct"/>
          </w:tcPr>
          <w:p w14:paraId="0B992544"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0D37479F" w14:textId="77777777" w:rsidR="007B3093" w:rsidRDefault="00000000">
            <w:pPr>
              <w:pStyle w:val="Prrafodelista"/>
              <w:tabs>
                <w:tab w:val="left" w:pos="-1440"/>
              </w:tabs>
              <w:ind w:left="284"/>
              <w:jc w:val="both"/>
              <w:rPr>
                <w:rFonts w:cstheme="minorHAnsi"/>
              </w:rPr>
            </w:pPr>
            <w:r>
              <w:rPr>
                <w:rFonts w:cstheme="minorHAnsi"/>
              </w:rPr>
              <w:t>Apoyar técnicamente al EDG-PGE PROFIP en la coordinación, gestión e implementación del Sistema de Capacitación de la PGE y los procesos de contratación de servicios de capacitación para el personal de la PGE y equipos jurídicos del Estado que colaboran en la defensa jurídica del Estado.</w:t>
            </w:r>
          </w:p>
        </w:tc>
      </w:tr>
      <w:tr w:rsidR="007B3093" w14:paraId="1F1A4A87" w14:textId="77777777">
        <w:tc>
          <w:tcPr>
            <w:tcW w:w="723" w:type="pct"/>
          </w:tcPr>
          <w:p w14:paraId="0BB285C9"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5AC320CC" w14:textId="77777777" w:rsidR="007B3093" w:rsidRDefault="00000000">
            <w:pPr>
              <w:pStyle w:val="Prrafodelista"/>
              <w:tabs>
                <w:tab w:val="left" w:pos="-1440"/>
              </w:tabs>
              <w:ind w:left="714"/>
              <w:jc w:val="both"/>
              <w:rPr>
                <w:rFonts w:cstheme="minorHAnsi"/>
              </w:rPr>
            </w:pPr>
            <w:r>
              <w:rPr>
                <w:rFonts w:ascii="Calibri" w:eastAsia="Times New Roman" w:hAnsi="Calibri" w:cs="Calibri"/>
                <w:color w:val="000000"/>
                <w:szCs w:val="18"/>
                <w:lang w:eastAsia="es-EC"/>
              </w:rPr>
              <w:t>1. Diagnóstico situacional y propuesta de direccionamiento estratégico;</w:t>
            </w:r>
          </w:p>
          <w:p w14:paraId="0ACE1578" w14:textId="77777777" w:rsidR="007B3093" w:rsidRDefault="00000000">
            <w:pPr>
              <w:pStyle w:val="Prrafodelista"/>
              <w:tabs>
                <w:tab w:val="left" w:pos="-1440"/>
              </w:tabs>
              <w:jc w:val="both"/>
              <w:rPr>
                <w:rFonts w:cstheme="minorHAnsi"/>
              </w:rPr>
            </w:pPr>
            <w:r>
              <w:rPr>
                <w:rFonts w:cstheme="minorHAnsi"/>
              </w:rPr>
              <w:t>2. Competencias y atribuciones institucionales.</w:t>
            </w:r>
          </w:p>
        </w:tc>
      </w:tr>
      <w:tr w:rsidR="007B3093" w14:paraId="54493AE1" w14:textId="77777777">
        <w:tc>
          <w:tcPr>
            <w:tcW w:w="723" w:type="pct"/>
          </w:tcPr>
          <w:p w14:paraId="4EA9DDC8"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65AE1918" w14:textId="77777777" w:rsidR="007B3093" w:rsidRDefault="00000000">
            <w:pPr>
              <w:pStyle w:val="Prrafodelista"/>
              <w:numPr>
                <w:ilvl w:val="0"/>
                <w:numId w:val="52"/>
              </w:numPr>
              <w:tabs>
                <w:tab w:val="left" w:pos="-1440"/>
              </w:tabs>
              <w:jc w:val="both"/>
              <w:rPr>
                <w:rFonts w:cstheme="minorHAnsi"/>
              </w:rPr>
            </w:pPr>
            <w:r>
              <w:rPr>
                <w:rFonts w:cstheme="minorHAnsi"/>
                <w:bCs/>
                <w:color w:val="000000"/>
                <w:lang w:eastAsia="es-EC"/>
              </w:rPr>
              <w:t>Informe de avance del diseño e implementación del modelo del sistema de capacitación de la PGE.</w:t>
            </w:r>
          </w:p>
          <w:p w14:paraId="6305ACF2" w14:textId="77777777" w:rsidR="007B3093" w:rsidRDefault="00000000">
            <w:pPr>
              <w:pStyle w:val="Prrafodelista"/>
              <w:numPr>
                <w:ilvl w:val="0"/>
                <w:numId w:val="52"/>
              </w:numPr>
              <w:tabs>
                <w:tab w:val="left" w:pos="-1440"/>
              </w:tabs>
              <w:jc w:val="both"/>
              <w:rPr>
                <w:rFonts w:cstheme="minorHAnsi"/>
              </w:rPr>
            </w:pPr>
            <w:r>
              <w:rPr>
                <w:rFonts w:cstheme="minorHAnsi"/>
              </w:rPr>
              <w:t>Informe de Propuesta de Plan piloto de Capacitación sobre pronunciamientos relevantes de la PGE en 2021. Incluye metodología, temática y material de apoyo.</w:t>
            </w:r>
          </w:p>
          <w:p w14:paraId="6BC8AA16" w14:textId="77777777" w:rsidR="007B3093" w:rsidRDefault="00000000">
            <w:pPr>
              <w:pStyle w:val="Prrafodelista"/>
              <w:numPr>
                <w:ilvl w:val="0"/>
                <w:numId w:val="52"/>
              </w:numPr>
              <w:tabs>
                <w:tab w:val="left" w:pos="-1440"/>
              </w:tabs>
              <w:jc w:val="both"/>
              <w:rPr>
                <w:rFonts w:cstheme="minorHAnsi"/>
              </w:rPr>
            </w:pPr>
            <w:r>
              <w:rPr>
                <w:rFonts w:cstheme="minorHAnsi"/>
              </w:rPr>
              <w:lastRenderedPageBreak/>
              <w:t>Informe de Propuesta de estatuto por procesos de la Escuela de Abogados del Estado.</w:t>
            </w:r>
          </w:p>
          <w:p w14:paraId="0C31F698" w14:textId="77777777" w:rsidR="007B3093" w:rsidRDefault="00000000">
            <w:pPr>
              <w:pStyle w:val="Prrafodelista"/>
              <w:numPr>
                <w:ilvl w:val="0"/>
                <w:numId w:val="52"/>
              </w:numPr>
              <w:tabs>
                <w:tab w:val="left" w:pos="-1440"/>
              </w:tabs>
              <w:jc w:val="both"/>
              <w:rPr>
                <w:rFonts w:cstheme="minorHAnsi"/>
              </w:rPr>
            </w:pPr>
            <w:r>
              <w:rPr>
                <w:rFonts w:cstheme="minorHAnsi"/>
              </w:rPr>
              <w:t>Informe de Modelo de acreditación para profesionales encargados de la defensa jurídica del Estado.</w:t>
            </w:r>
          </w:p>
          <w:p w14:paraId="73CDEE92" w14:textId="77777777" w:rsidR="007B3093" w:rsidRDefault="00000000">
            <w:pPr>
              <w:pStyle w:val="Prrafodelista"/>
              <w:numPr>
                <w:ilvl w:val="0"/>
                <w:numId w:val="52"/>
              </w:numPr>
              <w:tabs>
                <w:tab w:val="left" w:pos="-1440"/>
              </w:tabs>
              <w:jc w:val="both"/>
              <w:rPr>
                <w:rFonts w:cstheme="minorHAnsi"/>
              </w:rPr>
            </w:pPr>
            <w:r>
              <w:rPr>
                <w:rFonts w:cstheme="minorHAnsi"/>
              </w:rPr>
              <w:t>Informe de Plan de promoción de formación y especialización para servidores jurídicos del Estado.</w:t>
            </w:r>
          </w:p>
          <w:p w14:paraId="3E465093" w14:textId="77777777" w:rsidR="007B3093" w:rsidRDefault="00000000">
            <w:pPr>
              <w:pStyle w:val="Prrafodelista"/>
              <w:numPr>
                <w:ilvl w:val="0"/>
                <w:numId w:val="52"/>
              </w:numPr>
              <w:tabs>
                <w:tab w:val="left" w:pos="-1440"/>
              </w:tabs>
              <w:jc w:val="both"/>
              <w:rPr>
                <w:rFonts w:cstheme="minorHAnsi"/>
              </w:rPr>
            </w:pPr>
            <w:r>
              <w:rPr>
                <w:rFonts w:cstheme="minorHAnsi"/>
              </w:rPr>
              <w:t>Informe de Identificación de las Líneas de investigación a ser desarrolladas para el primer ciclo.</w:t>
            </w:r>
          </w:p>
          <w:p w14:paraId="2A8DE2DB" w14:textId="77777777" w:rsidR="007B3093" w:rsidRDefault="00000000">
            <w:pPr>
              <w:pStyle w:val="Prrafodelista"/>
              <w:numPr>
                <w:ilvl w:val="0"/>
                <w:numId w:val="52"/>
              </w:numPr>
              <w:tabs>
                <w:tab w:val="left" w:pos="-1440"/>
              </w:tabs>
              <w:jc w:val="both"/>
              <w:rPr>
                <w:rFonts w:cstheme="minorHAnsi"/>
              </w:rPr>
            </w:pPr>
            <w:r>
              <w:rPr>
                <w:rFonts w:cstheme="minorHAnsi"/>
              </w:rPr>
              <w:t>Informe de Propuesta de Modelo de formación inicial para abogados del Estado.</w:t>
            </w:r>
          </w:p>
          <w:p w14:paraId="2044C207" w14:textId="77777777" w:rsidR="007B3093" w:rsidRDefault="00000000">
            <w:pPr>
              <w:pStyle w:val="Prrafodelista"/>
              <w:numPr>
                <w:ilvl w:val="0"/>
                <w:numId w:val="52"/>
              </w:numPr>
              <w:tabs>
                <w:tab w:val="left" w:pos="-1440"/>
              </w:tabs>
              <w:jc w:val="both"/>
              <w:rPr>
                <w:rFonts w:cstheme="minorHAnsi"/>
              </w:rPr>
            </w:pPr>
            <w:r>
              <w:rPr>
                <w:rFonts w:cstheme="minorHAnsi"/>
              </w:rPr>
              <w:t>Informe de Implementación del Módulo de capacitación inicial, modalidad virtual.</w:t>
            </w:r>
          </w:p>
          <w:p w14:paraId="08D4518D" w14:textId="77777777" w:rsidR="007B3093" w:rsidRDefault="00000000">
            <w:pPr>
              <w:pStyle w:val="Prrafodelista"/>
              <w:numPr>
                <w:ilvl w:val="0"/>
                <w:numId w:val="52"/>
              </w:numPr>
              <w:tabs>
                <w:tab w:val="left" w:pos="-1440"/>
              </w:tabs>
              <w:jc w:val="both"/>
              <w:rPr>
                <w:rFonts w:cstheme="minorHAnsi"/>
              </w:rPr>
            </w:pPr>
            <w:r>
              <w:rPr>
                <w:rFonts w:cstheme="minorHAnsi"/>
              </w:rPr>
              <w:t>Informe final de implementación del modelo del sistema de capacitación de la PGE.</w:t>
            </w:r>
          </w:p>
        </w:tc>
      </w:tr>
    </w:tbl>
    <w:p w14:paraId="1864AD78" w14:textId="77777777" w:rsidR="007B3093" w:rsidRDefault="007B3093">
      <w:pPr>
        <w:spacing w:after="0" w:line="240" w:lineRule="auto"/>
        <w:contextualSpacing/>
        <w:rPr>
          <w:rFonts w:cstheme="minorHAnsi"/>
        </w:rPr>
      </w:pPr>
    </w:p>
    <w:p w14:paraId="695FA55D"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66456841" w14:textId="77777777">
        <w:trPr>
          <w:trHeight w:val="241"/>
        </w:trPr>
        <w:tc>
          <w:tcPr>
            <w:tcW w:w="5000" w:type="pct"/>
            <w:shd w:val="clear" w:color="auto" w:fill="ACB9CA" w:themeFill="text2" w:themeFillTint="66"/>
          </w:tcPr>
          <w:p w14:paraId="1557D9A6" w14:textId="77777777" w:rsidR="007B3093" w:rsidRDefault="00000000">
            <w:pPr>
              <w:tabs>
                <w:tab w:val="left" w:pos="-1440"/>
              </w:tabs>
              <w:contextualSpacing/>
              <w:jc w:val="center"/>
              <w:rPr>
                <w:rFonts w:cstheme="minorHAnsi"/>
                <w:b/>
              </w:rPr>
            </w:pPr>
            <w:r>
              <w:rPr>
                <w:rFonts w:cstheme="minorHAnsi"/>
                <w:b/>
              </w:rPr>
              <w:t>ACTIVIDAD 2.2</w:t>
            </w:r>
          </w:p>
        </w:tc>
      </w:tr>
      <w:tr w:rsidR="007B3093" w14:paraId="71FA94AB" w14:textId="77777777">
        <w:trPr>
          <w:trHeight w:val="520"/>
        </w:trPr>
        <w:tc>
          <w:tcPr>
            <w:tcW w:w="5000" w:type="pct"/>
          </w:tcPr>
          <w:p w14:paraId="0FBD733D" w14:textId="77777777" w:rsidR="007B3093" w:rsidRDefault="00000000">
            <w:pPr>
              <w:contextualSpacing/>
              <w:jc w:val="both"/>
              <w:rPr>
                <w:rFonts w:cstheme="minorHAnsi"/>
                <w:b/>
                <w:color w:val="000000"/>
              </w:rPr>
            </w:pPr>
            <w:r>
              <w:rPr>
                <w:rFonts w:cstheme="minorHAnsi"/>
                <w:b/>
                <w:color w:val="000000"/>
              </w:rPr>
              <w:t>Brindar una capacitación especializada en jurisprudencia internacional</w:t>
            </w:r>
          </w:p>
        </w:tc>
      </w:tr>
    </w:tbl>
    <w:p w14:paraId="35265617"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09B7E1B1" w14:textId="77777777">
        <w:tc>
          <w:tcPr>
            <w:tcW w:w="5000" w:type="pct"/>
            <w:gridSpan w:val="2"/>
          </w:tcPr>
          <w:p w14:paraId="1AC16E79" w14:textId="77777777" w:rsidR="007B3093" w:rsidRDefault="00000000">
            <w:pPr>
              <w:tabs>
                <w:tab w:val="left" w:pos="-1440"/>
              </w:tabs>
              <w:contextualSpacing/>
              <w:jc w:val="both"/>
              <w:rPr>
                <w:rFonts w:cstheme="minorHAnsi"/>
                <w:b/>
              </w:rPr>
            </w:pPr>
            <w:r>
              <w:rPr>
                <w:rFonts w:cstheme="minorHAnsi"/>
                <w:b/>
                <w:color w:val="000000"/>
              </w:rPr>
              <w:t>Servicio de capacitación en estándares interamericanos en materia de protesta social y control del orden público</w:t>
            </w:r>
          </w:p>
        </w:tc>
      </w:tr>
      <w:tr w:rsidR="007B3093" w14:paraId="51B8F924" w14:textId="77777777">
        <w:trPr>
          <w:trHeight w:val="485"/>
        </w:trPr>
        <w:tc>
          <w:tcPr>
            <w:tcW w:w="723" w:type="pct"/>
          </w:tcPr>
          <w:p w14:paraId="6E59EC95"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0AD6138F" w14:textId="77777777" w:rsidR="007B3093" w:rsidRDefault="00000000">
            <w:pPr>
              <w:pStyle w:val="Prrafodelista"/>
              <w:tabs>
                <w:tab w:val="left" w:pos="-1440"/>
              </w:tabs>
              <w:ind w:left="284"/>
              <w:jc w:val="both"/>
              <w:rPr>
                <w:rFonts w:cstheme="minorHAnsi"/>
              </w:rPr>
            </w:pPr>
            <w:r>
              <w:rPr>
                <w:rFonts w:cstheme="minorHAnsi"/>
              </w:rPr>
              <w:t xml:space="preserve">Optimizar y fortalecer las habilidades y destrezas de las y los servidores de la Procuraduría General del Estado y otros funcionarios del Estado ecuatoriano relacionados con la seguridad interna y justicia, a través de la ejecución de un curso de capacitación especializado en estándares interamericanos sobre protesta social.  </w:t>
            </w:r>
          </w:p>
        </w:tc>
      </w:tr>
      <w:tr w:rsidR="007B3093" w14:paraId="25D54B88" w14:textId="77777777">
        <w:tc>
          <w:tcPr>
            <w:tcW w:w="723" w:type="pct"/>
          </w:tcPr>
          <w:p w14:paraId="403AA9A7"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258B41C3" w14:textId="77777777" w:rsidR="007B3093" w:rsidRDefault="00000000">
            <w:pPr>
              <w:pStyle w:val="Prrafodelista"/>
              <w:numPr>
                <w:ilvl w:val="0"/>
                <w:numId w:val="14"/>
              </w:numPr>
              <w:tabs>
                <w:tab w:val="left" w:pos="-1440"/>
              </w:tabs>
              <w:jc w:val="both"/>
              <w:rPr>
                <w:rFonts w:cstheme="minorHAnsi"/>
              </w:rPr>
            </w:pPr>
            <w:r>
              <w:rPr>
                <w:rFonts w:cstheme="minorHAnsi"/>
              </w:rPr>
              <w:t>Matriz de competencias.</w:t>
            </w:r>
          </w:p>
          <w:p w14:paraId="6A66A45D" w14:textId="77777777" w:rsidR="007B3093" w:rsidRDefault="00000000">
            <w:pPr>
              <w:pStyle w:val="Prrafodelista"/>
              <w:numPr>
                <w:ilvl w:val="0"/>
                <w:numId w:val="14"/>
              </w:numPr>
              <w:tabs>
                <w:tab w:val="left" w:pos="-1440"/>
              </w:tabs>
              <w:jc w:val="both"/>
              <w:rPr>
                <w:rFonts w:cstheme="minorHAnsi"/>
                <w:bCs/>
                <w:color w:val="000000"/>
                <w:lang w:eastAsia="es-EC"/>
              </w:rPr>
            </w:pPr>
            <w:r>
              <w:rPr>
                <w:rFonts w:cstheme="minorHAnsi"/>
                <w:bCs/>
                <w:color w:val="000000"/>
                <w:lang w:eastAsia="es-EC"/>
              </w:rPr>
              <w:t>Informe de evaluación que determine el estado actual de los procesos de capacitación que realiza la PGE a nivel de su personal (interno) y de otros servidores del Estado (externo)</w:t>
            </w:r>
          </w:p>
          <w:p w14:paraId="7EBC6B68" w14:textId="77777777" w:rsidR="007B3093" w:rsidRDefault="00000000">
            <w:pPr>
              <w:pStyle w:val="Prrafodelista"/>
              <w:numPr>
                <w:ilvl w:val="0"/>
                <w:numId w:val="14"/>
              </w:numPr>
              <w:tabs>
                <w:tab w:val="left" w:pos="-1440"/>
              </w:tabs>
              <w:jc w:val="both"/>
              <w:rPr>
                <w:rFonts w:cstheme="minorHAnsi"/>
              </w:rPr>
            </w:pPr>
            <w:r>
              <w:rPr>
                <w:rFonts w:cstheme="minorHAnsi"/>
                <w:bCs/>
                <w:color w:val="000000"/>
                <w:lang w:eastAsia="es-EC"/>
              </w:rPr>
              <w:t>Informe que contenga los TDR de los procesos de contratación del PROFIP o componente 3 del Programa de Modernización de la Administración Financiera para capacitaciones de la PGE en el 2021.</w:t>
            </w:r>
          </w:p>
          <w:p w14:paraId="1D717D01" w14:textId="77777777" w:rsidR="007B3093" w:rsidRDefault="00000000">
            <w:pPr>
              <w:pStyle w:val="Prrafodelista"/>
              <w:numPr>
                <w:ilvl w:val="0"/>
                <w:numId w:val="14"/>
              </w:numPr>
              <w:tabs>
                <w:tab w:val="left" w:pos="-1440"/>
              </w:tabs>
              <w:jc w:val="both"/>
              <w:rPr>
                <w:rFonts w:cstheme="minorHAnsi"/>
              </w:rPr>
            </w:pPr>
            <w:r>
              <w:rPr>
                <w:rFonts w:cstheme="minorHAnsi"/>
                <w:bCs/>
                <w:color w:val="000000"/>
                <w:lang w:eastAsia="es-EC"/>
              </w:rPr>
              <w:t>Plan de capacitación emergente para áreas misionales institucionales en función de brechas.</w:t>
            </w:r>
          </w:p>
        </w:tc>
      </w:tr>
      <w:tr w:rsidR="007B3093" w14:paraId="2BA2D737" w14:textId="77777777">
        <w:tc>
          <w:tcPr>
            <w:tcW w:w="723" w:type="pct"/>
          </w:tcPr>
          <w:p w14:paraId="02BF74C8"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05EFBE01" w14:textId="77777777" w:rsidR="007B3093" w:rsidRDefault="00000000">
            <w:pPr>
              <w:pStyle w:val="Prrafodelista"/>
              <w:tabs>
                <w:tab w:val="left" w:pos="-1440"/>
              </w:tabs>
              <w:ind w:left="317"/>
              <w:jc w:val="both"/>
              <w:rPr>
                <w:rFonts w:cstheme="minorHAnsi"/>
                <w:b/>
                <w:u w:val="single"/>
              </w:rPr>
            </w:pPr>
            <w:r>
              <w:rPr>
                <w:rFonts w:cstheme="minorHAnsi"/>
                <w:b/>
                <w:bCs/>
                <w:color w:val="000000"/>
              </w:rPr>
              <w:t>FORO PÚBLICO</w:t>
            </w:r>
            <w:r>
              <w:rPr>
                <w:rFonts w:cstheme="minorHAnsi"/>
                <w:b/>
                <w:u w:val="single"/>
              </w:rPr>
              <w:t xml:space="preserve">: </w:t>
            </w:r>
          </w:p>
          <w:p w14:paraId="5958D952" w14:textId="77777777" w:rsidR="007B3093" w:rsidRDefault="00000000">
            <w:pPr>
              <w:pStyle w:val="Prrafodelista"/>
              <w:tabs>
                <w:tab w:val="left" w:pos="-1440"/>
              </w:tabs>
              <w:ind w:left="317"/>
              <w:jc w:val="both"/>
              <w:rPr>
                <w:rFonts w:cstheme="minorHAnsi"/>
              </w:rPr>
            </w:pPr>
            <w:r>
              <w:rPr>
                <w:rFonts w:cstheme="minorHAnsi"/>
                <w:b/>
              </w:rPr>
              <w:t>“</w:t>
            </w:r>
            <w:r>
              <w:rPr>
                <w:rFonts w:cstheme="minorHAnsi"/>
              </w:rPr>
              <w:t>Derecho a la protesta social y orden público: alcances y límites”</w:t>
            </w:r>
          </w:p>
          <w:p w14:paraId="40960F06" w14:textId="77777777" w:rsidR="007B3093" w:rsidRDefault="00000000">
            <w:pPr>
              <w:pStyle w:val="Prrafodelista"/>
              <w:tabs>
                <w:tab w:val="left" w:pos="-1440"/>
              </w:tabs>
              <w:ind w:left="317"/>
              <w:jc w:val="both"/>
              <w:rPr>
                <w:rFonts w:cstheme="minorHAnsi"/>
              </w:rPr>
            </w:pPr>
            <w:r>
              <w:rPr>
                <w:rFonts w:cstheme="minorHAnsi"/>
                <w:b/>
              </w:rPr>
              <w:t>Conferencia Especialista CIDH</w:t>
            </w:r>
            <w:r>
              <w:rPr>
                <w:rFonts w:cstheme="minorHAnsi"/>
              </w:rPr>
              <w:t xml:space="preserve"> </w:t>
            </w:r>
          </w:p>
          <w:p w14:paraId="57CB277B" w14:textId="77777777" w:rsidR="007B3093" w:rsidRDefault="00000000">
            <w:pPr>
              <w:pStyle w:val="Prrafodelista"/>
              <w:tabs>
                <w:tab w:val="left" w:pos="-1440"/>
              </w:tabs>
              <w:ind w:left="317"/>
              <w:jc w:val="both"/>
              <w:rPr>
                <w:rFonts w:cstheme="minorHAnsi"/>
              </w:rPr>
            </w:pPr>
            <w:r>
              <w:rPr>
                <w:rFonts w:cstheme="minorHAnsi"/>
              </w:rPr>
              <w:t>“Experiencia comparada sobre el derecho a la protesta social”</w:t>
            </w:r>
          </w:p>
          <w:p w14:paraId="27B66C68" w14:textId="77777777" w:rsidR="007B3093" w:rsidRDefault="00000000">
            <w:pPr>
              <w:pStyle w:val="Prrafodelista"/>
              <w:tabs>
                <w:tab w:val="left" w:pos="-1440"/>
              </w:tabs>
              <w:ind w:left="317"/>
              <w:jc w:val="both"/>
              <w:rPr>
                <w:rFonts w:cstheme="minorHAnsi"/>
                <w:bCs/>
              </w:rPr>
            </w:pPr>
            <w:r>
              <w:rPr>
                <w:rFonts w:cstheme="minorHAnsi"/>
              </w:rPr>
              <w:t xml:space="preserve"> “Estados de excepción y derechos humanos”</w:t>
            </w:r>
            <w:r>
              <w:rPr>
                <w:rFonts w:cstheme="minorHAnsi"/>
                <w:bCs/>
              </w:rPr>
              <w:t>.</w:t>
            </w:r>
          </w:p>
          <w:p w14:paraId="1C6999A4" w14:textId="77777777" w:rsidR="007B3093" w:rsidRDefault="00000000">
            <w:pPr>
              <w:ind w:left="317"/>
              <w:rPr>
                <w:rFonts w:cstheme="minorHAnsi"/>
                <w:b/>
                <w:bCs/>
              </w:rPr>
            </w:pPr>
            <w:r>
              <w:rPr>
                <w:rFonts w:cstheme="minorHAnsi"/>
                <w:b/>
                <w:bCs/>
              </w:rPr>
              <w:t>MÓDULO DE INICIO</w:t>
            </w:r>
          </w:p>
          <w:p w14:paraId="1A37E379" w14:textId="77777777" w:rsidR="007B3093" w:rsidRDefault="00000000">
            <w:pPr>
              <w:ind w:left="317"/>
              <w:jc w:val="both"/>
              <w:rPr>
                <w:rFonts w:cstheme="minorHAnsi"/>
              </w:rPr>
            </w:pPr>
            <w:r>
              <w:rPr>
                <w:rFonts w:cstheme="minorHAnsi"/>
              </w:rPr>
              <w:lastRenderedPageBreak/>
              <w:t>a) Fundamentos generales y misión institucional de la Corte IDH en la defensa de la dignidad humana.</w:t>
            </w:r>
          </w:p>
          <w:p w14:paraId="6D1E69F4" w14:textId="77777777" w:rsidR="007B3093" w:rsidRDefault="00000000">
            <w:pPr>
              <w:ind w:left="317"/>
              <w:rPr>
                <w:rFonts w:cstheme="minorHAnsi"/>
              </w:rPr>
            </w:pPr>
            <w:r>
              <w:rPr>
                <w:rFonts w:cstheme="minorHAnsi"/>
              </w:rPr>
              <w:t>b) Estándares interamericanos sobre el derecho a la protesta social.</w:t>
            </w:r>
          </w:p>
          <w:p w14:paraId="42D39D0B" w14:textId="77777777" w:rsidR="007B3093" w:rsidRDefault="00000000">
            <w:pPr>
              <w:tabs>
                <w:tab w:val="left" w:pos="-1440"/>
              </w:tabs>
              <w:ind w:left="317"/>
              <w:jc w:val="both"/>
              <w:rPr>
                <w:rFonts w:cstheme="minorHAnsi"/>
              </w:rPr>
            </w:pPr>
            <w:r>
              <w:rPr>
                <w:rFonts w:cstheme="minorHAnsi"/>
              </w:rPr>
              <w:t>c) Estándares interamericanos sobre la preservación del orden público y el estado de derecho.</w:t>
            </w:r>
          </w:p>
          <w:p w14:paraId="4B3C7BF2" w14:textId="77777777" w:rsidR="007B3093" w:rsidRDefault="00000000">
            <w:pPr>
              <w:ind w:left="317"/>
              <w:rPr>
                <w:rFonts w:cstheme="minorHAnsi"/>
              </w:rPr>
            </w:pPr>
            <w:r>
              <w:rPr>
                <w:rFonts w:cstheme="minorHAnsi"/>
              </w:rPr>
              <w:t>d) Restricciones a las libertades en contextos de conmoción interna.</w:t>
            </w:r>
          </w:p>
          <w:p w14:paraId="6A6BE1A8" w14:textId="77777777" w:rsidR="007B3093" w:rsidRDefault="00000000">
            <w:pPr>
              <w:pStyle w:val="Prrafodelista"/>
              <w:tabs>
                <w:tab w:val="left" w:pos="-1440"/>
              </w:tabs>
              <w:ind w:left="317"/>
              <w:jc w:val="both"/>
              <w:rPr>
                <w:rFonts w:cstheme="minorHAnsi"/>
                <w:b/>
                <w:bCs/>
              </w:rPr>
            </w:pPr>
            <w:r>
              <w:rPr>
                <w:rFonts w:cstheme="minorHAnsi"/>
                <w:b/>
                <w:bCs/>
              </w:rPr>
              <w:t>MÓDULO AUTO FORMATIVO</w:t>
            </w:r>
          </w:p>
          <w:p w14:paraId="47BCD5B4" w14:textId="77777777" w:rsidR="007B3093" w:rsidRDefault="00000000">
            <w:pPr>
              <w:pStyle w:val="Prrafodelista"/>
              <w:tabs>
                <w:tab w:val="left" w:pos="-1440"/>
              </w:tabs>
              <w:ind w:left="317"/>
              <w:jc w:val="both"/>
              <w:rPr>
                <w:rFonts w:cstheme="minorHAnsi"/>
              </w:rPr>
            </w:pPr>
            <w:r>
              <w:rPr>
                <w:rFonts w:cstheme="minorHAnsi"/>
              </w:rPr>
              <w:t>Derechos Humanos y Protesta Social</w:t>
            </w:r>
          </w:p>
          <w:p w14:paraId="325F34E8" w14:textId="77777777" w:rsidR="007B3093" w:rsidRDefault="00000000">
            <w:pPr>
              <w:pStyle w:val="Prrafodelista"/>
              <w:tabs>
                <w:tab w:val="left" w:pos="-1440"/>
              </w:tabs>
              <w:ind w:left="317"/>
              <w:jc w:val="both"/>
              <w:rPr>
                <w:rFonts w:cstheme="minorHAnsi"/>
                <w:b/>
                <w:bCs/>
              </w:rPr>
            </w:pPr>
            <w:r>
              <w:rPr>
                <w:rFonts w:cstheme="minorHAnsi"/>
                <w:b/>
                <w:bCs/>
              </w:rPr>
              <w:t>TALLER</w:t>
            </w:r>
          </w:p>
          <w:p w14:paraId="097D6BF2" w14:textId="77777777" w:rsidR="007B3093" w:rsidRDefault="00000000">
            <w:pPr>
              <w:pStyle w:val="Prrafodelista"/>
              <w:tabs>
                <w:tab w:val="left" w:pos="-1440"/>
              </w:tabs>
              <w:ind w:left="317"/>
              <w:jc w:val="both"/>
              <w:rPr>
                <w:rFonts w:cstheme="minorHAnsi"/>
              </w:rPr>
            </w:pPr>
            <w:r>
              <w:rPr>
                <w:rFonts w:cstheme="minorHAnsi"/>
              </w:rPr>
              <w:t>Análisis de casos y jurisprudencia interamericana en materia de protesta social y orden público.</w:t>
            </w:r>
          </w:p>
        </w:tc>
      </w:tr>
    </w:tbl>
    <w:p w14:paraId="21272A94" w14:textId="77777777" w:rsidR="007B3093" w:rsidRDefault="007B3093">
      <w:pPr>
        <w:spacing w:after="0" w:line="240" w:lineRule="auto"/>
        <w:contextualSpacing/>
        <w:rPr>
          <w:rFonts w:cstheme="minorHAnsi"/>
        </w:rPr>
      </w:pPr>
    </w:p>
    <w:p w14:paraId="7699422F"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6BF0D378" w14:textId="77777777">
        <w:trPr>
          <w:trHeight w:val="388"/>
        </w:trPr>
        <w:tc>
          <w:tcPr>
            <w:tcW w:w="5000" w:type="pct"/>
            <w:shd w:val="clear" w:color="auto" w:fill="ACB9CA" w:themeFill="text2" w:themeFillTint="66"/>
          </w:tcPr>
          <w:p w14:paraId="708CFDC8" w14:textId="77777777" w:rsidR="007B3093" w:rsidRDefault="00000000">
            <w:pPr>
              <w:pStyle w:val="Prrafodelista"/>
              <w:ind w:left="410"/>
              <w:jc w:val="center"/>
              <w:rPr>
                <w:rFonts w:cstheme="minorHAnsi"/>
                <w:color w:val="000000"/>
              </w:rPr>
            </w:pPr>
            <w:r>
              <w:rPr>
                <w:rFonts w:cstheme="minorHAnsi"/>
                <w:b/>
              </w:rPr>
              <w:t>ACTIVIDAD 2.3</w:t>
            </w:r>
          </w:p>
        </w:tc>
      </w:tr>
      <w:tr w:rsidR="007B3093" w14:paraId="070CC38D" w14:textId="77777777">
        <w:trPr>
          <w:trHeight w:val="364"/>
        </w:trPr>
        <w:tc>
          <w:tcPr>
            <w:tcW w:w="5000" w:type="pct"/>
          </w:tcPr>
          <w:p w14:paraId="10ED9F81" w14:textId="77777777" w:rsidR="007B3093" w:rsidRDefault="00000000">
            <w:pPr>
              <w:contextualSpacing/>
              <w:jc w:val="both"/>
              <w:rPr>
                <w:rFonts w:cstheme="minorHAnsi"/>
                <w:b/>
                <w:color w:val="000000"/>
              </w:rPr>
            </w:pPr>
            <w:r>
              <w:rPr>
                <w:rFonts w:cstheme="minorHAnsi"/>
                <w:b/>
                <w:color w:val="000000"/>
              </w:rPr>
              <w:t>Elaborar protocolos y guías para la coordinación interinstitucional para la defensa de casos.</w:t>
            </w:r>
          </w:p>
        </w:tc>
      </w:tr>
    </w:tbl>
    <w:p w14:paraId="0FB6A7BB"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4DFD9736" w14:textId="77777777">
        <w:tc>
          <w:tcPr>
            <w:tcW w:w="5000" w:type="pct"/>
            <w:gridSpan w:val="2"/>
          </w:tcPr>
          <w:p w14:paraId="6D4D6A8D" w14:textId="77777777" w:rsidR="007B3093" w:rsidRDefault="00000000">
            <w:pPr>
              <w:tabs>
                <w:tab w:val="left" w:pos="-1440"/>
              </w:tabs>
              <w:contextualSpacing/>
              <w:jc w:val="both"/>
              <w:rPr>
                <w:rFonts w:cstheme="minorHAnsi"/>
                <w:b/>
              </w:rPr>
            </w:pPr>
            <w:r>
              <w:rPr>
                <w:rFonts w:cstheme="minorHAnsi"/>
                <w:b/>
              </w:rPr>
              <w:t>Elaborar el Manual de Defensa Jurídica del Estado.</w:t>
            </w:r>
          </w:p>
        </w:tc>
      </w:tr>
      <w:tr w:rsidR="007B3093" w14:paraId="390E83AE" w14:textId="77777777">
        <w:trPr>
          <w:trHeight w:val="485"/>
        </w:trPr>
        <w:tc>
          <w:tcPr>
            <w:tcW w:w="723" w:type="pct"/>
          </w:tcPr>
          <w:p w14:paraId="149ED35A"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2C1EEA48" w14:textId="77777777" w:rsidR="007B3093" w:rsidRDefault="00000000">
            <w:pPr>
              <w:pStyle w:val="Prrafodelista"/>
              <w:tabs>
                <w:tab w:val="left" w:pos="-1440"/>
              </w:tabs>
              <w:ind w:left="284"/>
              <w:jc w:val="both"/>
              <w:rPr>
                <w:rFonts w:cstheme="minorHAnsi"/>
              </w:rPr>
            </w:pPr>
            <w:r>
              <w:rPr>
                <w:rFonts w:cstheme="minorHAnsi"/>
                <w:lang w:val="es-ES"/>
              </w:rPr>
              <w:t xml:space="preserve">Elaborar un </w:t>
            </w:r>
            <w:r>
              <w:rPr>
                <w:rFonts w:cstheme="minorHAnsi"/>
                <w:i/>
                <w:lang w:val="es-ES"/>
              </w:rPr>
              <w:t>Manual de defensa jurídica del Estado</w:t>
            </w:r>
            <w:r>
              <w:rPr>
                <w:rFonts w:cstheme="minorHAnsi"/>
                <w:lang w:val="es-ES"/>
              </w:rPr>
              <w:t xml:space="preserve"> que permita fortalecer la oportuna y uniforme aplicación de los procedimientos que desarrollan las unidades misionales de la PGE para la defensa jurídica del Estado, así como su debido conocimiento por parte de los equipos jurídicos del Estado y ciudadanía en general</w:t>
            </w:r>
          </w:p>
        </w:tc>
      </w:tr>
      <w:tr w:rsidR="007B3093" w14:paraId="550E6180" w14:textId="77777777">
        <w:tc>
          <w:tcPr>
            <w:tcW w:w="723" w:type="pct"/>
          </w:tcPr>
          <w:p w14:paraId="7CDE7489"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7D29B329" w14:textId="77777777" w:rsidR="007B3093" w:rsidRDefault="00000000">
            <w:pPr>
              <w:pStyle w:val="Prrafodelista"/>
              <w:numPr>
                <w:ilvl w:val="0"/>
                <w:numId w:val="15"/>
              </w:numPr>
              <w:tabs>
                <w:tab w:val="left" w:pos="-1440"/>
              </w:tabs>
              <w:jc w:val="both"/>
              <w:rPr>
                <w:rFonts w:cstheme="minorHAnsi"/>
              </w:rPr>
            </w:pPr>
            <w:r>
              <w:rPr>
                <w:rFonts w:ascii="Calibri" w:eastAsia="Times New Roman" w:hAnsi="Calibri" w:cs="Calibri"/>
                <w:color w:val="000000"/>
                <w:szCs w:val="18"/>
                <w:lang w:eastAsia="es-EC"/>
              </w:rPr>
              <w:t>Diagnóstico situacional y propuesta de direccionamiento estratégico;</w:t>
            </w:r>
          </w:p>
          <w:p w14:paraId="43CB34CA" w14:textId="77777777" w:rsidR="007B3093" w:rsidRDefault="00000000">
            <w:pPr>
              <w:pStyle w:val="Prrafodelista"/>
              <w:numPr>
                <w:ilvl w:val="0"/>
                <w:numId w:val="15"/>
              </w:numPr>
              <w:tabs>
                <w:tab w:val="left" w:pos="-1440"/>
              </w:tabs>
              <w:jc w:val="both"/>
              <w:rPr>
                <w:rFonts w:cstheme="minorHAnsi"/>
              </w:rPr>
            </w:pPr>
            <w:r>
              <w:rPr>
                <w:rFonts w:cstheme="minorHAnsi"/>
              </w:rPr>
              <w:t>Estatuto Orgánico Funcional por Procesos.</w:t>
            </w:r>
          </w:p>
          <w:p w14:paraId="65B4FDD3" w14:textId="77777777" w:rsidR="007B3093" w:rsidRDefault="00000000">
            <w:pPr>
              <w:pStyle w:val="Prrafodelista"/>
              <w:numPr>
                <w:ilvl w:val="0"/>
                <w:numId w:val="15"/>
              </w:numPr>
              <w:tabs>
                <w:tab w:val="left" w:pos="-1440"/>
              </w:tabs>
              <w:jc w:val="both"/>
              <w:rPr>
                <w:rFonts w:cstheme="minorHAnsi"/>
              </w:rPr>
            </w:pPr>
            <w:r>
              <w:rPr>
                <w:rFonts w:cstheme="minorHAnsi"/>
              </w:rPr>
              <w:t>Manual de Procesos actualizado.</w:t>
            </w:r>
          </w:p>
          <w:p w14:paraId="6B7A7CB0" w14:textId="77777777" w:rsidR="007B3093" w:rsidRDefault="00000000">
            <w:pPr>
              <w:pStyle w:val="Prrafodelista"/>
              <w:numPr>
                <w:ilvl w:val="0"/>
                <w:numId w:val="15"/>
              </w:numPr>
              <w:tabs>
                <w:tab w:val="left" w:pos="-1440"/>
              </w:tabs>
              <w:jc w:val="both"/>
              <w:rPr>
                <w:rFonts w:cstheme="minorHAnsi"/>
              </w:rPr>
            </w:pPr>
            <w:r>
              <w:rPr>
                <w:rFonts w:cstheme="minorHAnsi"/>
              </w:rPr>
              <w:t>Competencias y atribuciones institucionales.</w:t>
            </w:r>
          </w:p>
        </w:tc>
      </w:tr>
      <w:tr w:rsidR="007B3093" w14:paraId="35831CDC" w14:textId="77777777">
        <w:tc>
          <w:tcPr>
            <w:tcW w:w="723" w:type="pct"/>
          </w:tcPr>
          <w:p w14:paraId="23BF4531"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7BCE2C88" w14:textId="77777777" w:rsidR="007B3093" w:rsidRDefault="00000000">
            <w:pPr>
              <w:pStyle w:val="Prrafodelista"/>
              <w:numPr>
                <w:ilvl w:val="0"/>
                <w:numId w:val="51"/>
              </w:numPr>
              <w:tabs>
                <w:tab w:val="left" w:pos="-1440"/>
              </w:tabs>
              <w:ind w:left="360"/>
              <w:jc w:val="both"/>
              <w:rPr>
                <w:rFonts w:cstheme="minorHAnsi"/>
              </w:rPr>
            </w:pPr>
            <w:r>
              <w:rPr>
                <w:rFonts w:cstheme="minorHAnsi"/>
              </w:rPr>
              <w:t>Texto borrador del Manual.</w:t>
            </w:r>
          </w:p>
          <w:p w14:paraId="2F8F6567" w14:textId="77777777" w:rsidR="007B3093" w:rsidRDefault="00000000">
            <w:pPr>
              <w:pStyle w:val="Prrafodelista"/>
              <w:numPr>
                <w:ilvl w:val="0"/>
                <w:numId w:val="51"/>
              </w:numPr>
              <w:tabs>
                <w:tab w:val="left" w:pos="-1440"/>
              </w:tabs>
              <w:ind w:left="360"/>
              <w:jc w:val="both"/>
              <w:rPr>
                <w:rFonts w:cstheme="minorHAnsi"/>
              </w:rPr>
            </w:pPr>
            <w:r>
              <w:rPr>
                <w:rFonts w:cstheme="minorHAnsi"/>
              </w:rPr>
              <w:t>Documento final del Manual, que acoge y consolida las observaciones prexistentes.</w:t>
            </w:r>
          </w:p>
          <w:p w14:paraId="2B31EDF8" w14:textId="77777777" w:rsidR="007B3093" w:rsidRDefault="00000000">
            <w:pPr>
              <w:pStyle w:val="Prrafodelista"/>
              <w:numPr>
                <w:ilvl w:val="0"/>
                <w:numId w:val="51"/>
              </w:numPr>
              <w:tabs>
                <w:tab w:val="left" w:pos="-1440"/>
              </w:tabs>
              <w:ind w:left="360"/>
              <w:jc w:val="both"/>
              <w:rPr>
                <w:rFonts w:cstheme="minorHAnsi"/>
              </w:rPr>
            </w:pPr>
            <w:r>
              <w:rPr>
                <w:rFonts w:cstheme="minorHAnsi"/>
              </w:rPr>
              <w:t>Informe final del consultor, que recoja las actividades cumplidas y resultados del servicio prestado.</w:t>
            </w:r>
          </w:p>
        </w:tc>
      </w:tr>
    </w:tbl>
    <w:p w14:paraId="01F6EEA1"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5A083411" w14:textId="77777777">
        <w:tc>
          <w:tcPr>
            <w:tcW w:w="5000" w:type="pct"/>
            <w:gridSpan w:val="2"/>
          </w:tcPr>
          <w:p w14:paraId="792D4DA2" w14:textId="77777777" w:rsidR="007B3093" w:rsidRDefault="00000000">
            <w:pPr>
              <w:tabs>
                <w:tab w:val="left" w:pos="-1440"/>
              </w:tabs>
              <w:contextualSpacing/>
              <w:jc w:val="both"/>
              <w:rPr>
                <w:rFonts w:cstheme="minorHAnsi"/>
                <w:b/>
              </w:rPr>
            </w:pPr>
            <w:r>
              <w:rPr>
                <w:rFonts w:cstheme="minorHAnsi"/>
                <w:b/>
              </w:rPr>
              <w:t>Servicio de diseño digital, edición, diagramación e impresión del Manual de Defensa Jurídica del Estado</w:t>
            </w:r>
          </w:p>
        </w:tc>
      </w:tr>
      <w:tr w:rsidR="007B3093" w14:paraId="2CAA47DE" w14:textId="77777777">
        <w:trPr>
          <w:trHeight w:val="485"/>
        </w:trPr>
        <w:tc>
          <w:tcPr>
            <w:tcW w:w="723" w:type="pct"/>
          </w:tcPr>
          <w:p w14:paraId="07C25675"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457B77A8" w14:textId="77777777" w:rsidR="007B3093" w:rsidRDefault="00000000">
            <w:pPr>
              <w:ind w:right="283"/>
              <w:rPr>
                <w:rFonts w:cstheme="minorHAnsi"/>
                <w:lang w:val="es-ES"/>
              </w:rPr>
            </w:pPr>
            <w:r>
              <w:rPr>
                <w:rFonts w:cstheme="minorHAnsi"/>
              </w:rPr>
              <w:t>Generar el diseño digital, edición, diagramación e impresión del Manual de Defensa Jurídica del Estado, tanto para su difusión a través de ejemplares físicos como mediante la divulgación de su versión digital.</w:t>
            </w:r>
          </w:p>
        </w:tc>
      </w:tr>
      <w:tr w:rsidR="007B3093" w14:paraId="7F9CCD2C" w14:textId="77777777">
        <w:tc>
          <w:tcPr>
            <w:tcW w:w="723" w:type="pct"/>
          </w:tcPr>
          <w:p w14:paraId="1B93CF57"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1085FF38" w14:textId="77777777" w:rsidR="007B3093" w:rsidRDefault="00000000">
            <w:pPr>
              <w:pStyle w:val="Prrafodelista"/>
              <w:numPr>
                <w:ilvl w:val="0"/>
                <w:numId w:val="67"/>
              </w:numPr>
              <w:tabs>
                <w:tab w:val="left" w:pos="-1440"/>
              </w:tabs>
              <w:jc w:val="both"/>
              <w:rPr>
                <w:rFonts w:cstheme="minorHAnsi"/>
              </w:rPr>
            </w:pPr>
            <w:r>
              <w:rPr>
                <w:rFonts w:cstheme="minorHAnsi"/>
              </w:rPr>
              <w:t>Manual de Defensa Jurídica</w:t>
            </w:r>
          </w:p>
        </w:tc>
      </w:tr>
      <w:tr w:rsidR="007B3093" w14:paraId="348D79B3" w14:textId="77777777">
        <w:tc>
          <w:tcPr>
            <w:tcW w:w="723" w:type="pct"/>
          </w:tcPr>
          <w:p w14:paraId="3D781C47" w14:textId="77777777" w:rsidR="007B3093" w:rsidRDefault="00000000">
            <w:pPr>
              <w:tabs>
                <w:tab w:val="left" w:pos="-1440"/>
              </w:tabs>
              <w:contextualSpacing/>
              <w:jc w:val="both"/>
              <w:rPr>
                <w:rFonts w:cstheme="minorHAnsi"/>
                <w:b/>
              </w:rPr>
            </w:pPr>
            <w:r>
              <w:rPr>
                <w:rFonts w:cstheme="minorHAnsi"/>
                <w:b/>
              </w:rPr>
              <w:t>Servicios</w:t>
            </w:r>
          </w:p>
        </w:tc>
        <w:tc>
          <w:tcPr>
            <w:tcW w:w="4277" w:type="pct"/>
          </w:tcPr>
          <w:p w14:paraId="43E19D0B" w14:textId="77777777" w:rsidR="007B3093" w:rsidRDefault="00000000">
            <w:pPr>
              <w:pStyle w:val="Prrafodelista"/>
              <w:numPr>
                <w:ilvl w:val="0"/>
                <w:numId w:val="50"/>
              </w:numPr>
              <w:tabs>
                <w:tab w:val="left" w:pos="-1440"/>
              </w:tabs>
              <w:jc w:val="both"/>
              <w:rPr>
                <w:rStyle w:val="Ninguno"/>
                <w:rFonts w:cstheme="minorHAnsi"/>
              </w:rPr>
            </w:pPr>
            <w:r>
              <w:rPr>
                <w:rStyle w:val="Ninguno"/>
                <w:rFonts w:eastAsia="Arial Unicode MS" w:cstheme="minorHAnsi"/>
                <w:color w:val="000000"/>
                <w:u w:color="000000"/>
                <w:bdr w:val="nil"/>
                <w:lang w:eastAsia="es-MX"/>
              </w:rPr>
              <w:t>Los servicios relacionados con la ilustración, diseño, diagramación e impresión del libro físico</w:t>
            </w:r>
          </w:p>
          <w:p w14:paraId="41529340" w14:textId="77777777" w:rsidR="007B3093" w:rsidRDefault="00000000">
            <w:pPr>
              <w:pStyle w:val="Prrafodelista"/>
              <w:numPr>
                <w:ilvl w:val="0"/>
                <w:numId w:val="50"/>
              </w:numPr>
              <w:tabs>
                <w:tab w:val="left" w:pos="-1440"/>
              </w:tabs>
              <w:jc w:val="both"/>
              <w:rPr>
                <w:rFonts w:cstheme="minorHAnsi"/>
              </w:rPr>
            </w:pPr>
            <w:r>
              <w:rPr>
                <w:rStyle w:val="Ninguno"/>
                <w:rFonts w:eastAsia="Arial Unicode MS" w:cstheme="minorHAnsi"/>
                <w:color w:val="000000"/>
                <w:u w:color="000000"/>
                <w:bdr w:val="nil"/>
                <w:lang w:eastAsia="es-MX"/>
              </w:rPr>
              <w:lastRenderedPageBreak/>
              <w:t>Diagramación para publicación digital del libro en la página oficial de la Procuraduría General del Estado</w:t>
            </w:r>
          </w:p>
          <w:p w14:paraId="17E7D971" w14:textId="77777777" w:rsidR="007B3093" w:rsidRDefault="00000000">
            <w:pPr>
              <w:pStyle w:val="Prrafodelista"/>
              <w:numPr>
                <w:ilvl w:val="0"/>
                <w:numId w:val="50"/>
              </w:numPr>
              <w:tabs>
                <w:tab w:val="left" w:pos="-1440"/>
              </w:tabs>
              <w:jc w:val="both"/>
              <w:rPr>
                <w:rFonts w:cstheme="minorHAnsi"/>
              </w:rPr>
            </w:pPr>
            <w:r>
              <w:rPr>
                <w:rFonts w:cstheme="minorHAnsi"/>
                <w:color w:val="000000"/>
                <w:lang w:eastAsia="es-EC"/>
              </w:rPr>
              <w:t>Entrega del impreso de los 1000 ejemplares y publicación digital del Manual de Defensa Jurídica del Estado</w:t>
            </w:r>
          </w:p>
        </w:tc>
      </w:tr>
    </w:tbl>
    <w:p w14:paraId="3282A3F7" w14:textId="77777777" w:rsidR="007B3093" w:rsidRDefault="007B3093">
      <w:pPr>
        <w:spacing w:after="0" w:line="240" w:lineRule="auto"/>
        <w:contextualSpacing/>
        <w:rPr>
          <w:rFonts w:cstheme="minorHAnsi"/>
        </w:rPr>
      </w:pPr>
    </w:p>
    <w:p w14:paraId="58D90FB3"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0F829A9E" w14:textId="77777777">
        <w:tc>
          <w:tcPr>
            <w:tcW w:w="5000" w:type="pct"/>
            <w:gridSpan w:val="2"/>
          </w:tcPr>
          <w:p w14:paraId="1A3C1F1F" w14:textId="77777777" w:rsidR="007B3093" w:rsidRDefault="00000000">
            <w:pPr>
              <w:tabs>
                <w:tab w:val="left" w:pos="-1440"/>
              </w:tabs>
              <w:contextualSpacing/>
              <w:jc w:val="both"/>
              <w:rPr>
                <w:rFonts w:cstheme="minorHAnsi"/>
                <w:b/>
              </w:rPr>
            </w:pPr>
            <w:r>
              <w:rPr>
                <w:rFonts w:cstheme="minorHAnsi"/>
                <w:b/>
              </w:rPr>
              <w:t>Servicio de diseño digital, edición, diagramación e impresión del Manual Práctico de Litigio Constitucional para Servidores Públicos.</w:t>
            </w:r>
          </w:p>
        </w:tc>
      </w:tr>
      <w:tr w:rsidR="007B3093" w14:paraId="34B43B40" w14:textId="77777777">
        <w:trPr>
          <w:trHeight w:val="485"/>
        </w:trPr>
        <w:tc>
          <w:tcPr>
            <w:tcW w:w="723" w:type="pct"/>
          </w:tcPr>
          <w:p w14:paraId="20725546"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5D3E28E8" w14:textId="77777777" w:rsidR="007B3093" w:rsidRDefault="00000000">
            <w:pPr>
              <w:pStyle w:val="Prrafodelista"/>
              <w:tabs>
                <w:tab w:val="left" w:pos="-1440"/>
              </w:tabs>
              <w:ind w:left="284"/>
              <w:jc w:val="both"/>
              <w:rPr>
                <w:rFonts w:cstheme="minorHAnsi"/>
              </w:rPr>
            </w:pPr>
            <w:r>
              <w:rPr>
                <w:rFonts w:cstheme="minorHAnsi"/>
                <w:lang w:val="es-ES"/>
              </w:rPr>
              <w:t xml:space="preserve">Generar el diseño digital, edición, diagramación e impresión del </w:t>
            </w:r>
            <w:r>
              <w:rPr>
                <w:rFonts w:cstheme="minorHAnsi"/>
              </w:rPr>
              <w:t>Manual práctico de litigio constitucional para servidores públicos</w:t>
            </w:r>
            <w:r>
              <w:rPr>
                <w:rFonts w:cstheme="minorHAnsi"/>
                <w:lang w:val="es-ES"/>
              </w:rPr>
              <w:t>, tanto para su difusión a través de ejemplares físicos como mediante la divulgación de su versión digital.</w:t>
            </w:r>
          </w:p>
        </w:tc>
      </w:tr>
      <w:tr w:rsidR="007B3093" w14:paraId="2F6FE61A" w14:textId="77777777">
        <w:tc>
          <w:tcPr>
            <w:tcW w:w="723" w:type="pct"/>
          </w:tcPr>
          <w:p w14:paraId="0151E078"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3D1D0362" w14:textId="77777777" w:rsidR="007B3093" w:rsidRDefault="00000000">
            <w:pPr>
              <w:pStyle w:val="Prrafodelista"/>
              <w:numPr>
                <w:ilvl w:val="0"/>
                <w:numId w:val="68"/>
              </w:numPr>
              <w:tabs>
                <w:tab w:val="left" w:pos="-1440"/>
              </w:tabs>
              <w:jc w:val="both"/>
              <w:rPr>
                <w:rFonts w:cstheme="minorHAnsi"/>
              </w:rPr>
            </w:pPr>
            <w:r>
              <w:rPr>
                <w:rFonts w:ascii="Calibri" w:eastAsia="Times New Roman" w:hAnsi="Calibri" w:cs="Calibri"/>
                <w:color w:val="000000"/>
                <w:szCs w:val="18"/>
                <w:lang w:eastAsia="es-EC"/>
              </w:rPr>
              <w:t>Diagnóstico situacional y propuesta de direccionamiento estratégico;</w:t>
            </w:r>
          </w:p>
          <w:p w14:paraId="1D178B64" w14:textId="77777777" w:rsidR="007B3093" w:rsidRDefault="00000000">
            <w:pPr>
              <w:pStyle w:val="Prrafodelista"/>
              <w:numPr>
                <w:ilvl w:val="0"/>
                <w:numId w:val="68"/>
              </w:numPr>
              <w:tabs>
                <w:tab w:val="left" w:pos="-1440"/>
              </w:tabs>
              <w:jc w:val="both"/>
              <w:rPr>
                <w:rFonts w:cstheme="minorHAnsi"/>
              </w:rPr>
            </w:pPr>
            <w:r>
              <w:rPr>
                <w:rFonts w:cstheme="minorHAnsi"/>
              </w:rPr>
              <w:t>Estatuto Orgánico Funcional por Procesos.</w:t>
            </w:r>
          </w:p>
          <w:p w14:paraId="2B4B3087" w14:textId="77777777" w:rsidR="007B3093" w:rsidRDefault="00000000">
            <w:pPr>
              <w:pStyle w:val="Prrafodelista"/>
              <w:numPr>
                <w:ilvl w:val="0"/>
                <w:numId w:val="68"/>
              </w:numPr>
              <w:tabs>
                <w:tab w:val="left" w:pos="-1440"/>
              </w:tabs>
              <w:jc w:val="both"/>
              <w:rPr>
                <w:rFonts w:cstheme="minorHAnsi"/>
              </w:rPr>
            </w:pPr>
            <w:r>
              <w:rPr>
                <w:rFonts w:cstheme="minorHAnsi"/>
              </w:rPr>
              <w:t>Manual de Procesos actualizado.</w:t>
            </w:r>
          </w:p>
          <w:p w14:paraId="7E918388" w14:textId="77777777" w:rsidR="007B3093" w:rsidRDefault="00000000">
            <w:pPr>
              <w:pStyle w:val="Prrafodelista"/>
              <w:numPr>
                <w:ilvl w:val="0"/>
                <w:numId w:val="68"/>
              </w:numPr>
              <w:tabs>
                <w:tab w:val="left" w:pos="-1440"/>
              </w:tabs>
              <w:jc w:val="both"/>
              <w:rPr>
                <w:rFonts w:cstheme="minorHAnsi"/>
              </w:rPr>
            </w:pPr>
            <w:r>
              <w:rPr>
                <w:rFonts w:cstheme="minorHAnsi"/>
              </w:rPr>
              <w:t>Competencias y atribuciones institucionales.</w:t>
            </w:r>
          </w:p>
        </w:tc>
      </w:tr>
      <w:tr w:rsidR="007B3093" w14:paraId="36F98CEF" w14:textId="77777777">
        <w:tc>
          <w:tcPr>
            <w:tcW w:w="723" w:type="pct"/>
          </w:tcPr>
          <w:p w14:paraId="72DB4A49"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61BDC05D" w14:textId="77777777" w:rsidR="007B3093" w:rsidRDefault="00000000">
            <w:pPr>
              <w:pStyle w:val="Prrafodelista"/>
              <w:numPr>
                <w:ilvl w:val="0"/>
                <w:numId w:val="49"/>
              </w:numPr>
              <w:tabs>
                <w:tab w:val="left" w:pos="-1440"/>
              </w:tabs>
              <w:jc w:val="both"/>
              <w:rPr>
                <w:rFonts w:cstheme="minorHAnsi"/>
              </w:rPr>
            </w:pPr>
            <w:r>
              <w:rPr>
                <w:rStyle w:val="Ninguno"/>
                <w:rFonts w:eastAsia="Arial Unicode MS" w:cstheme="minorHAnsi"/>
                <w:color w:val="000000"/>
                <w:u w:color="000000"/>
                <w:bdr w:val="nil"/>
                <w:lang w:eastAsia="es-MX"/>
              </w:rPr>
              <w:t>L</w:t>
            </w:r>
            <w:r>
              <w:rPr>
                <w:rStyle w:val="Ninguno"/>
                <w:rFonts w:eastAsia="Arial Unicode MS" w:cstheme="minorHAnsi"/>
                <w:u w:color="000000"/>
                <w:bdr w:val="nil"/>
                <w:lang w:eastAsia="es-MX"/>
              </w:rPr>
              <w:t xml:space="preserve">as dos revisiones de estilo del texto que corresponde al </w:t>
            </w:r>
            <w:r>
              <w:rPr>
                <w:rFonts w:cstheme="minorHAnsi"/>
              </w:rPr>
              <w:t>Manual práctico de garantías jurisdiccionales</w:t>
            </w:r>
          </w:p>
          <w:p w14:paraId="478994B7" w14:textId="77777777" w:rsidR="007B3093" w:rsidRDefault="00000000">
            <w:pPr>
              <w:pStyle w:val="Prrafodelista"/>
              <w:numPr>
                <w:ilvl w:val="0"/>
                <w:numId w:val="49"/>
              </w:numPr>
              <w:tabs>
                <w:tab w:val="left" w:pos="-1440"/>
              </w:tabs>
              <w:jc w:val="both"/>
              <w:rPr>
                <w:rStyle w:val="Ninguno"/>
                <w:rFonts w:cstheme="minorHAnsi"/>
              </w:rPr>
            </w:pPr>
            <w:r>
              <w:rPr>
                <w:rStyle w:val="Ninguno"/>
                <w:rFonts w:eastAsia="Arial Unicode MS" w:cstheme="minorHAnsi"/>
                <w:color w:val="000000"/>
                <w:u w:color="000000"/>
                <w:bdr w:val="nil"/>
                <w:lang w:eastAsia="es-MX"/>
              </w:rPr>
              <w:t>Los servicios relacionados con la ilustración, diseño, diagramación e impresión del libro físico</w:t>
            </w:r>
          </w:p>
          <w:p w14:paraId="041AFDA9" w14:textId="77777777" w:rsidR="007B3093" w:rsidRDefault="00000000">
            <w:pPr>
              <w:pStyle w:val="Prrafodelista"/>
              <w:numPr>
                <w:ilvl w:val="0"/>
                <w:numId w:val="49"/>
              </w:numPr>
              <w:tabs>
                <w:tab w:val="left" w:pos="-1440"/>
              </w:tabs>
              <w:jc w:val="both"/>
              <w:rPr>
                <w:rStyle w:val="Ninguno"/>
                <w:rFonts w:cstheme="minorHAnsi"/>
              </w:rPr>
            </w:pPr>
            <w:r>
              <w:rPr>
                <w:rStyle w:val="Ninguno"/>
                <w:rFonts w:eastAsia="Arial Unicode MS" w:cstheme="minorHAnsi"/>
                <w:color w:val="000000"/>
                <w:u w:color="000000"/>
                <w:bdr w:val="nil"/>
                <w:lang w:eastAsia="es-MX"/>
              </w:rPr>
              <w:t>Diagramación para publicación digital del libro en la página oficial de la Procuraduría General del Estado</w:t>
            </w:r>
          </w:p>
          <w:p w14:paraId="1A81F352" w14:textId="77777777" w:rsidR="007B3093" w:rsidRDefault="00000000">
            <w:pPr>
              <w:pStyle w:val="Prrafodelista"/>
              <w:numPr>
                <w:ilvl w:val="0"/>
                <w:numId w:val="49"/>
              </w:numPr>
              <w:tabs>
                <w:tab w:val="left" w:pos="-1440"/>
              </w:tabs>
              <w:jc w:val="both"/>
              <w:rPr>
                <w:rStyle w:val="Ninguno"/>
                <w:rFonts w:cstheme="minorHAnsi"/>
              </w:rPr>
            </w:pPr>
            <w:r>
              <w:rPr>
                <w:rStyle w:val="Ninguno"/>
                <w:rFonts w:eastAsia="Arial Unicode MS" w:cstheme="minorHAnsi"/>
                <w:color w:val="000000"/>
                <w:u w:color="000000"/>
                <w:bdr w:val="nil"/>
                <w:lang w:eastAsia="es-MX"/>
              </w:rPr>
              <w:t>Registro de Obra Literaria en el SENADI</w:t>
            </w:r>
          </w:p>
          <w:p w14:paraId="066049BD" w14:textId="77777777" w:rsidR="007B3093" w:rsidRDefault="00000000">
            <w:pPr>
              <w:pStyle w:val="Prrafodelista"/>
              <w:numPr>
                <w:ilvl w:val="0"/>
                <w:numId w:val="49"/>
              </w:numPr>
              <w:tabs>
                <w:tab w:val="left" w:pos="-1440"/>
              </w:tabs>
              <w:jc w:val="both"/>
              <w:rPr>
                <w:rFonts w:cstheme="minorHAnsi"/>
              </w:rPr>
            </w:pPr>
            <w:r>
              <w:rPr>
                <w:rFonts w:cstheme="minorHAnsi"/>
                <w:color w:val="000000"/>
                <w:lang w:eastAsia="es-EC"/>
              </w:rPr>
              <w:t xml:space="preserve">Entrega del impreso de los 500 ejemplares y publicación digital del </w:t>
            </w:r>
            <w:r>
              <w:rPr>
                <w:rFonts w:cstheme="minorHAnsi"/>
              </w:rPr>
              <w:t>Manual práctico de garantías jurisdiccionales</w:t>
            </w:r>
          </w:p>
        </w:tc>
      </w:tr>
    </w:tbl>
    <w:p w14:paraId="1EA08C49"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7EC0D026" w14:textId="77777777">
        <w:trPr>
          <w:trHeight w:val="395"/>
        </w:trPr>
        <w:tc>
          <w:tcPr>
            <w:tcW w:w="5000" w:type="pct"/>
            <w:shd w:val="clear" w:color="auto" w:fill="ACB9CA" w:themeFill="text2" w:themeFillTint="66"/>
          </w:tcPr>
          <w:p w14:paraId="10328FBC" w14:textId="77777777" w:rsidR="007B3093" w:rsidRDefault="00000000">
            <w:pPr>
              <w:pStyle w:val="Prrafodelista"/>
              <w:ind w:left="318"/>
              <w:jc w:val="center"/>
              <w:rPr>
                <w:rFonts w:cstheme="minorHAnsi"/>
                <w:color w:val="000000"/>
              </w:rPr>
            </w:pPr>
            <w:r>
              <w:rPr>
                <w:rFonts w:cstheme="minorHAnsi"/>
                <w:b/>
              </w:rPr>
              <w:t>ACTIVIDAD 2.4</w:t>
            </w:r>
          </w:p>
        </w:tc>
      </w:tr>
      <w:tr w:rsidR="007B3093" w14:paraId="42EFBE3D" w14:textId="77777777">
        <w:trPr>
          <w:trHeight w:val="395"/>
        </w:trPr>
        <w:tc>
          <w:tcPr>
            <w:tcW w:w="5000" w:type="pct"/>
          </w:tcPr>
          <w:p w14:paraId="45FE2C21" w14:textId="77777777" w:rsidR="007B3093" w:rsidRDefault="00000000">
            <w:pPr>
              <w:jc w:val="both"/>
              <w:rPr>
                <w:rFonts w:cstheme="minorHAnsi"/>
                <w:b/>
                <w:color w:val="000000"/>
              </w:rPr>
            </w:pPr>
            <w:r>
              <w:rPr>
                <w:rFonts w:cstheme="minorHAnsi"/>
                <w:b/>
                <w:color w:val="000000"/>
              </w:rPr>
              <w:t>Obtener acceso a bases de datos especializadas en temas jurídicos.</w:t>
            </w:r>
          </w:p>
        </w:tc>
      </w:tr>
    </w:tbl>
    <w:p w14:paraId="0261F23F"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768DA8C9" w14:textId="77777777">
        <w:tc>
          <w:tcPr>
            <w:tcW w:w="5000" w:type="pct"/>
            <w:gridSpan w:val="2"/>
          </w:tcPr>
          <w:p w14:paraId="02970453" w14:textId="77777777" w:rsidR="007B3093" w:rsidRDefault="00000000">
            <w:pPr>
              <w:tabs>
                <w:tab w:val="left" w:pos="-1440"/>
              </w:tabs>
              <w:contextualSpacing/>
              <w:jc w:val="both"/>
              <w:rPr>
                <w:rFonts w:cstheme="minorHAnsi"/>
                <w:b/>
              </w:rPr>
            </w:pPr>
            <w:r>
              <w:rPr>
                <w:rFonts w:cstheme="minorHAnsi"/>
                <w:b/>
                <w:color w:val="000000"/>
              </w:rPr>
              <w:t>Contratación de la Plataforma Profesional de consulta Jurídica especializada sobre derechos humanos</w:t>
            </w:r>
          </w:p>
        </w:tc>
      </w:tr>
      <w:tr w:rsidR="007B3093" w14:paraId="75EF83C2" w14:textId="77777777">
        <w:trPr>
          <w:trHeight w:val="862"/>
        </w:trPr>
        <w:tc>
          <w:tcPr>
            <w:tcW w:w="723" w:type="pct"/>
          </w:tcPr>
          <w:p w14:paraId="3391268B"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62807AAF" w14:textId="77777777" w:rsidR="007B3093" w:rsidRDefault="00000000">
            <w:pPr>
              <w:tabs>
                <w:tab w:val="left" w:pos="9639"/>
              </w:tabs>
              <w:spacing w:line="0" w:lineRule="atLeast"/>
              <w:contextualSpacing/>
              <w:rPr>
                <w:rFonts w:cstheme="minorHAnsi"/>
              </w:rPr>
            </w:pPr>
            <w:r>
              <w:rPr>
                <w:szCs w:val="24"/>
                <w:lang w:val="es-ES"/>
              </w:rPr>
              <w:t xml:space="preserve">Dotar del </w:t>
            </w:r>
            <w:r>
              <w:rPr>
                <w:szCs w:val="24"/>
              </w:rPr>
              <w:t>servicio de una plataforma profesional de investigación jurídica internacional especializada para Derechos Humanos</w:t>
            </w:r>
            <w:r>
              <w:rPr>
                <w:szCs w:val="24"/>
                <w:lang w:val="es-ES"/>
              </w:rPr>
              <w:t>, con características de inteligencia artificial con vasto contenido jurídico nacional e internacional, que permita fortalecer el desarrollo de los productos finales del equipo de la Dirección Nacional de Derechos Humanos, a través del acceso a doctrina y jurisprudencia internacional y así fortalecer los argumentos de defensa estatal.</w:t>
            </w:r>
          </w:p>
        </w:tc>
      </w:tr>
      <w:tr w:rsidR="007B3093" w14:paraId="013BEE9D" w14:textId="77777777">
        <w:trPr>
          <w:trHeight w:val="862"/>
        </w:trPr>
        <w:tc>
          <w:tcPr>
            <w:tcW w:w="723" w:type="pct"/>
          </w:tcPr>
          <w:p w14:paraId="009E90CF"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5E25F4E4" w14:textId="77777777" w:rsidR="007B3093" w:rsidRDefault="00000000">
            <w:pPr>
              <w:pStyle w:val="Prrafodelista"/>
              <w:numPr>
                <w:ilvl w:val="0"/>
                <w:numId w:val="69"/>
              </w:numPr>
              <w:tabs>
                <w:tab w:val="left" w:pos="-1440"/>
              </w:tabs>
              <w:jc w:val="both"/>
              <w:rPr>
                <w:rFonts w:cstheme="minorHAnsi"/>
              </w:rPr>
            </w:pPr>
            <w:r>
              <w:rPr>
                <w:rFonts w:ascii="Calibri" w:eastAsia="Times New Roman" w:hAnsi="Calibri" w:cs="Calibri"/>
                <w:color w:val="000000"/>
                <w:szCs w:val="18"/>
                <w:lang w:eastAsia="es-EC"/>
              </w:rPr>
              <w:t>Diagnóstico situacional y propuesta de direccionamiento estratégico;</w:t>
            </w:r>
          </w:p>
          <w:p w14:paraId="7130C8A9" w14:textId="77777777" w:rsidR="007B3093" w:rsidRDefault="00000000">
            <w:pPr>
              <w:pStyle w:val="Prrafodelista"/>
              <w:numPr>
                <w:ilvl w:val="0"/>
                <w:numId w:val="69"/>
              </w:numPr>
              <w:tabs>
                <w:tab w:val="left" w:pos="-1440"/>
              </w:tabs>
              <w:jc w:val="both"/>
              <w:rPr>
                <w:rFonts w:cstheme="minorHAnsi"/>
              </w:rPr>
            </w:pPr>
            <w:r>
              <w:rPr>
                <w:rFonts w:cstheme="minorHAnsi"/>
              </w:rPr>
              <w:t>Estatuto Orgánico Funcional por Procesos.</w:t>
            </w:r>
          </w:p>
          <w:p w14:paraId="778EEE08" w14:textId="77777777" w:rsidR="007B3093" w:rsidRDefault="00000000">
            <w:pPr>
              <w:pStyle w:val="Prrafodelista"/>
              <w:numPr>
                <w:ilvl w:val="0"/>
                <w:numId w:val="69"/>
              </w:numPr>
              <w:tabs>
                <w:tab w:val="left" w:pos="-1440"/>
              </w:tabs>
              <w:jc w:val="both"/>
              <w:rPr>
                <w:rFonts w:cstheme="minorHAnsi"/>
              </w:rPr>
            </w:pPr>
            <w:r>
              <w:rPr>
                <w:rFonts w:cstheme="minorHAnsi"/>
              </w:rPr>
              <w:t>Manual de Procesos actualizado.</w:t>
            </w:r>
          </w:p>
          <w:p w14:paraId="414EA5D0" w14:textId="77777777" w:rsidR="007B3093" w:rsidRDefault="00000000">
            <w:pPr>
              <w:pStyle w:val="Prrafodelista"/>
              <w:numPr>
                <w:ilvl w:val="0"/>
                <w:numId w:val="69"/>
              </w:numPr>
              <w:tabs>
                <w:tab w:val="left" w:pos="-1440"/>
              </w:tabs>
              <w:jc w:val="both"/>
              <w:rPr>
                <w:rFonts w:cstheme="minorHAnsi"/>
              </w:rPr>
            </w:pPr>
            <w:r>
              <w:rPr>
                <w:rFonts w:cstheme="minorHAnsi"/>
              </w:rPr>
              <w:t>Competencias y atribuciones institucionales.</w:t>
            </w:r>
          </w:p>
        </w:tc>
      </w:tr>
      <w:tr w:rsidR="007B3093" w14:paraId="06EBA526" w14:textId="77777777">
        <w:trPr>
          <w:trHeight w:val="276"/>
        </w:trPr>
        <w:tc>
          <w:tcPr>
            <w:tcW w:w="723" w:type="pct"/>
          </w:tcPr>
          <w:p w14:paraId="733DAC89" w14:textId="77777777" w:rsidR="007B3093" w:rsidRDefault="00000000">
            <w:pPr>
              <w:tabs>
                <w:tab w:val="left" w:pos="-1440"/>
              </w:tabs>
              <w:contextualSpacing/>
              <w:jc w:val="both"/>
              <w:rPr>
                <w:rFonts w:cstheme="minorHAnsi"/>
                <w:b/>
              </w:rPr>
            </w:pPr>
            <w:r>
              <w:rPr>
                <w:rFonts w:cstheme="minorHAnsi"/>
                <w:b/>
              </w:rPr>
              <w:t>Acciones</w:t>
            </w:r>
          </w:p>
        </w:tc>
        <w:tc>
          <w:tcPr>
            <w:tcW w:w="4277" w:type="pct"/>
          </w:tcPr>
          <w:p w14:paraId="20110A1F" w14:textId="77777777" w:rsidR="007B3093" w:rsidRDefault="00000000">
            <w:pPr>
              <w:pStyle w:val="Prrafodelista"/>
              <w:numPr>
                <w:ilvl w:val="0"/>
                <w:numId w:val="16"/>
              </w:numPr>
              <w:ind w:left="317"/>
              <w:jc w:val="both"/>
              <w:rPr>
                <w:rFonts w:cstheme="minorHAnsi"/>
                <w:color w:val="000000"/>
              </w:rPr>
            </w:pPr>
            <w:r>
              <w:rPr>
                <w:rFonts w:cstheme="minorHAnsi"/>
              </w:rPr>
              <w:t>Levantamiento de requerimientos.</w:t>
            </w:r>
          </w:p>
          <w:p w14:paraId="48BDFA23" w14:textId="77777777" w:rsidR="007B3093" w:rsidRDefault="00000000">
            <w:pPr>
              <w:pStyle w:val="Prrafodelista"/>
              <w:numPr>
                <w:ilvl w:val="0"/>
                <w:numId w:val="16"/>
              </w:numPr>
              <w:ind w:left="317"/>
              <w:jc w:val="both"/>
              <w:rPr>
                <w:rFonts w:cstheme="minorHAnsi"/>
              </w:rPr>
            </w:pPr>
            <w:r>
              <w:rPr>
                <w:rFonts w:cstheme="minorHAnsi"/>
              </w:rPr>
              <w:lastRenderedPageBreak/>
              <w:t>Contratación de licencias.</w:t>
            </w:r>
          </w:p>
          <w:p w14:paraId="3B31F75E" w14:textId="77777777" w:rsidR="007B3093" w:rsidRDefault="00000000">
            <w:pPr>
              <w:pStyle w:val="Prrafodelista"/>
              <w:numPr>
                <w:ilvl w:val="0"/>
                <w:numId w:val="16"/>
              </w:numPr>
              <w:ind w:left="317"/>
              <w:jc w:val="both"/>
              <w:rPr>
                <w:rFonts w:cstheme="minorHAnsi"/>
              </w:rPr>
            </w:pPr>
            <w:r>
              <w:rPr>
                <w:rStyle w:val="Ninguno"/>
                <w:rFonts w:cs="Times New Roman"/>
                <w:lang w:val="es-ES_tradnl"/>
              </w:rPr>
              <w:t>Informe de entrega de 13 usuarios y contraseñas para el acceso al servicio de una plataforma especializada por 12 meses.</w:t>
            </w:r>
          </w:p>
        </w:tc>
      </w:tr>
    </w:tbl>
    <w:p w14:paraId="192B47AC" w14:textId="77777777" w:rsidR="007B3093" w:rsidRDefault="007B3093">
      <w:pPr>
        <w:spacing w:after="0" w:line="240" w:lineRule="auto"/>
        <w:contextualSpacing/>
        <w:rPr>
          <w:rFonts w:cstheme="minorHAnsi"/>
        </w:rPr>
      </w:pPr>
    </w:p>
    <w:p w14:paraId="2C69530C"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29A51378" w14:textId="77777777">
        <w:trPr>
          <w:trHeight w:val="598"/>
        </w:trPr>
        <w:tc>
          <w:tcPr>
            <w:tcW w:w="5000" w:type="pct"/>
            <w:shd w:val="clear" w:color="auto" w:fill="222A35" w:themeFill="text2" w:themeFillShade="80"/>
          </w:tcPr>
          <w:p w14:paraId="5FA3CAB9" w14:textId="77777777" w:rsidR="007B3093" w:rsidRDefault="00000000">
            <w:pPr>
              <w:contextualSpacing/>
              <w:jc w:val="both"/>
              <w:rPr>
                <w:rFonts w:cstheme="minorHAnsi"/>
                <w:b/>
                <w:color w:val="FFFFFF" w:themeColor="background1"/>
              </w:rPr>
            </w:pPr>
            <w:r>
              <w:rPr>
                <w:rFonts w:cstheme="minorHAnsi"/>
                <w:b/>
                <w:color w:val="FFFFFF" w:themeColor="background1"/>
              </w:rPr>
              <w:t>C3: Fortalecer la capacidad de control, consultoría y asesoría legal de la PGE.</w:t>
            </w:r>
          </w:p>
        </w:tc>
      </w:tr>
      <w:tr w:rsidR="007B3093" w14:paraId="44E2BEE8" w14:textId="77777777">
        <w:trPr>
          <w:trHeight w:val="206"/>
        </w:trPr>
        <w:tc>
          <w:tcPr>
            <w:tcW w:w="5000" w:type="pct"/>
            <w:shd w:val="clear" w:color="auto" w:fill="ACB9CA" w:themeFill="text2" w:themeFillTint="66"/>
          </w:tcPr>
          <w:p w14:paraId="3CE8AA87" w14:textId="77777777" w:rsidR="007B3093" w:rsidRDefault="00000000">
            <w:pPr>
              <w:tabs>
                <w:tab w:val="left" w:pos="-1440"/>
              </w:tabs>
              <w:contextualSpacing/>
              <w:jc w:val="center"/>
              <w:rPr>
                <w:rFonts w:cstheme="minorHAnsi"/>
                <w:b/>
              </w:rPr>
            </w:pPr>
            <w:r>
              <w:rPr>
                <w:rFonts w:cstheme="minorHAnsi"/>
                <w:b/>
              </w:rPr>
              <w:t>ACTIVIDAD 3.1</w:t>
            </w:r>
          </w:p>
        </w:tc>
      </w:tr>
      <w:tr w:rsidR="007B3093" w14:paraId="492DC14F" w14:textId="77777777">
        <w:trPr>
          <w:trHeight w:val="580"/>
        </w:trPr>
        <w:tc>
          <w:tcPr>
            <w:tcW w:w="5000" w:type="pct"/>
          </w:tcPr>
          <w:p w14:paraId="49C29728" w14:textId="77777777" w:rsidR="007B3093" w:rsidRDefault="00000000">
            <w:pPr>
              <w:jc w:val="both"/>
              <w:rPr>
                <w:rFonts w:cstheme="minorHAnsi"/>
                <w:b/>
                <w:color w:val="000000"/>
                <w:highlight w:val="yellow"/>
              </w:rPr>
            </w:pPr>
            <w:r>
              <w:rPr>
                <w:rFonts w:cstheme="minorHAnsi"/>
                <w:b/>
                <w:color w:val="000000"/>
              </w:rPr>
              <w:t>Generar un sistema informático para brindar asesoría Legal a Organismos del Estado para no infringir los marcos normativos y para desarrollar una defensa óptima.</w:t>
            </w:r>
          </w:p>
        </w:tc>
      </w:tr>
    </w:tbl>
    <w:p w14:paraId="7B5DBD20"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28F33A3F" w14:textId="77777777">
        <w:trPr>
          <w:trHeight w:val="647"/>
        </w:trPr>
        <w:tc>
          <w:tcPr>
            <w:tcW w:w="5000" w:type="pct"/>
            <w:gridSpan w:val="2"/>
          </w:tcPr>
          <w:p w14:paraId="562D7520" w14:textId="77777777" w:rsidR="007B3093" w:rsidRDefault="00000000">
            <w:pPr>
              <w:tabs>
                <w:tab w:val="left" w:pos="-1440"/>
              </w:tabs>
              <w:contextualSpacing/>
              <w:jc w:val="both"/>
              <w:rPr>
                <w:rFonts w:cstheme="minorHAnsi"/>
                <w:b/>
              </w:rPr>
            </w:pPr>
            <w:r>
              <w:rPr>
                <w:rFonts w:cstheme="minorHAnsi"/>
                <w:b/>
                <w:color w:val="000000"/>
              </w:rPr>
              <w:t>Contratación del servicio especializado para la implementación y capacitación en una plataforma de gestión de aprendizaje</w:t>
            </w:r>
          </w:p>
        </w:tc>
      </w:tr>
      <w:tr w:rsidR="007B3093" w14:paraId="47C1A974" w14:textId="77777777">
        <w:trPr>
          <w:trHeight w:val="566"/>
        </w:trPr>
        <w:tc>
          <w:tcPr>
            <w:tcW w:w="723" w:type="pct"/>
          </w:tcPr>
          <w:p w14:paraId="160E52C3"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3E89CE71" w14:textId="77777777" w:rsidR="007B3093" w:rsidRDefault="00000000">
            <w:pPr>
              <w:jc w:val="both"/>
              <w:rPr>
                <w:rFonts w:cstheme="minorHAnsi"/>
                <w:color w:val="000000"/>
              </w:rPr>
            </w:pPr>
            <w:r>
              <w:rPr>
                <w:rFonts w:cstheme="minorHAnsi"/>
                <w:color w:val="000000"/>
              </w:rPr>
              <w:t>Contratación del servicio especializado para la implementación y capacitación en una plataforma de gestión de aprendizaje, que permitirá Implementar y capacitar especializadamente a los funcionarios en una plataforma de gestión de aprendizaje capaz de permitir el desarrollo de procesos de capacitación, bajo la modalidad virtual a fin de fortalecer, mejorar y masificar los procesos de capacitación de la Procuraduría General del Estado</w:t>
            </w:r>
          </w:p>
        </w:tc>
      </w:tr>
      <w:tr w:rsidR="007B3093" w14:paraId="0C550284" w14:textId="77777777">
        <w:trPr>
          <w:trHeight w:val="1303"/>
        </w:trPr>
        <w:tc>
          <w:tcPr>
            <w:tcW w:w="723" w:type="pct"/>
          </w:tcPr>
          <w:p w14:paraId="6B8EB043"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5C0CF479" w14:textId="77777777" w:rsidR="007B3093" w:rsidRDefault="00000000">
            <w:pPr>
              <w:pStyle w:val="Prrafodelista"/>
              <w:numPr>
                <w:ilvl w:val="0"/>
                <w:numId w:val="36"/>
              </w:numPr>
              <w:tabs>
                <w:tab w:val="left" w:pos="-1440"/>
              </w:tabs>
              <w:ind w:left="317"/>
              <w:jc w:val="both"/>
              <w:rPr>
                <w:rFonts w:cstheme="minorHAnsi"/>
              </w:rPr>
            </w:pPr>
            <w:r>
              <w:rPr>
                <w:rFonts w:cstheme="minorHAnsi"/>
              </w:rPr>
              <w:t>Estudio de demanda de servicios de la PGE.</w:t>
            </w:r>
          </w:p>
          <w:p w14:paraId="780BA2CA" w14:textId="77777777" w:rsidR="007B3093" w:rsidRDefault="00000000">
            <w:pPr>
              <w:pStyle w:val="Prrafodelista"/>
              <w:numPr>
                <w:ilvl w:val="0"/>
                <w:numId w:val="36"/>
              </w:numPr>
              <w:tabs>
                <w:tab w:val="left" w:pos="-1440"/>
              </w:tabs>
              <w:ind w:left="317"/>
              <w:jc w:val="both"/>
              <w:rPr>
                <w:rFonts w:cstheme="minorHAnsi"/>
              </w:rPr>
            </w:pPr>
            <w:r>
              <w:rPr>
                <w:rFonts w:cstheme="minorHAnsi"/>
              </w:rPr>
              <w:t>Diagnóstico en Profundidad.</w:t>
            </w:r>
          </w:p>
          <w:p w14:paraId="7171219B" w14:textId="77777777" w:rsidR="007B3093" w:rsidRDefault="00000000">
            <w:pPr>
              <w:pStyle w:val="Prrafodelista"/>
              <w:numPr>
                <w:ilvl w:val="0"/>
                <w:numId w:val="36"/>
              </w:numPr>
              <w:tabs>
                <w:tab w:val="left" w:pos="-1440"/>
              </w:tabs>
              <w:ind w:left="317"/>
              <w:jc w:val="both"/>
              <w:rPr>
                <w:rFonts w:cstheme="minorHAnsi"/>
              </w:rPr>
            </w:pPr>
            <w:r>
              <w:rPr>
                <w:rFonts w:cstheme="minorHAnsi"/>
              </w:rPr>
              <w:t>Plan estratégico.</w:t>
            </w:r>
          </w:p>
          <w:p w14:paraId="1C232BD3" w14:textId="77777777" w:rsidR="007B3093" w:rsidRDefault="00000000">
            <w:pPr>
              <w:pStyle w:val="Prrafodelista"/>
              <w:numPr>
                <w:ilvl w:val="0"/>
                <w:numId w:val="36"/>
              </w:numPr>
              <w:tabs>
                <w:tab w:val="left" w:pos="-1440"/>
              </w:tabs>
              <w:ind w:left="317"/>
              <w:jc w:val="both"/>
              <w:rPr>
                <w:rFonts w:cstheme="minorHAnsi"/>
              </w:rPr>
            </w:pPr>
            <w:r>
              <w:rPr>
                <w:rFonts w:cstheme="minorHAnsi"/>
              </w:rPr>
              <w:t>Modelo de Gestión.</w:t>
            </w:r>
          </w:p>
        </w:tc>
      </w:tr>
      <w:tr w:rsidR="007B3093" w14:paraId="2D149F3F" w14:textId="77777777">
        <w:trPr>
          <w:trHeight w:val="708"/>
        </w:trPr>
        <w:tc>
          <w:tcPr>
            <w:tcW w:w="723" w:type="pct"/>
          </w:tcPr>
          <w:p w14:paraId="344E32A8"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36FA336B" w14:textId="77777777" w:rsidR="007B3093" w:rsidRDefault="00000000">
            <w:pPr>
              <w:numPr>
                <w:ilvl w:val="0"/>
                <w:numId w:val="35"/>
              </w:numPr>
              <w:spacing w:after="0" w:line="252" w:lineRule="auto"/>
              <w:jc w:val="both"/>
              <w:rPr>
                <w:rFonts w:cstheme="minorHAnsi"/>
                <w:color w:val="000000"/>
              </w:rPr>
            </w:pPr>
            <w:r>
              <w:rPr>
                <w:rFonts w:cstheme="minorHAnsi"/>
                <w:color w:val="000000"/>
              </w:rPr>
              <w:t>Servicio de alquiler del servidor virtual para la plataforma de gestión de aprendizaje.</w:t>
            </w:r>
          </w:p>
          <w:p w14:paraId="3793684A" w14:textId="77777777" w:rsidR="007B3093" w:rsidRDefault="00000000">
            <w:pPr>
              <w:numPr>
                <w:ilvl w:val="0"/>
                <w:numId w:val="35"/>
              </w:numPr>
              <w:spacing w:after="0" w:line="252" w:lineRule="auto"/>
              <w:jc w:val="both"/>
              <w:rPr>
                <w:rFonts w:cstheme="minorHAnsi"/>
              </w:rPr>
            </w:pPr>
            <w:r>
              <w:rPr>
                <w:rFonts w:cstheme="minorHAnsi"/>
                <w:color w:val="000000"/>
              </w:rPr>
              <w:t>Servicio de Capacitación Especializada en gestión de aulas virtuales para uso docente con certificación</w:t>
            </w:r>
          </w:p>
        </w:tc>
      </w:tr>
    </w:tbl>
    <w:p w14:paraId="0B2E0EDA"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7305DA45" w14:textId="77777777">
        <w:trPr>
          <w:trHeight w:val="402"/>
        </w:trPr>
        <w:tc>
          <w:tcPr>
            <w:tcW w:w="5000" w:type="pct"/>
            <w:gridSpan w:val="2"/>
          </w:tcPr>
          <w:p w14:paraId="00FC884E" w14:textId="77777777" w:rsidR="007B3093" w:rsidRDefault="00000000">
            <w:pPr>
              <w:tabs>
                <w:tab w:val="left" w:pos="-1440"/>
              </w:tabs>
              <w:contextualSpacing/>
              <w:jc w:val="both"/>
              <w:rPr>
                <w:rFonts w:cstheme="minorHAnsi"/>
                <w:b/>
              </w:rPr>
            </w:pPr>
            <w:r>
              <w:rPr>
                <w:b/>
              </w:rPr>
              <w:t>Servicios de capacitación especializada en el control de la legalidad de la contratación pública: desafíos y tendencias para los servidores competentes del sector público y la Procuraduría General del Estado</w:t>
            </w:r>
          </w:p>
        </w:tc>
      </w:tr>
      <w:tr w:rsidR="007B3093" w14:paraId="573AB9C0" w14:textId="77777777">
        <w:trPr>
          <w:trHeight w:val="632"/>
        </w:trPr>
        <w:tc>
          <w:tcPr>
            <w:tcW w:w="723" w:type="pct"/>
          </w:tcPr>
          <w:p w14:paraId="42938347"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302003B3" w14:textId="77777777" w:rsidR="007B3093" w:rsidRDefault="00000000">
            <w:pPr>
              <w:pStyle w:val="Prrafodelista"/>
              <w:tabs>
                <w:tab w:val="left" w:pos="-1440"/>
              </w:tabs>
              <w:ind w:left="284"/>
              <w:jc w:val="both"/>
              <w:rPr>
                <w:rFonts w:cstheme="minorHAnsi"/>
              </w:rPr>
            </w:pPr>
            <w:r>
              <w:t xml:space="preserve">Fortalecer los conocimientos y capacidades profesionales de las y los servidores de la PGE, así como de entidades y organismos del Estado, competentes en el control de la legalidad de las compras públicas, a través del estudio de experiencias y estrategias jurídicas adoptadas por los Estados para hacer efectivo en la administración pública el cumplimiento de la Ley en el ámbito de las compras públicas, siempre con una visión preventiva.     </w:t>
            </w:r>
          </w:p>
        </w:tc>
      </w:tr>
      <w:tr w:rsidR="007B3093" w14:paraId="62C1BF4A" w14:textId="77777777">
        <w:trPr>
          <w:trHeight w:val="1130"/>
        </w:trPr>
        <w:tc>
          <w:tcPr>
            <w:tcW w:w="723" w:type="pct"/>
          </w:tcPr>
          <w:p w14:paraId="02F4DEC9"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071364F1" w14:textId="77777777" w:rsidR="007B3093" w:rsidRDefault="00000000">
            <w:pPr>
              <w:pStyle w:val="Prrafodelista"/>
              <w:numPr>
                <w:ilvl w:val="0"/>
                <w:numId w:val="9"/>
              </w:numPr>
              <w:tabs>
                <w:tab w:val="left" w:pos="-1440"/>
              </w:tabs>
              <w:ind w:left="317"/>
              <w:jc w:val="both"/>
              <w:rPr>
                <w:rFonts w:cstheme="minorHAnsi"/>
              </w:rPr>
            </w:pPr>
            <w:r>
              <w:rPr>
                <w:rFonts w:cstheme="minorHAnsi"/>
              </w:rPr>
              <w:t>Encuesta inicial de percepción.</w:t>
            </w:r>
          </w:p>
          <w:p w14:paraId="0E143391" w14:textId="77777777" w:rsidR="007B3093" w:rsidRDefault="00000000">
            <w:pPr>
              <w:pStyle w:val="Prrafodelista"/>
              <w:numPr>
                <w:ilvl w:val="0"/>
                <w:numId w:val="9"/>
              </w:numPr>
              <w:tabs>
                <w:tab w:val="left" w:pos="-1440"/>
              </w:tabs>
              <w:ind w:left="317"/>
              <w:jc w:val="both"/>
              <w:rPr>
                <w:rFonts w:cstheme="minorHAnsi"/>
              </w:rPr>
            </w:pPr>
            <w:r>
              <w:rPr>
                <w:rFonts w:cstheme="minorHAnsi"/>
              </w:rPr>
              <w:t>Estudio de demanda de servicios de la PGE.</w:t>
            </w:r>
          </w:p>
          <w:p w14:paraId="380B0D1F" w14:textId="77777777" w:rsidR="007B3093" w:rsidRDefault="00000000">
            <w:pPr>
              <w:pStyle w:val="Prrafodelista"/>
              <w:numPr>
                <w:ilvl w:val="0"/>
                <w:numId w:val="9"/>
              </w:numPr>
              <w:tabs>
                <w:tab w:val="left" w:pos="-1440"/>
              </w:tabs>
              <w:ind w:left="317"/>
              <w:jc w:val="both"/>
              <w:rPr>
                <w:rFonts w:cstheme="minorHAnsi"/>
              </w:rPr>
            </w:pPr>
            <w:r>
              <w:rPr>
                <w:rFonts w:cstheme="minorHAnsi"/>
              </w:rPr>
              <w:t>Modelo de Gestión.</w:t>
            </w:r>
          </w:p>
          <w:p w14:paraId="1B03257C" w14:textId="77777777" w:rsidR="007B3093" w:rsidRDefault="00000000">
            <w:pPr>
              <w:pStyle w:val="Prrafodelista"/>
              <w:numPr>
                <w:ilvl w:val="0"/>
                <w:numId w:val="9"/>
              </w:numPr>
              <w:tabs>
                <w:tab w:val="left" w:pos="-1440"/>
              </w:tabs>
              <w:ind w:left="317"/>
              <w:jc w:val="both"/>
              <w:rPr>
                <w:rFonts w:cstheme="minorHAnsi"/>
              </w:rPr>
            </w:pPr>
            <w:r>
              <w:rPr>
                <w:rFonts w:cstheme="minorHAnsi"/>
              </w:rPr>
              <w:t>Análisis de resultados del Informe de Defensa del Estado de la PGE, análisis de asesoría y control legal.</w:t>
            </w:r>
          </w:p>
        </w:tc>
      </w:tr>
      <w:tr w:rsidR="007B3093" w14:paraId="08CBC2A1" w14:textId="77777777">
        <w:trPr>
          <w:trHeight w:val="1553"/>
        </w:trPr>
        <w:tc>
          <w:tcPr>
            <w:tcW w:w="723" w:type="pct"/>
          </w:tcPr>
          <w:p w14:paraId="3DD47165" w14:textId="77777777" w:rsidR="007B3093" w:rsidRDefault="00000000">
            <w:pPr>
              <w:tabs>
                <w:tab w:val="left" w:pos="-1440"/>
              </w:tabs>
              <w:contextualSpacing/>
              <w:jc w:val="both"/>
              <w:rPr>
                <w:rFonts w:cstheme="minorHAnsi"/>
                <w:b/>
              </w:rPr>
            </w:pPr>
            <w:r>
              <w:rPr>
                <w:rFonts w:cstheme="minorHAnsi"/>
                <w:b/>
              </w:rPr>
              <w:lastRenderedPageBreak/>
              <w:t>Productos</w:t>
            </w:r>
          </w:p>
        </w:tc>
        <w:tc>
          <w:tcPr>
            <w:tcW w:w="4277" w:type="pct"/>
          </w:tcPr>
          <w:p w14:paraId="1A0EFEAB" w14:textId="77777777" w:rsidR="007B3093" w:rsidRDefault="00000000">
            <w:pPr>
              <w:pStyle w:val="Prrafodelista"/>
              <w:tabs>
                <w:tab w:val="left" w:pos="-1440"/>
              </w:tabs>
              <w:ind w:left="644"/>
              <w:jc w:val="both"/>
              <w:rPr>
                <w:b/>
              </w:rPr>
            </w:pPr>
            <w:r>
              <w:rPr>
                <w:b/>
              </w:rPr>
              <w:t>Temáticas de la capacitación:</w:t>
            </w:r>
          </w:p>
          <w:p w14:paraId="4C4CAAD4" w14:textId="77777777" w:rsidR="007B3093" w:rsidRDefault="00000000">
            <w:pPr>
              <w:pStyle w:val="Prrafodelista"/>
              <w:numPr>
                <w:ilvl w:val="0"/>
                <w:numId w:val="70"/>
              </w:numPr>
              <w:tabs>
                <w:tab w:val="left" w:pos="-1440"/>
              </w:tabs>
              <w:ind w:left="357" w:hanging="357"/>
              <w:jc w:val="both"/>
            </w:pPr>
            <w:r>
              <w:t>Tendencias jurídicas actuales en procedimientos administrativos específicamente en materia de contratación pública</w:t>
            </w:r>
          </w:p>
          <w:p w14:paraId="34427683" w14:textId="77777777" w:rsidR="007B3093" w:rsidRDefault="00000000">
            <w:pPr>
              <w:pStyle w:val="Prrafodelista"/>
              <w:numPr>
                <w:ilvl w:val="0"/>
                <w:numId w:val="70"/>
              </w:numPr>
              <w:tabs>
                <w:tab w:val="left" w:pos="-1440"/>
              </w:tabs>
              <w:ind w:left="357" w:hanging="357"/>
              <w:jc w:val="both"/>
            </w:pPr>
            <w:r>
              <w:t>La buena fe, la confianza legítima y la seguridad jurídica en la contratación pública</w:t>
            </w:r>
          </w:p>
          <w:p w14:paraId="74C93DDA" w14:textId="77777777" w:rsidR="007B3093" w:rsidRDefault="00000000">
            <w:pPr>
              <w:pStyle w:val="Prrafodelista"/>
              <w:numPr>
                <w:ilvl w:val="0"/>
                <w:numId w:val="70"/>
              </w:numPr>
              <w:tabs>
                <w:tab w:val="left" w:pos="-1440"/>
              </w:tabs>
              <w:ind w:left="357" w:hanging="357"/>
              <w:jc w:val="both"/>
            </w:pPr>
            <w:r>
              <w:t>Mecanismos legales innovadores de transparencia y participación en el control de la contratación pública</w:t>
            </w:r>
          </w:p>
          <w:p w14:paraId="6756D239" w14:textId="77777777" w:rsidR="007B3093" w:rsidRDefault="00000000">
            <w:pPr>
              <w:pStyle w:val="Prrafodelista"/>
              <w:numPr>
                <w:ilvl w:val="0"/>
                <w:numId w:val="70"/>
              </w:numPr>
              <w:tabs>
                <w:tab w:val="left" w:pos="-1440"/>
              </w:tabs>
              <w:ind w:left="357" w:hanging="357"/>
              <w:jc w:val="both"/>
              <w:rPr>
                <w:rFonts w:cstheme="minorHAnsi"/>
              </w:rPr>
            </w:pPr>
            <w:r>
              <w:t>Prevención de litigios y reducción de riesgo fiscal en el ámbito de la contratación pública</w:t>
            </w:r>
          </w:p>
        </w:tc>
      </w:tr>
    </w:tbl>
    <w:p w14:paraId="0BF65FE0"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03CCFAAE" w14:textId="77777777">
        <w:tc>
          <w:tcPr>
            <w:tcW w:w="5000" w:type="pct"/>
            <w:shd w:val="clear" w:color="auto" w:fill="ACB9CA" w:themeFill="text2" w:themeFillTint="66"/>
          </w:tcPr>
          <w:p w14:paraId="05C8CF7F" w14:textId="77777777" w:rsidR="007B3093" w:rsidRDefault="00000000">
            <w:pPr>
              <w:tabs>
                <w:tab w:val="left" w:pos="-1440"/>
              </w:tabs>
              <w:contextualSpacing/>
              <w:jc w:val="center"/>
              <w:rPr>
                <w:rFonts w:cstheme="minorHAnsi"/>
                <w:b/>
              </w:rPr>
            </w:pPr>
            <w:r>
              <w:rPr>
                <w:rFonts w:cstheme="minorHAnsi"/>
                <w:b/>
              </w:rPr>
              <w:t>ACTIVIDAD 3.2</w:t>
            </w:r>
          </w:p>
        </w:tc>
      </w:tr>
      <w:tr w:rsidR="007B3093" w14:paraId="1051678B" w14:textId="77777777">
        <w:trPr>
          <w:trHeight w:val="508"/>
        </w:trPr>
        <w:tc>
          <w:tcPr>
            <w:tcW w:w="5000" w:type="pct"/>
          </w:tcPr>
          <w:p w14:paraId="69B999E2" w14:textId="77777777" w:rsidR="007B3093" w:rsidRDefault="00000000">
            <w:pPr>
              <w:jc w:val="both"/>
              <w:rPr>
                <w:rFonts w:cstheme="minorHAnsi"/>
                <w:b/>
                <w:color w:val="000000"/>
              </w:rPr>
            </w:pPr>
            <w:r>
              <w:rPr>
                <w:rFonts w:cstheme="minorHAnsi"/>
                <w:b/>
                <w:color w:val="000000"/>
              </w:rPr>
              <w:t>Capacitar a organismos del Estado o Municipios para la formulación adecuada de sus consultas.</w:t>
            </w:r>
          </w:p>
        </w:tc>
      </w:tr>
    </w:tbl>
    <w:p w14:paraId="1DFDFD50"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75563C49" w14:textId="77777777">
        <w:trPr>
          <w:trHeight w:val="402"/>
        </w:trPr>
        <w:tc>
          <w:tcPr>
            <w:tcW w:w="5000" w:type="pct"/>
            <w:gridSpan w:val="2"/>
          </w:tcPr>
          <w:p w14:paraId="33EBBA48" w14:textId="77777777" w:rsidR="007B3093" w:rsidRDefault="00000000">
            <w:pPr>
              <w:tabs>
                <w:tab w:val="left" w:pos="-1440"/>
              </w:tabs>
              <w:contextualSpacing/>
              <w:jc w:val="both"/>
              <w:rPr>
                <w:rFonts w:cstheme="minorHAnsi"/>
                <w:b/>
              </w:rPr>
            </w:pPr>
            <w:r>
              <w:rPr>
                <w:rFonts w:cstheme="minorHAnsi"/>
                <w:b/>
                <w:color w:val="000000"/>
              </w:rPr>
              <w:t>Servicios de logística, producción y ejecución del “Simposio Internacional de la protección del interés público en el Estado Constitucional de Derechos"</w:t>
            </w:r>
          </w:p>
        </w:tc>
      </w:tr>
      <w:tr w:rsidR="007B3093" w14:paraId="0548925C" w14:textId="77777777">
        <w:trPr>
          <w:trHeight w:val="632"/>
        </w:trPr>
        <w:tc>
          <w:tcPr>
            <w:tcW w:w="723" w:type="pct"/>
          </w:tcPr>
          <w:p w14:paraId="0853BE73"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0FBDF40F" w14:textId="77777777" w:rsidR="007B3093" w:rsidRDefault="00000000">
            <w:pPr>
              <w:pStyle w:val="Prrafodelista"/>
              <w:tabs>
                <w:tab w:val="left" w:pos="-1440"/>
              </w:tabs>
              <w:ind w:left="284"/>
              <w:jc w:val="both"/>
              <w:rPr>
                <w:rFonts w:cstheme="minorHAnsi"/>
              </w:rPr>
            </w:pPr>
            <w:r>
              <w:rPr>
                <w:rFonts w:cstheme="minorHAnsi"/>
                <w:color w:val="000000"/>
              </w:rPr>
              <w:t>Servicios de logística, producción y ejecución del evento “Simposio internacional de la protección del interés público en el Estado Constitucional de Derechos”, de conformidad con los términos de referencia de la sección 05 del presente documento.</w:t>
            </w:r>
          </w:p>
        </w:tc>
      </w:tr>
      <w:tr w:rsidR="007B3093" w14:paraId="714ADF00" w14:textId="77777777">
        <w:trPr>
          <w:trHeight w:val="1130"/>
        </w:trPr>
        <w:tc>
          <w:tcPr>
            <w:tcW w:w="723" w:type="pct"/>
          </w:tcPr>
          <w:p w14:paraId="4C237BA8"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084BCAA1" w14:textId="77777777" w:rsidR="007B3093" w:rsidRDefault="00000000">
            <w:pPr>
              <w:pStyle w:val="Prrafodelista"/>
              <w:numPr>
                <w:ilvl w:val="0"/>
                <w:numId w:val="73"/>
              </w:numPr>
              <w:tabs>
                <w:tab w:val="left" w:pos="-1440"/>
              </w:tabs>
              <w:jc w:val="both"/>
              <w:rPr>
                <w:rFonts w:cstheme="minorHAnsi"/>
              </w:rPr>
            </w:pPr>
            <w:r>
              <w:rPr>
                <w:rFonts w:cstheme="minorHAnsi"/>
              </w:rPr>
              <w:t>Encuesta inicial de percepción.</w:t>
            </w:r>
          </w:p>
          <w:p w14:paraId="5EA939DC" w14:textId="77777777" w:rsidR="007B3093" w:rsidRDefault="00000000">
            <w:pPr>
              <w:pStyle w:val="Prrafodelista"/>
              <w:numPr>
                <w:ilvl w:val="0"/>
                <w:numId w:val="73"/>
              </w:numPr>
              <w:tabs>
                <w:tab w:val="left" w:pos="-1440"/>
              </w:tabs>
              <w:jc w:val="both"/>
              <w:rPr>
                <w:rFonts w:cstheme="minorHAnsi"/>
              </w:rPr>
            </w:pPr>
            <w:r>
              <w:rPr>
                <w:rFonts w:cstheme="minorHAnsi"/>
              </w:rPr>
              <w:t>Modelo de Gestión.</w:t>
            </w:r>
          </w:p>
          <w:p w14:paraId="1D1D8FAE" w14:textId="77777777" w:rsidR="007B3093" w:rsidRDefault="00000000">
            <w:pPr>
              <w:pStyle w:val="Prrafodelista"/>
              <w:numPr>
                <w:ilvl w:val="0"/>
                <w:numId w:val="73"/>
              </w:numPr>
              <w:tabs>
                <w:tab w:val="left" w:pos="-1440"/>
              </w:tabs>
              <w:jc w:val="both"/>
              <w:rPr>
                <w:rFonts w:cstheme="minorHAnsi"/>
              </w:rPr>
            </w:pPr>
            <w:r>
              <w:rPr>
                <w:rFonts w:cstheme="minorHAnsi"/>
              </w:rPr>
              <w:t>Análisis de resultados del Informe de Defensa del Estado de la PGE, análisis de asesoría y control legal.</w:t>
            </w:r>
          </w:p>
          <w:p w14:paraId="121DC920" w14:textId="77777777" w:rsidR="007B3093" w:rsidRDefault="00000000">
            <w:pPr>
              <w:pStyle w:val="Prrafodelista"/>
              <w:numPr>
                <w:ilvl w:val="0"/>
                <w:numId w:val="73"/>
              </w:numPr>
              <w:tabs>
                <w:tab w:val="left" w:pos="-1440"/>
              </w:tabs>
              <w:jc w:val="both"/>
              <w:rPr>
                <w:rFonts w:cstheme="minorHAnsi"/>
                <w:bCs/>
                <w:color w:val="000000"/>
                <w:lang w:eastAsia="es-EC"/>
              </w:rPr>
            </w:pPr>
            <w:r>
              <w:rPr>
                <w:rFonts w:cstheme="minorHAnsi"/>
                <w:bCs/>
                <w:color w:val="000000"/>
                <w:lang w:eastAsia="es-EC"/>
              </w:rPr>
              <w:t>Informe de evaluación que determine el estado actual de los procesos de capacitación que realiza la PGE a nivel de su personal (interno) y de otros servidores del Estado (externo)</w:t>
            </w:r>
          </w:p>
          <w:p w14:paraId="1BB98BF9" w14:textId="77777777" w:rsidR="007B3093" w:rsidRDefault="00000000">
            <w:pPr>
              <w:pStyle w:val="Prrafodelista"/>
              <w:numPr>
                <w:ilvl w:val="0"/>
                <w:numId w:val="73"/>
              </w:numPr>
              <w:tabs>
                <w:tab w:val="left" w:pos="-1440"/>
              </w:tabs>
              <w:jc w:val="both"/>
              <w:rPr>
                <w:rFonts w:cstheme="minorHAnsi"/>
                <w:bCs/>
                <w:color w:val="000000"/>
                <w:lang w:eastAsia="es-EC"/>
              </w:rPr>
            </w:pPr>
            <w:r>
              <w:rPr>
                <w:rFonts w:cstheme="minorHAnsi"/>
                <w:bCs/>
                <w:color w:val="000000"/>
                <w:lang w:eastAsia="es-EC"/>
              </w:rPr>
              <w:t>Informe que contenga los TDR de los procesos de contratación del PROFIP o componente 3 del Programa de Modernización de la Administración Financiera para capacitaciones de la PGE en el 2021</w:t>
            </w:r>
          </w:p>
          <w:p w14:paraId="383B7D8A" w14:textId="77777777" w:rsidR="007B3093" w:rsidRDefault="00000000">
            <w:pPr>
              <w:pStyle w:val="Prrafodelista"/>
              <w:numPr>
                <w:ilvl w:val="0"/>
                <w:numId w:val="73"/>
              </w:numPr>
              <w:tabs>
                <w:tab w:val="left" w:pos="-1440"/>
              </w:tabs>
              <w:jc w:val="both"/>
              <w:rPr>
                <w:rFonts w:cstheme="minorHAnsi"/>
                <w:bCs/>
                <w:color w:val="000000"/>
                <w:lang w:eastAsia="es-EC"/>
              </w:rPr>
            </w:pPr>
            <w:r>
              <w:rPr>
                <w:rFonts w:cstheme="minorHAnsi"/>
                <w:bCs/>
                <w:color w:val="000000"/>
                <w:lang w:eastAsia="es-EC"/>
              </w:rPr>
              <w:t>Informe que evalúe y determine las necesidades de capacitación a nivel interno y externo y propuesta de opciones de modelos institucionales para un sistema de capacitación de la PGE.</w:t>
            </w:r>
          </w:p>
          <w:p w14:paraId="5D4BE5CE" w14:textId="77777777" w:rsidR="007B3093" w:rsidRDefault="00000000">
            <w:pPr>
              <w:pStyle w:val="Prrafodelista"/>
              <w:numPr>
                <w:ilvl w:val="0"/>
                <w:numId w:val="73"/>
              </w:numPr>
              <w:jc w:val="both"/>
              <w:rPr>
                <w:rFonts w:cstheme="minorHAnsi"/>
                <w:color w:val="000000"/>
              </w:rPr>
            </w:pPr>
            <w:r>
              <w:rPr>
                <w:rFonts w:cstheme="minorHAnsi"/>
                <w:color w:val="000000"/>
              </w:rPr>
              <w:t>Modelo de Gestión</w:t>
            </w:r>
          </w:p>
          <w:p w14:paraId="43BC0566" w14:textId="77777777" w:rsidR="007B3093" w:rsidRDefault="00000000">
            <w:pPr>
              <w:pStyle w:val="Prrafodelista"/>
              <w:numPr>
                <w:ilvl w:val="0"/>
                <w:numId w:val="73"/>
              </w:numPr>
              <w:jc w:val="both"/>
              <w:rPr>
                <w:rFonts w:cstheme="minorHAnsi"/>
                <w:color w:val="000000"/>
              </w:rPr>
            </w:pPr>
            <w:r>
              <w:rPr>
                <w:rFonts w:cstheme="minorHAnsi"/>
                <w:color w:val="000000"/>
              </w:rPr>
              <w:t>Diagnóstico en profundidad</w:t>
            </w:r>
          </w:p>
          <w:p w14:paraId="1F27F3AC" w14:textId="77777777" w:rsidR="007B3093" w:rsidRDefault="00000000">
            <w:pPr>
              <w:pStyle w:val="Prrafodelista"/>
              <w:numPr>
                <w:ilvl w:val="0"/>
                <w:numId w:val="73"/>
              </w:numPr>
              <w:jc w:val="both"/>
              <w:rPr>
                <w:rFonts w:cstheme="minorHAnsi"/>
                <w:color w:val="000000"/>
              </w:rPr>
            </w:pPr>
            <w:r>
              <w:rPr>
                <w:rFonts w:cstheme="minorHAnsi"/>
                <w:color w:val="000000"/>
              </w:rPr>
              <w:t>Estatuto Orgánico Funcional por procesos</w:t>
            </w:r>
          </w:p>
          <w:p w14:paraId="5ABBCA40" w14:textId="77777777" w:rsidR="007B3093" w:rsidRDefault="00000000">
            <w:pPr>
              <w:pStyle w:val="Prrafodelista"/>
              <w:numPr>
                <w:ilvl w:val="0"/>
                <w:numId w:val="73"/>
              </w:numPr>
              <w:tabs>
                <w:tab w:val="left" w:pos="-1440"/>
              </w:tabs>
              <w:jc w:val="both"/>
              <w:rPr>
                <w:rFonts w:cstheme="minorHAnsi"/>
                <w:bCs/>
                <w:color w:val="000000"/>
                <w:lang w:eastAsia="es-EC"/>
              </w:rPr>
            </w:pPr>
            <w:r>
              <w:rPr>
                <w:rFonts w:cstheme="minorHAnsi"/>
                <w:color w:val="000000"/>
              </w:rPr>
              <w:t>Plan de capacitación emergente</w:t>
            </w:r>
          </w:p>
        </w:tc>
      </w:tr>
      <w:tr w:rsidR="007B3093" w14:paraId="7F1B856A" w14:textId="77777777">
        <w:trPr>
          <w:trHeight w:val="1553"/>
        </w:trPr>
        <w:tc>
          <w:tcPr>
            <w:tcW w:w="723" w:type="pct"/>
          </w:tcPr>
          <w:p w14:paraId="6059F676"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7651099F" w14:textId="77777777" w:rsidR="007B3093" w:rsidRDefault="00000000">
            <w:pPr>
              <w:pStyle w:val="Prrafodelista"/>
              <w:numPr>
                <w:ilvl w:val="0"/>
                <w:numId w:val="10"/>
              </w:numPr>
              <w:tabs>
                <w:tab w:val="left" w:pos="-1440"/>
              </w:tabs>
              <w:ind w:left="317"/>
              <w:jc w:val="both"/>
              <w:rPr>
                <w:rFonts w:cstheme="minorHAnsi"/>
              </w:rPr>
            </w:pPr>
            <w:r>
              <w:rPr>
                <w:rFonts w:cstheme="minorHAnsi"/>
              </w:rPr>
              <w:t>Elaboración de material para capacitaciones.</w:t>
            </w:r>
          </w:p>
          <w:p w14:paraId="1DEB032A" w14:textId="77777777" w:rsidR="007B3093" w:rsidRDefault="00000000">
            <w:pPr>
              <w:pStyle w:val="Prrafodelista"/>
              <w:numPr>
                <w:ilvl w:val="0"/>
                <w:numId w:val="10"/>
              </w:numPr>
              <w:tabs>
                <w:tab w:val="left" w:pos="-1440"/>
              </w:tabs>
              <w:ind w:left="317"/>
              <w:jc w:val="both"/>
              <w:rPr>
                <w:rFonts w:cstheme="minorHAnsi"/>
              </w:rPr>
            </w:pPr>
            <w:r>
              <w:rPr>
                <w:rFonts w:cstheme="minorHAnsi"/>
              </w:rPr>
              <w:t>Selección de grupos de instituciones a capacitar y cronograma de capacitaciones.</w:t>
            </w:r>
          </w:p>
          <w:p w14:paraId="5BE51309" w14:textId="77777777" w:rsidR="007B3093" w:rsidRDefault="00000000">
            <w:pPr>
              <w:pStyle w:val="Prrafodelista"/>
              <w:numPr>
                <w:ilvl w:val="0"/>
                <w:numId w:val="10"/>
              </w:numPr>
              <w:tabs>
                <w:tab w:val="left" w:pos="-1440"/>
              </w:tabs>
              <w:ind w:left="317"/>
              <w:jc w:val="both"/>
              <w:rPr>
                <w:rFonts w:cstheme="minorHAnsi"/>
              </w:rPr>
            </w:pPr>
            <w:r>
              <w:rPr>
                <w:rFonts w:cstheme="minorHAnsi"/>
              </w:rPr>
              <w:t>Acompañamiento de capacitaciones.</w:t>
            </w:r>
          </w:p>
          <w:p w14:paraId="7E18239F" w14:textId="77777777" w:rsidR="007B3093" w:rsidRDefault="00000000">
            <w:pPr>
              <w:pStyle w:val="Prrafodelista"/>
              <w:numPr>
                <w:ilvl w:val="0"/>
                <w:numId w:val="10"/>
              </w:numPr>
              <w:tabs>
                <w:tab w:val="left" w:pos="-1440"/>
              </w:tabs>
              <w:ind w:left="317"/>
              <w:jc w:val="both"/>
              <w:rPr>
                <w:rFonts w:cstheme="minorHAnsi"/>
              </w:rPr>
            </w:pPr>
            <w:r>
              <w:rPr>
                <w:rFonts w:cstheme="minorHAnsi"/>
              </w:rPr>
              <w:t xml:space="preserve">Informe de capacitaciones y recomendaciones. </w:t>
            </w:r>
          </w:p>
        </w:tc>
      </w:tr>
    </w:tbl>
    <w:p w14:paraId="5DDA410C"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6E17052E" w14:textId="77777777">
        <w:trPr>
          <w:trHeight w:val="402"/>
        </w:trPr>
        <w:tc>
          <w:tcPr>
            <w:tcW w:w="5000" w:type="pct"/>
            <w:gridSpan w:val="2"/>
          </w:tcPr>
          <w:p w14:paraId="18FE47D9" w14:textId="77777777" w:rsidR="007B3093" w:rsidRDefault="00000000">
            <w:pPr>
              <w:tabs>
                <w:tab w:val="left" w:pos="-1440"/>
              </w:tabs>
              <w:contextualSpacing/>
              <w:jc w:val="both"/>
              <w:rPr>
                <w:rFonts w:cstheme="minorHAnsi"/>
                <w:b/>
              </w:rPr>
            </w:pPr>
            <w:r>
              <w:rPr>
                <w:rFonts w:cstheme="minorHAnsi"/>
                <w:b/>
                <w:color w:val="000000"/>
              </w:rPr>
              <w:lastRenderedPageBreak/>
              <w:t>Servicios de logística, producción, ejecución y difusión del “Congreso internacional de abogacía estatal sobre institutos fundamentales del derecho administrativo para la defensa jurídica del estado”</w:t>
            </w:r>
          </w:p>
        </w:tc>
      </w:tr>
      <w:tr w:rsidR="007B3093" w14:paraId="37C9B915" w14:textId="77777777">
        <w:trPr>
          <w:trHeight w:val="632"/>
        </w:trPr>
        <w:tc>
          <w:tcPr>
            <w:tcW w:w="723" w:type="pct"/>
          </w:tcPr>
          <w:p w14:paraId="042E9C24"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0B28D03F" w14:textId="77777777" w:rsidR="007B3093" w:rsidRDefault="00000000">
            <w:pPr>
              <w:pStyle w:val="Prrafodelista"/>
              <w:tabs>
                <w:tab w:val="left" w:pos="-1440"/>
              </w:tabs>
              <w:ind w:left="284"/>
              <w:jc w:val="both"/>
              <w:rPr>
                <w:rFonts w:cstheme="minorHAnsi"/>
              </w:rPr>
            </w:pPr>
            <w:r>
              <w:rPr>
                <w:rFonts w:cstheme="minorHAnsi"/>
                <w:szCs w:val="24"/>
              </w:rPr>
              <w:t>Servicios de logística, producción, ejecución y difusión del Congreso internacional de abogacía estatal sobre institutos fundamentales del derecho administrativo para la defensa jurídica del Estado</w:t>
            </w:r>
          </w:p>
        </w:tc>
      </w:tr>
      <w:tr w:rsidR="007B3093" w14:paraId="1B7D7F10" w14:textId="77777777">
        <w:trPr>
          <w:trHeight w:val="1130"/>
        </w:trPr>
        <w:tc>
          <w:tcPr>
            <w:tcW w:w="723" w:type="pct"/>
          </w:tcPr>
          <w:p w14:paraId="50CE3D4F"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1312E202" w14:textId="77777777" w:rsidR="007B3093" w:rsidRDefault="00000000">
            <w:pPr>
              <w:pStyle w:val="Prrafodelista"/>
              <w:numPr>
                <w:ilvl w:val="0"/>
                <w:numId w:val="72"/>
              </w:numPr>
              <w:jc w:val="both"/>
              <w:rPr>
                <w:rFonts w:cstheme="minorHAnsi"/>
                <w:color w:val="000000"/>
              </w:rPr>
            </w:pPr>
            <w:r>
              <w:rPr>
                <w:rFonts w:cstheme="minorHAnsi"/>
                <w:color w:val="000000"/>
              </w:rPr>
              <w:t>Modelo de Gestión</w:t>
            </w:r>
          </w:p>
          <w:p w14:paraId="56752631" w14:textId="77777777" w:rsidR="007B3093" w:rsidRDefault="00000000">
            <w:pPr>
              <w:pStyle w:val="Prrafodelista"/>
              <w:numPr>
                <w:ilvl w:val="0"/>
                <w:numId w:val="72"/>
              </w:numPr>
              <w:jc w:val="both"/>
              <w:rPr>
                <w:rFonts w:cstheme="minorHAnsi"/>
                <w:color w:val="000000"/>
              </w:rPr>
            </w:pPr>
            <w:r>
              <w:rPr>
                <w:rFonts w:cstheme="minorHAnsi"/>
                <w:color w:val="000000"/>
              </w:rPr>
              <w:t>Diagnóstico en profundidad</w:t>
            </w:r>
          </w:p>
          <w:p w14:paraId="6746F9DE" w14:textId="77777777" w:rsidR="007B3093" w:rsidRDefault="00000000">
            <w:pPr>
              <w:pStyle w:val="Prrafodelista"/>
              <w:numPr>
                <w:ilvl w:val="0"/>
                <w:numId w:val="72"/>
              </w:numPr>
              <w:jc w:val="both"/>
              <w:rPr>
                <w:rFonts w:cstheme="minorHAnsi"/>
                <w:color w:val="000000"/>
              </w:rPr>
            </w:pPr>
            <w:r>
              <w:rPr>
                <w:rFonts w:cstheme="minorHAnsi"/>
                <w:color w:val="000000"/>
              </w:rPr>
              <w:t>Estatuto Orgánico Funcional por procesos</w:t>
            </w:r>
          </w:p>
          <w:p w14:paraId="28ECB236" w14:textId="77777777" w:rsidR="007B3093" w:rsidRDefault="00000000">
            <w:pPr>
              <w:pStyle w:val="Prrafodelista"/>
              <w:numPr>
                <w:ilvl w:val="0"/>
                <w:numId w:val="72"/>
              </w:numPr>
              <w:tabs>
                <w:tab w:val="left" w:pos="-1440"/>
              </w:tabs>
              <w:jc w:val="both"/>
              <w:rPr>
                <w:rFonts w:cstheme="minorHAnsi"/>
              </w:rPr>
            </w:pPr>
            <w:r>
              <w:rPr>
                <w:rFonts w:cstheme="minorHAnsi"/>
                <w:color w:val="000000"/>
              </w:rPr>
              <w:t>Plan de capacitación emergente</w:t>
            </w:r>
          </w:p>
        </w:tc>
      </w:tr>
      <w:tr w:rsidR="007B3093" w14:paraId="3C88F00A" w14:textId="77777777">
        <w:trPr>
          <w:trHeight w:val="1016"/>
        </w:trPr>
        <w:tc>
          <w:tcPr>
            <w:tcW w:w="723" w:type="pct"/>
          </w:tcPr>
          <w:p w14:paraId="38803A31"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2A45382D" w14:textId="77777777" w:rsidR="007B3093" w:rsidRDefault="00000000">
            <w:pPr>
              <w:pStyle w:val="Prrafodelista"/>
              <w:numPr>
                <w:ilvl w:val="0"/>
                <w:numId w:val="71"/>
              </w:numPr>
              <w:tabs>
                <w:tab w:val="left" w:pos="-1440"/>
              </w:tabs>
              <w:jc w:val="both"/>
              <w:rPr>
                <w:rFonts w:cstheme="minorHAnsi"/>
              </w:rPr>
            </w:pPr>
            <w:r>
              <w:rPr>
                <w:rFonts w:cstheme="minorHAnsi"/>
                <w:color w:val="000000"/>
              </w:rPr>
              <w:t>Servicios de logística, producción, ejecución y difusión del “Congreso internacional de abogacía estatal sobre institutos fundamentales del derecho administrativo para la defensa jurídica del estado.</w:t>
            </w:r>
          </w:p>
        </w:tc>
      </w:tr>
    </w:tbl>
    <w:p w14:paraId="6C6D735E"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3176CC35" w14:textId="77777777">
        <w:trPr>
          <w:trHeight w:val="446"/>
        </w:trPr>
        <w:tc>
          <w:tcPr>
            <w:tcW w:w="5000" w:type="pct"/>
            <w:shd w:val="clear" w:color="auto" w:fill="222A35" w:themeFill="text2" w:themeFillShade="80"/>
          </w:tcPr>
          <w:p w14:paraId="3DEFBEC8" w14:textId="77777777" w:rsidR="007B3093" w:rsidRDefault="00000000">
            <w:pPr>
              <w:tabs>
                <w:tab w:val="left" w:pos="-1440"/>
              </w:tabs>
              <w:contextualSpacing/>
              <w:jc w:val="both"/>
              <w:rPr>
                <w:rFonts w:cstheme="minorHAnsi"/>
                <w:b/>
                <w:color w:val="000000"/>
              </w:rPr>
            </w:pPr>
            <w:r>
              <w:rPr>
                <w:rFonts w:cstheme="minorHAnsi"/>
                <w:b/>
                <w:color w:val="FFFFFF" w:themeColor="background1"/>
              </w:rPr>
              <w:t>C4: Fortalecer los centros de mediación de la PGE.</w:t>
            </w:r>
          </w:p>
        </w:tc>
      </w:tr>
      <w:tr w:rsidR="007B3093" w14:paraId="469F7585" w14:textId="77777777">
        <w:trPr>
          <w:trHeight w:val="215"/>
        </w:trPr>
        <w:tc>
          <w:tcPr>
            <w:tcW w:w="5000" w:type="pct"/>
            <w:shd w:val="clear" w:color="auto" w:fill="ACB9CA" w:themeFill="text2" w:themeFillTint="66"/>
          </w:tcPr>
          <w:p w14:paraId="3584E705" w14:textId="77777777" w:rsidR="007B3093" w:rsidRDefault="00000000">
            <w:pPr>
              <w:tabs>
                <w:tab w:val="left" w:pos="-1440"/>
              </w:tabs>
              <w:contextualSpacing/>
              <w:jc w:val="center"/>
              <w:rPr>
                <w:rFonts w:cstheme="minorHAnsi"/>
                <w:b/>
              </w:rPr>
            </w:pPr>
            <w:r>
              <w:rPr>
                <w:rFonts w:cstheme="minorHAnsi"/>
                <w:b/>
              </w:rPr>
              <w:t>ACTIVIDAD 4.1</w:t>
            </w:r>
          </w:p>
        </w:tc>
      </w:tr>
      <w:tr w:rsidR="007B3093" w14:paraId="4BCC2EDE" w14:textId="77777777">
        <w:trPr>
          <w:trHeight w:val="384"/>
        </w:trPr>
        <w:tc>
          <w:tcPr>
            <w:tcW w:w="5000" w:type="pct"/>
          </w:tcPr>
          <w:p w14:paraId="6E6C4CD3" w14:textId="77777777" w:rsidR="007B3093" w:rsidRDefault="00000000">
            <w:pPr>
              <w:contextualSpacing/>
              <w:jc w:val="both"/>
              <w:rPr>
                <w:rFonts w:cstheme="minorHAnsi"/>
                <w:b/>
                <w:color w:val="000000"/>
              </w:rPr>
            </w:pPr>
            <w:r>
              <w:rPr>
                <w:rFonts w:cstheme="minorHAnsi"/>
                <w:b/>
                <w:color w:val="000000"/>
              </w:rPr>
              <w:t>Readecuar los espacios de los centros de mediación.</w:t>
            </w:r>
          </w:p>
        </w:tc>
      </w:tr>
    </w:tbl>
    <w:p w14:paraId="732EC9FF"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043AC37B" w14:textId="77777777">
        <w:tc>
          <w:tcPr>
            <w:tcW w:w="5000" w:type="pct"/>
            <w:gridSpan w:val="2"/>
          </w:tcPr>
          <w:p w14:paraId="65082330" w14:textId="77777777" w:rsidR="007B3093" w:rsidRDefault="00000000">
            <w:pPr>
              <w:rPr>
                <w:lang w:eastAsia="es-EC"/>
              </w:rPr>
            </w:pPr>
            <w:bookmarkStart w:id="73" w:name="_Toc61280114"/>
            <w:r>
              <w:rPr>
                <w:lang w:eastAsia="es-EC"/>
              </w:rPr>
              <w:t>Consultoría para la elaboración del diseño de readecuación integral de las oficinas del centro de mediación de la Procuraduría General del Estado (PGE)</w:t>
            </w:r>
            <w:bookmarkEnd w:id="73"/>
          </w:p>
        </w:tc>
      </w:tr>
      <w:tr w:rsidR="007B3093" w14:paraId="7C64823A" w14:textId="77777777">
        <w:trPr>
          <w:trHeight w:val="1511"/>
        </w:trPr>
        <w:tc>
          <w:tcPr>
            <w:tcW w:w="723" w:type="pct"/>
          </w:tcPr>
          <w:p w14:paraId="5D69ED65"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43C51FDF" w14:textId="77777777" w:rsidR="007B3093" w:rsidRDefault="00000000">
            <w:pPr>
              <w:pStyle w:val="Textoindependiente"/>
              <w:spacing w:after="0"/>
              <w:jc w:val="both"/>
              <w:rPr>
                <w:rFonts w:cstheme="minorHAnsi"/>
              </w:rPr>
            </w:pPr>
            <w:r>
              <w:rPr>
                <w:rFonts w:asciiTheme="minorHAnsi" w:hAnsiTheme="minorHAnsi" w:cstheme="minorHAnsi"/>
                <w:sz w:val="22"/>
                <w:szCs w:val="22"/>
              </w:rPr>
              <w:t xml:space="preserve">Establecer las especificaciones técnicas necesarias para impulsar el proceso de contratación de la readecuación integral de las oficinas del Centro de Mediación en las ciudades de Quito, Guayaquil, Cuenca, Loja, Riobamba y Portoviejo de la Procuraduría General del Estado (PGE), a fin de fortalecer sus capacidades operativas en el marco del nuevo modelo de gestión institucional. </w:t>
            </w:r>
          </w:p>
        </w:tc>
      </w:tr>
      <w:tr w:rsidR="007B3093" w14:paraId="57B4880B" w14:textId="77777777">
        <w:tc>
          <w:tcPr>
            <w:tcW w:w="723" w:type="pct"/>
          </w:tcPr>
          <w:p w14:paraId="36E4F191"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08142351" w14:textId="77777777" w:rsidR="007B3093" w:rsidRDefault="00000000">
            <w:pPr>
              <w:pStyle w:val="Prrafodelista"/>
              <w:numPr>
                <w:ilvl w:val="0"/>
                <w:numId w:val="74"/>
              </w:numPr>
              <w:tabs>
                <w:tab w:val="left" w:pos="-1440"/>
              </w:tabs>
              <w:jc w:val="both"/>
              <w:rPr>
                <w:rFonts w:cstheme="minorHAnsi"/>
              </w:rPr>
            </w:pPr>
            <w:r>
              <w:rPr>
                <w:rFonts w:cstheme="minorHAnsi"/>
              </w:rPr>
              <w:t>Diagnóstico en Profundidad.</w:t>
            </w:r>
          </w:p>
          <w:p w14:paraId="079B9386" w14:textId="77777777" w:rsidR="007B3093" w:rsidRDefault="00000000">
            <w:pPr>
              <w:pStyle w:val="Prrafodelista"/>
              <w:numPr>
                <w:ilvl w:val="0"/>
                <w:numId w:val="74"/>
              </w:numPr>
              <w:tabs>
                <w:tab w:val="left" w:pos="-1440"/>
              </w:tabs>
              <w:ind w:left="317"/>
              <w:jc w:val="both"/>
              <w:rPr>
                <w:rFonts w:cstheme="minorHAnsi"/>
              </w:rPr>
            </w:pPr>
            <w:r>
              <w:rPr>
                <w:rFonts w:cstheme="minorHAnsi"/>
              </w:rPr>
              <w:t>Plan estratégico.</w:t>
            </w:r>
          </w:p>
          <w:p w14:paraId="76773EE3" w14:textId="77777777" w:rsidR="007B3093" w:rsidRDefault="00000000">
            <w:pPr>
              <w:pStyle w:val="Prrafodelista"/>
              <w:numPr>
                <w:ilvl w:val="0"/>
                <w:numId w:val="74"/>
              </w:numPr>
              <w:tabs>
                <w:tab w:val="left" w:pos="-1440"/>
              </w:tabs>
              <w:ind w:left="317"/>
              <w:jc w:val="both"/>
              <w:rPr>
                <w:rFonts w:cstheme="minorHAnsi"/>
              </w:rPr>
            </w:pPr>
            <w:r>
              <w:rPr>
                <w:rFonts w:cstheme="minorHAnsi"/>
              </w:rPr>
              <w:t>Modelo de Gestión.</w:t>
            </w:r>
          </w:p>
        </w:tc>
      </w:tr>
      <w:tr w:rsidR="007B3093" w14:paraId="24CE0C6D" w14:textId="77777777">
        <w:tc>
          <w:tcPr>
            <w:tcW w:w="723" w:type="pct"/>
          </w:tcPr>
          <w:p w14:paraId="43D3F852" w14:textId="77777777" w:rsidR="007B3093" w:rsidRDefault="00000000">
            <w:pPr>
              <w:tabs>
                <w:tab w:val="left" w:pos="-1440"/>
              </w:tabs>
              <w:contextualSpacing/>
              <w:jc w:val="both"/>
              <w:rPr>
                <w:rFonts w:cstheme="minorHAnsi"/>
                <w:b/>
              </w:rPr>
            </w:pPr>
            <w:r>
              <w:rPr>
                <w:rFonts w:cstheme="minorHAnsi"/>
                <w:b/>
              </w:rPr>
              <w:t>Productos</w:t>
            </w:r>
          </w:p>
        </w:tc>
        <w:tc>
          <w:tcPr>
            <w:tcW w:w="4277" w:type="pct"/>
            <w:vAlign w:val="center"/>
          </w:tcPr>
          <w:p w14:paraId="35EA31F7" w14:textId="77777777" w:rsidR="007B3093" w:rsidRDefault="00000000">
            <w:pPr>
              <w:pStyle w:val="Prrafodelista"/>
              <w:numPr>
                <w:ilvl w:val="0"/>
                <w:numId w:val="56"/>
              </w:numPr>
              <w:tabs>
                <w:tab w:val="left" w:pos="-1440"/>
              </w:tabs>
              <w:jc w:val="both"/>
              <w:rPr>
                <w:rFonts w:cstheme="minorHAnsi"/>
              </w:rPr>
            </w:pPr>
            <w:r>
              <w:rPr>
                <w:color w:val="000000"/>
                <w:lang w:eastAsia="es-EC"/>
              </w:rPr>
              <w:t>Informe detallado de la infraestructura existente.</w:t>
            </w:r>
          </w:p>
          <w:p w14:paraId="748B91D7" w14:textId="77777777" w:rsidR="007B3093" w:rsidRDefault="00000000">
            <w:pPr>
              <w:pStyle w:val="Prrafodelista"/>
              <w:numPr>
                <w:ilvl w:val="0"/>
                <w:numId w:val="56"/>
              </w:numPr>
              <w:tabs>
                <w:tab w:val="left" w:pos="-1440"/>
              </w:tabs>
              <w:jc w:val="both"/>
              <w:rPr>
                <w:rFonts w:cstheme="minorHAnsi"/>
              </w:rPr>
            </w:pPr>
            <w:r>
              <w:rPr>
                <w:color w:val="000000"/>
                <w:lang w:eastAsia="es-EC"/>
              </w:rPr>
              <w:t>Informe de evaluación de las necesidades y propuesta del diseño de adecuación integral (Anteproyecto).</w:t>
            </w:r>
          </w:p>
          <w:p w14:paraId="2966DF64" w14:textId="77777777" w:rsidR="007B3093" w:rsidRDefault="00000000">
            <w:pPr>
              <w:pStyle w:val="Prrafodelista"/>
              <w:numPr>
                <w:ilvl w:val="0"/>
                <w:numId w:val="56"/>
              </w:numPr>
              <w:tabs>
                <w:tab w:val="left" w:pos="-1440"/>
              </w:tabs>
              <w:jc w:val="both"/>
              <w:rPr>
                <w:rFonts w:cstheme="minorHAnsi"/>
              </w:rPr>
            </w:pPr>
            <w:r>
              <w:rPr>
                <w:bCs/>
                <w:color w:val="000000"/>
                <w:lang w:eastAsia="es-EC"/>
              </w:rPr>
              <w:t>Memoria técnica del planteamiento arquitectónico</w:t>
            </w:r>
          </w:p>
          <w:p w14:paraId="6A94C396" w14:textId="77777777" w:rsidR="007B3093" w:rsidRDefault="00000000">
            <w:pPr>
              <w:pStyle w:val="Prrafodelista"/>
              <w:numPr>
                <w:ilvl w:val="0"/>
                <w:numId w:val="56"/>
              </w:numPr>
              <w:tabs>
                <w:tab w:val="left" w:pos="-1440"/>
              </w:tabs>
              <w:jc w:val="both"/>
              <w:rPr>
                <w:rFonts w:cstheme="minorHAnsi"/>
              </w:rPr>
            </w:pPr>
            <w:r>
              <w:rPr>
                <w:bCs/>
                <w:color w:val="000000"/>
                <w:lang w:eastAsia="es-EC"/>
              </w:rPr>
              <w:t>Proyecto Arquitectónico</w:t>
            </w:r>
          </w:p>
          <w:p w14:paraId="68203D89" w14:textId="77777777" w:rsidR="007B3093" w:rsidRDefault="00000000">
            <w:pPr>
              <w:pStyle w:val="Prrafodelista"/>
              <w:numPr>
                <w:ilvl w:val="0"/>
                <w:numId w:val="56"/>
              </w:numPr>
              <w:tabs>
                <w:tab w:val="left" w:pos="-1440"/>
              </w:tabs>
              <w:jc w:val="both"/>
              <w:rPr>
                <w:rFonts w:cstheme="minorHAnsi"/>
              </w:rPr>
            </w:pPr>
            <w:r>
              <w:rPr>
                <w:bCs/>
                <w:color w:val="000000"/>
                <w:lang w:eastAsia="es-EC"/>
              </w:rPr>
              <w:t>Diseño eléctrico</w:t>
            </w:r>
          </w:p>
          <w:p w14:paraId="37E5AE20" w14:textId="77777777" w:rsidR="007B3093" w:rsidRDefault="00000000">
            <w:pPr>
              <w:pStyle w:val="Prrafodelista"/>
              <w:numPr>
                <w:ilvl w:val="0"/>
                <w:numId w:val="56"/>
              </w:numPr>
              <w:tabs>
                <w:tab w:val="left" w:pos="-1440"/>
              </w:tabs>
              <w:jc w:val="both"/>
              <w:rPr>
                <w:rFonts w:cstheme="minorHAnsi"/>
              </w:rPr>
            </w:pPr>
            <w:r>
              <w:rPr>
                <w:bCs/>
                <w:color w:val="000000"/>
                <w:lang w:eastAsia="es-EC"/>
              </w:rPr>
              <w:t>Diseño hidrosanitario</w:t>
            </w:r>
          </w:p>
          <w:p w14:paraId="0155D70C" w14:textId="77777777" w:rsidR="007B3093" w:rsidRDefault="00000000">
            <w:pPr>
              <w:pStyle w:val="Prrafodelista"/>
              <w:numPr>
                <w:ilvl w:val="0"/>
                <w:numId w:val="56"/>
              </w:numPr>
              <w:tabs>
                <w:tab w:val="left" w:pos="-1440"/>
              </w:tabs>
              <w:jc w:val="both"/>
              <w:rPr>
                <w:rFonts w:cstheme="minorHAnsi"/>
              </w:rPr>
            </w:pPr>
            <w:r>
              <w:rPr>
                <w:bCs/>
                <w:color w:val="000000"/>
                <w:lang w:eastAsia="es-EC"/>
              </w:rPr>
              <w:t>Diseño electrónico</w:t>
            </w:r>
            <w:r>
              <w:rPr>
                <w:color w:val="000000"/>
                <w:lang w:eastAsia="es-EC"/>
              </w:rPr>
              <w:t>.</w:t>
            </w:r>
          </w:p>
          <w:p w14:paraId="55279D88" w14:textId="77777777" w:rsidR="007B3093" w:rsidRDefault="00000000">
            <w:pPr>
              <w:pStyle w:val="Prrafodelista"/>
              <w:numPr>
                <w:ilvl w:val="0"/>
                <w:numId w:val="56"/>
              </w:numPr>
              <w:tabs>
                <w:tab w:val="left" w:pos="-1440"/>
              </w:tabs>
              <w:jc w:val="both"/>
              <w:rPr>
                <w:rFonts w:cstheme="minorHAnsi"/>
              </w:rPr>
            </w:pPr>
            <w:r>
              <w:rPr>
                <w:bCs/>
                <w:color w:val="000000"/>
                <w:lang w:eastAsia="es-EC"/>
              </w:rPr>
              <w:t>Plan de evacuación</w:t>
            </w:r>
          </w:p>
          <w:p w14:paraId="6BD350C2" w14:textId="77777777" w:rsidR="007B3093" w:rsidRDefault="00000000">
            <w:pPr>
              <w:pStyle w:val="Prrafodelista"/>
              <w:numPr>
                <w:ilvl w:val="0"/>
                <w:numId w:val="56"/>
              </w:numPr>
              <w:tabs>
                <w:tab w:val="left" w:pos="-1440"/>
              </w:tabs>
              <w:jc w:val="both"/>
              <w:rPr>
                <w:rFonts w:cstheme="minorHAnsi"/>
              </w:rPr>
            </w:pPr>
            <w:r>
              <w:rPr>
                <w:color w:val="000000"/>
                <w:lang w:eastAsia="es-EC"/>
              </w:rPr>
              <w:t>Propuesta final de Especificaciones Técnicas y estimación de costos para la contratación de la readecuación integral de las oficinas del Centro de Mediación de la PGE.</w:t>
            </w:r>
          </w:p>
        </w:tc>
      </w:tr>
    </w:tbl>
    <w:p w14:paraId="0FBF8572"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5FB9A08F" w14:textId="77777777">
        <w:tc>
          <w:tcPr>
            <w:tcW w:w="5000" w:type="pct"/>
            <w:gridSpan w:val="2"/>
          </w:tcPr>
          <w:p w14:paraId="416F23B5" w14:textId="77777777" w:rsidR="007B3093" w:rsidRDefault="00000000">
            <w:pPr>
              <w:tabs>
                <w:tab w:val="left" w:pos="-1440"/>
              </w:tabs>
              <w:contextualSpacing/>
              <w:jc w:val="both"/>
              <w:rPr>
                <w:rFonts w:cstheme="minorHAnsi"/>
                <w:b/>
              </w:rPr>
            </w:pPr>
            <w:r>
              <w:rPr>
                <w:b/>
                <w:szCs w:val="24"/>
              </w:rPr>
              <w:lastRenderedPageBreak/>
              <w:t>Contratación del Servicio de Readecuación y Equipamiento del Archivo del Centro de Mediación de la PGE en la ciudad de Quito (</w:t>
            </w:r>
            <w:proofErr w:type="spellStart"/>
            <w:r>
              <w:rPr>
                <w:b/>
                <w:szCs w:val="24"/>
              </w:rPr>
              <w:t>MMJaramilloArteaga</w:t>
            </w:r>
            <w:proofErr w:type="spellEnd"/>
            <w:r>
              <w:rPr>
                <w:b/>
                <w:szCs w:val="24"/>
              </w:rPr>
              <w:t>)</w:t>
            </w:r>
          </w:p>
        </w:tc>
      </w:tr>
      <w:tr w:rsidR="007B3093" w14:paraId="32416341" w14:textId="77777777">
        <w:tc>
          <w:tcPr>
            <w:tcW w:w="723" w:type="pct"/>
          </w:tcPr>
          <w:p w14:paraId="6F516490"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208BE79E" w14:textId="77777777" w:rsidR="007B3093" w:rsidRDefault="00000000">
            <w:pPr>
              <w:spacing w:after="200" w:line="276" w:lineRule="auto"/>
              <w:rPr>
                <w:szCs w:val="24"/>
              </w:rPr>
            </w:pPr>
            <w:r>
              <w:rPr>
                <w:szCs w:val="24"/>
              </w:rPr>
              <w:t xml:space="preserve">Contar con espacio para el archivo pasivo del Centro de Mediación de la PGE en la ciudad de Quito, mediante la readecuación y equipamiento </w:t>
            </w:r>
            <w:proofErr w:type="gramStart"/>
            <w:r>
              <w:rPr>
                <w:szCs w:val="24"/>
              </w:rPr>
              <w:t>del mismo</w:t>
            </w:r>
            <w:proofErr w:type="gramEnd"/>
            <w:r>
              <w:rPr>
                <w:szCs w:val="24"/>
              </w:rPr>
              <w:t xml:space="preserve">, para una correcta preservación de los expedientes que genera dicho Centro y facilitar a los servidores la ubicación de los documentos que requieren para el cumplimiento de sus funciones. </w:t>
            </w:r>
          </w:p>
        </w:tc>
      </w:tr>
      <w:tr w:rsidR="007B3093" w14:paraId="06693E31" w14:textId="77777777">
        <w:tc>
          <w:tcPr>
            <w:tcW w:w="723" w:type="pct"/>
          </w:tcPr>
          <w:p w14:paraId="118979B3"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620E8DA2" w14:textId="77777777" w:rsidR="007B3093" w:rsidRDefault="00000000">
            <w:pPr>
              <w:pStyle w:val="Prrafodelista"/>
              <w:numPr>
                <w:ilvl w:val="0"/>
                <w:numId w:val="75"/>
              </w:numPr>
              <w:tabs>
                <w:tab w:val="left" w:pos="-1440"/>
              </w:tabs>
              <w:jc w:val="both"/>
              <w:rPr>
                <w:rFonts w:cstheme="minorHAnsi"/>
              </w:rPr>
            </w:pPr>
            <w:r>
              <w:rPr>
                <w:rFonts w:cstheme="minorHAnsi"/>
              </w:rPr>
              <w:t>Diagnóstico en Profundidad.</w:t>
            </w:r>
          </w:p>
          <w:p w14:paraId="635C763D" w14:textId="77777777" w:rsidR="007B3093" w:rsidRDefault="00000000">
            <w:pPr>
              <w:pStyle w:val="Prrafodelista"/>
              <w:numPr>
                <w:ilvl w:val="0"/>
                <w:numId w:val="75"/>
              </w:numPr>
              <w:tabs>
                <w:tab w:val="left" w:pos="-1440"/>
              </w:tabs>
              <w:ind w:left="317"/>
              <w:jc w:val="both"/>
              <w:rPr>
                <w:szCs w:val="24"/>
              </w:rPr>
            </w:pPr>
            <w:r>
              <w:rPr>
                <w:rFonts w:cstheme="minorHAnsi"/>
              </w:rPr>
              <w:t>Plan estratégico.</w:t>
            </w:r>
          </w:p>
          <w:p w14:paraId="6D30DBB2" w14:textId="77777777" w:rsidR="007B3093" w:rsidRDefault="00000000">
            <w:pPr>
              <w:pStyle w:val="Prrafodelista"/>
              <w:numPr>
                <w:ilvl w:val="0"/>
                <w:numId w:val="75"/>
              </w:numPr>
              <w:tabs>
                <w:tab w:val="left" w:pos="-1440"/>
              </w:tabs>
              <w:ind w:left="317"/>
              <w:jc w:val="both"/>
              <w:rPr>
                <w:szCs w:val="24"/>
              </w:rPr>
            </w:pPr>
            <w:r>
              <w:rPr>
                <w:rFonts w:cstheme="minorHAnsi"/>
              </w:rPr>
              <w:t>Modelo de Gestión.</w:t>
            </w:r>
          </w:p>
        </w:tc>
      </w:tr>
      <w:tr w:rsidR="007B3093" w14:paraId="2FC56101" w14:textId="77777777">
        <w:tc>
          <w:tcPr>
            <w:tcW w:w="723" w:type="pct"/>
          </w:tcPr>
          <w:p w14:paraId="0E83A177"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6AD60687" w14:textId="77777777" w:rsidR="007B3093" w:rsidRDefault="00000000">
            <w:pPr>
              <w:tabs>
                <w:tab w:val="left" w:pos="-1440"/>
              </w:tabs>
              <w:jc w:val="both"/>
              <w:rPr>
                <w:rFonts w:cstheme="minorHAnsi"/>
              </w:rPr>
            </w:pPr>
            <w:r>
              <w:rPr>
                <w:rFonts w:cstheme="minorHAnsi"/>
              </w:rPr>
              <w:t>Adecuaciones y equipamiento del archivo del centro de mediación.</w:t>
            </w:r>
          </w:p>
        </w:tc>
      </w:tr>
    </w:tbl>
    <w:p w14:paraId="422735DC" w14:textId="77777777" w:rsidR="007B3093" w:rsidRDefault="007B3093">
      <w:pPr>
        <w:spacing w:after="0" w:line="240" w:lineRule="auto"/>
        <w:contextualSpacing/>
        <w:rPr>
          <w:rFonts w:cstheme="minorHAnsi"/>
        </w:rPr>
      </w:pPr>
    </w:p>
    <w:p w14:paraId="754A123C"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676759D1" w14:textId="77777777">
        <w:tc>
          <w:tcPr>
            <w:tcW w:w="5000" w:type="pct"/>
            <w:gridSpan w:val="2"/>
          </w:tcPr>
          <w:p w14:paraId="35AA756B" w14:textId="77777777" w:rsidR="007B3093" w:rsidRDefault="00000000">
            <w:pPr>
              <w:tabs>
                <w:tab w:val="left" w:pos="-1440"/>
              </w:tabs>
              <w:contextualSpacing/>
              <w:jc w:val="both"/>
              <w:rPr>
                <w:rFonts w:cstheme="minorHAnsi"/>
                <w:b/>
              </w:rPr>
            </w:pPr>
            <w:r>
              <w:rPr>
                <w:rFonts w:cstheme="minorHAnsi"/>
                <w:b/>
                <w:color w:val="000000"/>
              </w:rPr>
              <w:t>Readecuaciones de espacios de los centros de mediación en Quito, Guayaquil, Cuenca, Riobamba y Portoviejo</w:t>
            </w:r>
          </w:p>
        </w:tc>
      </w:tr>
      <w:tr w:rsidR="007B3093" w14:paraId="24C10365" w14:textId="77777777">
        <w:tc>
          <w:tcPr>
            <w:tcW w:w="723" w:type="pct"/>
          </w:tcPr>
          <w:p w14:paraId="02ED9FDD"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711A9B34" w14:textId="77777777" w:rsidR="007B3093" w:rsidRDefault="00000000">
            <w:pPr>
              <w:pStyle w:val="Prrafodelista"/>
              <w:tabs>
                <w:tab w:val="left" w:pos="-1440"/>
              </w:tabs>
              <w:ind w:left="284"/>
              <w:jc w:val="both"/>
              <w:rPr>
                <w:rFonts w:cstheme="minorHAnsi"/>
              </w:rPr>
            </w:pPr>
            <w:r>
              <w:rPr>
                <w:rFonts w:cstheme="minorHAnsi"/>
                <w:color w:val="000000"/>
              </w:rPr>
              <w:t>Readecuar los espacios físicos de los centros de mediación.</w:t>
            </w:r>
          </w:p>
        </w:tc>
      </w:tr>
      <w:tr w:rsidR="007B3093" w14:paraId="43D324FA" w14:textId="77777777">
        <w:tc>
          <w:tcPr>
            <w:tcW w:w="723" w:type="pct"/>
          </w:tcPr>
          <w:p w14:paraId="1BABFAA8"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2FBBC504" w14:textId="77777777" w:rsidR="007B3093" w:rsidRDefault="00000000">
            <w:pPr>
              <w:pStyle w:val="Prrafodelista"/>
              <w:numPr>
                <w:ilvl w:val="0"/>
                <w:numId w:val="76"/>
              </w:numPr>
              <w:tabs>
                <w:tab w:val="left" w:pos="-1440"/>
              </w:tabs>
              <w:jc w:val="both"/>
              <w:rPr>
                <w:rFonts w:cstheme="minorHAnsi"/>
              </w:rPr>
            </w:pPr>
            <w:r>
              <w:rPr>
                <w:rFonts w:cstheme="minorHAnsi"/>
              </w:rPr>
              <w:t>Diagnóstico en Profundidad.</w:t>
            </w:r>
          </w:p>
          <w:p w14:paraId="5181F6F4" w14:textId="77777777" w:rsidR="007B3093" w:rsidRDefault="00000000">
            <w:pPr>
              <w:pStyle w:val="Prrafodelista"/>
              <w:numPr>
                <w:ilvl w:val="0"/>
                <w:numId w:val="76"/>
              </w:numPr>
              <w:tabs>
                <w:tab w:val="left" w:pos="-1440"/>
              </w:tabs>
              <w:ind w:left="317"/>
              <w:jc w:val="both"/>
              <w:rPr>
                <w:szCs w:val="24"/>
              </w:rPr>
            </w:pPr>
            <w:r>
              <w:rPr>
                <w:rFonts w:cstheme="minorHAnsi"/>
              </w:rPr>
              <w:t>Plan estratégico.</w:t>
            </w:r>
          </w:p>
          <w:p w14:paraId="01EBD9F1" w14:textId="77777777" w:rsidR="007B3093" w:rsidRDefault="00000000">
            <w:pPr>
              <w:pStyle w:val="Prrafodelista"/>
              <w:numPr>
                <w:ilvl w:val="0"/>
                <w:numId w:val="76"/>
              </w:numPr>
              <w:tabs>
                <w:tab w:val="left" w:pos="-1440"/>
              </w:tabs>
              <w:jc w:val="both"/>
              <w:rPr>
                <w:rFonts w:cstheme="minorHAnsi"/>
              </w:rPr>
            </w:pPr>
            <w:r>
              <w:rPr>
                <w:rFonts w:cstheme="minorHAnsi"/>
              </w:rPr>
              <w:t>Modelo de Gestión.</w:t>
            </w:r>
          </w:p>
          <w:p w14:paraId="5014AA39" w14:textId="77777777" w:rsidR="007B3093" w:rsidRDefault="00000000">
            <w:pPr>
              <w:pStyle w:val="Prrafodelista"/>
              <w:numPr>
                <w:ilvl w:val="0"/>
                <w:numId w:val="76"/>
              </w:numPr>
              <w:tabs>
                <w:tab w:val="left" w:pos="-1440"/>
              </w:tabs>
              <w:jc w:val="both"/>
              <w:rPr>
                <w:szCs w:val="24"/>
              </w:rPr>
            </w:pPr>
            <w:r>
              <w:rPr>
                <w:rFonts w:cstheme="minorHAnsi"/>
              </w:rPr>
              <w:t>Consultoría para la elaboración del diseño de readecuación integral de las oficinas del centro de mediación de la Procuraduría General del Estado (PGE)</w:t>
            </w:r>
          </w:p>
        </w:tc>
      </w:tr>
      <w:tr w:rsidR="007B3093" w14:paraId="150B9EA6" w14:textId="77777777">
        <w:tc>
          <w:tcPr>
            <w:tcW w:w="723" w:type="pct"/>
          </w:tcPr>
          <w:p w14:paraId="163E5441"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7032F563" w14:textId="77777777" w:rsidR="007B3093" w:rsidRDefault="00000000">
            <w:pPr>
              <w:pStyle w:val="Prrafodelista"/>
              <w:numPr>
                <w:ilvl w:val="0"/>
                <w:numId w:val="11"/>
              </w:numPr>
              <w:tabs>
                <w:tab w:val="left" w:pos="-1440"/>
              </w:tabs>
              <w:ind w:left="317"/>
              <w:jc w:val="both"/>
              <w:rPr>
                <w:rFonts w:cstheme="minorHAnsi"/>
              </w:rPr>
            </w:pPr>
            <w:r>
              <w:rPr>
                <w:rFonts w:cstheme="minorHAnsi"/>
              </w:rPr>
              <w:t>Cronograma para realizar las mejoras en los centros de mediación de la PGE.</w:t>
            </w:r>
          </w:p>
          <w:p w14:paraId="6DFCC482" w14:textId="77777777" w:rsidR="007B3093" w:rsidRDefault="00000000">
            <w:pPr>
              <w:pStyle w:val="Prrafodelista"/>
              <w:numPr>
                <w:ilvl w:val="0"/>
                <w:numId w:val="11"/>
              </w:numPr>
              <w:tabs>
                <w:tab w:val="left" w:pos="-1440"/>
              </w:tabs>
              <w:ind w:left="317"/>
              <w:jc w:val="both"/>
              <w:rPr>
                <w:rFonts w:cstheme="minorHAnsi"/>
              </w:rPr>
            </w:pPr>
            <w:r>
              <w:rPr>
                <w:rFonts w:cstheme="minorHAnsi"/>
              </w:rPr>
              <w:t>Mejoras en espacios y mobiliario para la readecuación de los centros de mediación.</w:t>
            </w:r>
          </w:p>
        </w:tc>
      </w:tr>
    </w:tbl>
    <w:p w14:paraId="79D1FDAC" w14:textId="77777777" w:rsidR="007B3093" w:rsidRDefault="007B3093">
      <w:pPr>
        <w:spacing w:after="0" w:line="240" w:lineRule="auto"/>
        <w:contextualSpacing/>
        <w:rPr>
          <w:rFonts w:cstheme="minorHAnsi"/>
        </w:rPr>
      </w:pPr>
    </w:p>
    <w:p w14:paraId="07FDB89B"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2DC966CB" w14:textId="77777777">
        <w:trPr>
          <w:trHeight w:val="227"/>
        </w:trPr>
        <w:tc>
          <w:tcPr>
            <w:tcW w:w="5000" w:type="pct"/>
            <w:shd w:val="clear" w:color="auto" w:fill="222A35" w:themeFill="text2" w:themeFillShade="80"/>
          </w:tcPr>
          <w:p w14:paraId="2B9FD55F" w14:textId="77777777" w:rsidR="007B3093" w:rsidRDefault="00000000">
            <w:pPr>
              <w:tabs>
                <w:tab w:val="left" w:pos="-1440"/>
              </w:tabs>
              <w:contextualSpacing/>
              <w:jc w:val="both"/>
              <w:rPr>
                <w:rFonts w:cstheme="minorHAnsi"/>
                <w:b/>
                <w:color w:val="000000"/>
              </w:rPr>
            </w:pPr>
            <w:r>
              <w:rPr>
                <w:rFonts w:cstheme="minorHAnsi"/>
                <w:b/>
                <w:color w:val="FFFFFF" w:themeColor="background1"/>
              </w:rPr>
              <w:t>C5: Diseñar e implementar la estrategia de comunicación de la PGE.</w:t>
            </w:r>
          </w:p>
        </w:tc>
      </w:tr>
      <w:tr w:rsidR="007B3093" w14:paraId="217D4AB4" w14:textId="77777777">
        <w:trPr>
          <w:trHeight w:val="244"/>
        </w:trPr>
        <w:tc>
          <w:tcPr>
            <w:tcW w:w="5000" w:type="pct"/>
            <w:shd w:val="clear" w:color="auto" w:fill="ACB9CA" w:themeFill="text2" w:themeFillTint="66"/>
          </w:tcPr>
          <w:p w14:paraId="227945F3" w14:textId="77777777" w:rsidR="007B3093" w:rsidRDefault="00000000">
            <w:pPr>
              <w:tabs>
                <w:tab w:val="left" w:pos="-1440"/>
              </w:tabs>
              <w:contextualSpacing/>
              <w:jc w:val="center"/>
              <w:rPr>
                <w:rFonts w:cstheme="minorHAnsi"/>
                <w:b/>
              </w:rPr>
            </w:pPr>
            <w:r>
              <w:rPr>
                <w:rFonts w:cstheme="minorHAnsi"/>
                <w:b/>
              </w:rPr>
              <w:t>ACTIVIDAD 5.1</w:t>
            </w:r>
          </w:p>
        </w:tc>
      </w:tr>
      <w:tr w:rsidR="007B3093" w14:paraId="603A08A0" w14:textId="77777777">
        <w:trPr>
          <w:trHeight w:val="396"/>
        </w:trPr>
        <w:tc>
          <w:tcPr>
            <w:tcW w:w="5000" w:type="pct"/>
          </w:tcPr>
          <w:p w14:paraId="5EA7A38C" w14:textId="77777777" w:rsidR="007B3093" w:rsidRDefault="00000000">
            <w:pPr>
              <w:contextualSpacing/>
              <w:jc w:val="both"/>
              <w:rPr>
                <w:rFonts w:cstheme="minorHAnsi"/>
                <w:b/>
                <w:color w:val="000000"/>
              </w:rPr>
            </w:pPr>
            <w:r>
              <w:rPr>
                <w:rFonts w:cstheme="minorHAnsi"/>
                <w:b/>
                <w:color w:val="000000"/>
              </w:rPr>
              <w:t xml:space="preserve">Diseñar una estrategia de comunicación. </w:t>
            </w:r>
          </w:p>
        </w:tc>
      </w:tr>
    </w:tbl>
    <w:p w14:paraId="2D69C901"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7135"/>
      </w:tblGrid>
      <w:tr w:rsidR="007B3093" w14:paraId="11C375C9" w14:textId="77777777">
        <w:trPr>
          <w:trHeight w:val="408"/>
        </w:trPr>
        <w:tc>
          <w:tcPr>
            <w:tcW w:w="5000" w:type="pct"/>
            <w:gridSpan w:val="2"/>
          </w:tcPr>
          <w:p w14:paraId="4E50EDE6" w14:textId="77777777" w:rsidR="007B3093" w:rsidRDefault="00000000">
            <w:pPr>
              <w:tabs>
                <w:tab w:val="left" w:pos="-1440"/>
              </w:tabs>
              <w:contextualSpacing/>
              <w:jc w:val="both"/>
              <w:rPr>
                <w:rFonts w:cstheme="minorHAnsi"/>
                <w:b/>
              </w:rPr>
            </w:pPr>
            <w:r>
              <w:rPr>
                <w:rFonts w:cstheme="minorHAnsi"/>
                <w:b/>
                <w:color w:val="000000"/>
              </w:rPr>
              <w:t>Diseño de estrategia de comunicación.</w:t>
            </w:r>
          </w:p>
        </w:tc>
      </w:tr>
      <w:tr w:rsidR="007B3093" w14:paraId="3CABD665" w14:textId="77777777">
        <w:trPr>
          <w:trHeight w:val="660"/>
        </w:trPr>
        <w:tc>
          <w:tcPr>
            <w:tcW w:w="800" w:type="pct"/>
          </w:tcPr>
          <w:p w14:paraId="128A62B5" w14:textId="77777777" w:rsidR="007B3093" w:rsidRDefault="00000000">
            <w:pPr>
              <w:tabs>
                <w:tab w:val="left" w:pos="-1440"/>
              </w:tabs>
              <w:contextualSpacing/>
              <w:jc w:val="both"/>
              <w:rPr>
                <w:rFonts w:cstheme="minorHAnsi"/>
                <w:b/>
              </w:rPr>
            </w:pPr>
            <w:r>
              <w:rPr>
                <w:rFonts w:cstheme="minorHAnsi"/>
                <w:b/>
              </w:rPr>
              <w:t xml:space="preserve">Objetivo: </w:t>
            </w:r>
          </w:p>
        </w:tc>
        <w:tc>
          <w:tcPr>
            <w:tcW w:w="4200" w:type="pct"/>
          </w:tcPr>
          <w:p w14:paraId="61F9868E" w14:textId="77777777" w:rsidR="007B3093" w:rsidRDefault="00000000">
            <w:pPr>
              <w:pStyle w:val="Prrafodelista"/>
              <w:tabs>
                <w:tab w:val="left" w:pos="-1440"/>
              </w:tabs>
              <w:ind w:left="284"/>
              <w:jc w:val="both"/>
              <w:rPr>
                <w:rFonts w:cstheme="minorHAnsi"/>
              </w:rPr>
            </w:pPr>
            <w:r>
              <w:rPr>
                <w:rFonts w:cs="Calibri"/>
              </w:rPr>
              <w:t>Diseñar una estrategia de comunicación interna y externa para el proceso de diseño e implementación del modelo de gestión y reforma integral institucional de la Procuraduría General del Estado.</w:t>
            </w:r>
          </w:p>
        </w:tc>
      </w:tr>
      <w:tr w:rsidR="007B3093" w14:paraId="2AFB5737" w14:textId="77777777">
        <w:trPr>
          <w:trHeight w:val="691"/>
        </w:trPr>
        <w:tc>
          <w:tcPr>
            <w:tcW w:w="800" w:type="pct"/>
          </w:tcPr>
          <w:p w14:paraId="274CAE3E" w14:textId="77777777" w:rsidR="007B3093" w:rsidRDefault="00000000">
            <w:pPr>
              <w:tabs>
                <w:tab w:val="left" w:pos="-1440"/>
              </w:tabs>
              <w:contextualSpacing/>
              <w:jc w:val="both"/>
              <w:rPr>
                <w:rFonts w:cstheme="minorHAnsi"/>
                <w:b/>
              </w:rPr>
            </w:pPr>
            <w:r>
              <w:rPr>
                <w:rFonts w:cstheme="minorHAnsi"/>
                <w:b/>
              </w:rPr>
              <w:t>Insumos:</w:t>
            </w:r>
          </w:p>
        </w:tc>
        <w:tc>
          <w:tcPr>
            <w:tcW w:w="4200" w:type="pct"/>
          </w:tcPr>
          <w:p w14:paraId="43C55A4A" w14:textId="77777777" w:rsidR="007B3093" w:rsidRDefault="00000000">
            <w:pPr>
              <w:pStyle w:val="Prrafodelista"/>
              <w:numPr>
                <w:ilvl w:val="0"/>
                <w:numId w:val="34"/>
              </w:numPr>
              <w:tabs>
                <w:tab w:val="left" w:pos="-1440"/>
              </w:tabs>
              <w:ind w:left="360"/>
              <w:jc w:val="both"/>
              <w:rPr>
                <w:rFonts w:cstheme="minorHAnsi"/>
              </w:rPr>
            </w:pPr>
            <w:r>
              <w:rPr>
                <w:rFonts w:cstheme="minorHAnsi"/>
              </w:rPr>
              <w:t>Encuesta inicial de percepción.</w:t>
            </w:r>
          </w:p>
          <w:p w14:paraId="05259397" w14:textId="77777777" w:rsidR="007B3093" w:rsidRDefault="00000000">
            <w:pPr>
              <w:pStyle w:val="Prrafodelista"/>
              <w:numPr>
                <w:ilvl w:val="0"/>
                <w:numId w:val="34"/>
              </w:numPr>
              <w:tabs>
                <w:tab w:val="left" w:pos="-1440"/>
              </w:tabs>
              <w:ind w:left="360"/>
              <w:jc w:val="both"/>
              <w:rPr>
                <w:rFonts w:cstheme="minorHAnsi"/>
              </w:rPr>
            </w:pPr>
            <w:r>
              <w:rPr>
                <w:rFonts w:cstheme="minorHAnsi"/>
              </w:rPr>
              <w:t>Diagnóstico en Profundidad.</w:t>
            </w:r>
          </w:p>
          <w:p w14:paraId="0D9BBF02" w14:textId="77777777" w:rsidR="007B3093" w:rsidRDefault="00000000">
            <w:pPr>
              <w:pStyle w:val="Prrafodelista"/>
              <w:numPr>
                <w:ilvl w:val="0"/>
                <w:numId w:val="34"/>
              </w:numPr>
              <w:tabs>
                <w:tab w:val="left" w:pos="-1440"/>
              </w:tabs>
              <w:ind w:left="360"/>
              <w:jc w:val="both"/>
              <w:rPr>
                <w:rFonts w:cstheme="minorHAnsi"/>
              </w:rPr>
            </w:pPr>
            <w:r>
              <w:rPr>
                <w:rFonts w:cstheme="minorHAnsi"/>
              </w:rPr>
              <w:t>Plan estratégico.</w:t>
            </w:r>
          </w:p>
        </w:tc>
      </w:tr>
      <w:tr w:rsidR="007B3093" w14:paraId="3DED5CFF" w14:textId="77777777">
        <w:trPr>
          <w:trHeight w:val="425"/>
        </w:trPr>
        <w:tc>
          <w:tcPr>
            <w:tcW w:w="800" w:type="pct"/>
          </w:tcPr>
          <w:p w14:paraId="074DA842" w14:textId="77777777" w:rsidR="007B3093" w:rsidRDefault="00000000">
            <w:pPr>
              <w:tabs>
                <w:tab w:val="left" w:pos="-1440"/>
              </w:tabs>
              <w:contextualSpacing/>
              <w:jc w:val="both"/>
              <w:rPr>
                <w:rFonts w:cstheme="minorHAnsi"/>
                <w:b/>
              </w:rPr>
            </w:pPr>
            <w:r>
              <w:rPr>
                <w:rFonts w:cstheme="minorHAnsi"/>
                <w:b/>
              </w:rPr>
              <w:lastRenderedPageBreak/>
              <w:t>Productos</w:t>
            </w:r>
          </w:p>
        </w:tc>
        <w:tc>
          <w:tcPr>
            <w:tcW w:w="4200" w:type="pct"/>
          </w:tcPr>
          <w:p w14:paraId="493CA632" w14:textId="77777777" w:rsidR="007B3093" w:rsidRDefault="00000000">
            <w:pPr>
              <w:pStyle w:val="Prrafodelista"/>
              <w:numPr>
                <w:ilvl w:val="0"/>
                <w:numId w:val="78"/>
              </w:numPr>
              <w:tabs>
                <w:tab w:val="left" w:pos="-1440"/>
              </w:tabs>
              <w:ind w:left="360"/>
              <w:jc w:val="both"/>
              <w:rPr>
                <w:rFonts w:cs="Calibri"/>
              </w:rPr>
            </w:pPr>
            <w:r>
              <w:rPr>
                <w:rFonts w:cs="Calibri"/>
              </w:rPr>
              <w:t>Informe con análisis estratégico, las capacidades, necesidades y retos de la Unidad de Comunicación de la PGE, con relación a la implementación del modelo de gestión institucional.</w:t>
            </w:r>
          </w:p>
          <w:p w14:paraId="36C0AB2D" w14:textId="77777777" w:rsidR="007B3093" w:rsidRDefault="007B3093">
            <w:pPr>
              <w:pStyle w:val="Prrafodelista"/>
              <w:tabs>
                <w:tab w:val="left" w:pos="-1440"/>
              </w:tabs>
              <w:ind w:left="0"/>
              <w:jc w:val="both"/>
              <w:rPr>
                <w:rFonts w:cs="Calibri"/>
              </w:rPr>
            </w:pPr>
          </w:p>
          <w:p w14:paraId="18739D1D" w14:textId="77777777" w:rsidR="007B3093" w:rsidRDefault="00000000">
            <w:pPr>
              <w:pStyle w:val="Prrafodelista"/>
              <w:numPr>
                <w:ilvl w:val="0"/>
                <w:numId w:val="78"/>
              </w:numPr>
              <w:tabs>
                <w:tab w:val="left" w:pos="-1440"/>
              </w:tabs>
              <w:ind w:left="360"/>
              <w:jc w:val="both"/>
              <w:rPr>
                <w:rFonts w:cs="Calibri"/>
              </w:rPr>
            </w:pPr>
            <w:r>
              <w:rPr>
                <w:rFonts w:cs="Calibri"/>
              </w:rPr>
              <w:t xml:space="preserve">Informe del estudio cualitativo sobre la PGE. </w:t>
            </w:r>
          </w:p>
          <w:p w14:paraId="265F2B1E" w14:textId="77777777" w:rsidR="007B3093" w:rsidRDefault="007B3093">
            <w:pPr>
              <w:pStyle w:val="Prrafodelista"/>
              <w:tabs>
                <w:tab w:val="left" w:pos="-1440"/>
              </w:tabs>
              <w:ind w:left="0"/>
              <w:jc w:val="both"/>
              <w:rPr>
                <w:rFonts w:cs="Calibri"/>
              </w:rPr>
            </w:pPr>
          </w:p>
          <w:p w14:paraId="2C05DF9D" w14:textId="77777777" w:rsidR="007B3093" w:rsidRDefault="00000000">
            <w:pPr>
              <w:pStyle w:val="Prrafodelista"/>
              <w:numPr>
                <w:ilvl w:val="0"/>
                <w:numId w:val="78"/>
              </w:numPr>
              <w:tabs>
                <w:tab w:val="left" w:pos="-1440"/>
              </w:tabs>
              <w:ind w:left="360"/>
              <w:jc w:val="both"/>
              <w:rPr>
                <w:rFonts w:cs="Calibri"/>
              </w:rPr>
            </w:pPr>
            <w:r>
              <w:rPr>
                <w:rFonts w:cs="Calibri"/>
              </w:rPr>
              <w:t>Informe de las propuestas (cajas de mensajes) para la construcción del slogan en base a los resultados del estudio cualitativo.</w:t>
            </w:r>
          </w:p>
          <w:p w14:paraId="786048F9" w14:textId="77777777" w:rsidR="007B3093" w:rsidRDefault="007B3093">
            <w:pPr>
              <w:pStyle w:val="Prrafodelista"/>
              <w:tabs>
                <w:tab w:val="left" w:pos="-1440"/>
              </w:tabs>
              <w:ind w:left="0"/>
              <w:jc w:val="both"/>
              <w:rPr>
                <w:rFonts w:cs="Calibri"/>
              </w:rPr>
            </w:pPr>
          </w:p>
          <w:p w14:paraId="20DC687A" w14:textId="77777777" w:rsidR="007B3093" w:rsidRDefault="00000000">
            <w:pPr>
              <w:pStyle w:val="Prrafodelista"/>
              <w:numPr>
                <w:ilvl w:val="0"/>
                <w:numId w:val="78"/>
              </w:numPr>
              <w:tabs>
                <w:tab w:val="left" w:pos="-1440"/>
              </w:tabs>
              <w:ind w:left="360"/>
              <w:jc w:val="both"/>
              <w:rPr>
                <w:rFonts w:cs="Calibri"/>
              </w:rPr>
            </w:pPr>
            <w:r>
              <w:rPr>
                <w:rFonts w:cs="Calibri"/>
              </w:rPr>
              <w:t>Informe de análisis comparativo de otras experiencias institucionales sobre estrategias de comunicación para la implementación de modelos de gestión (dos entidades como referencia).</w:t>
            </w:r>
          </w:p>
          <w:p w14:paraId="42A0D913" w14:textId="77777777" w:rsidR="007B3093" w:rsidRDefault="007B3093">
            <w:pPr>
              <w:pStyle w:val="Prrafodelista"/>
              <w:tabs>
                <w:tab w:val="left" w:pos="-1440"/>
              </w:tabs>
              <w:ind w:left="0"/>
              <w:jc w:val="both"/>
              <w:rPr>
                <w:rFonts w:cs="Calibri"/>
              </w:rPr>
            </w:pPr>
          </w:p>
          <w:p w14:paraId="2FB4960E" w14:textId="77777777" w:rsidR="007B3093" w:rsidRDefault="00000000">
            <w:pPr>
              <w:pStyle w:val="Prrafodelista"/>
              <w:numPr>
                <w:ilvl w:val="0"/>
                <w:numId w:val="78"/>
              </w:numPr>
              <w:tabs>
                <w:tab w:val="left" w:pos="-1440"/>
              </w:tabs>
              <w:ind w:left="360"/>
              <w:jc w:val="both"/>
              <w:rPr>
                <w:rFonts w:cs="Calibri"/>
              </w:rPr>
            </w:pPr>
            <w:r>
              <w:rPr>
                <w:rFonts w:cs="Calibri"/>
              </w:rPr>
              <w:t>Estrategia de Comunicación interna y externa.</w:t>
            </w:r>
          </w:p>
        </w:tc>
      </w:tr>
    </w:tbl>
    <w:p w14:paraId="5615682B"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4E15424B" w14:textId="77777777">
        <w:trPr>
          <w:trHeight w:val="300"/>
        </w:trPr>
        <w:tc>
          <w:tcPr>
            <w:tcW w:w="5000" w:type="pct"/>
            <w:shd w:val="clear" w:color="auto" w:fill="ACB9CA" w:themeFill="text2" w:themeFillTint="66"/>
          </w:tcPr>
          <w:p w14:paraId="0E4A290B" w14:textId="77777777" w:rsidR="007B3093" w:rsidRDefault="00000000">
            <w:pPr>
              <w:ind w:left="-42"/>
              <w:contextualSpacing/>
              <w:jc w:val="center"/>
              <w:rPr>
                <w:rFonts w:cstheme="minorHAnsi"/>
                <w:color w:val="000000"/>
              </w:rPr>
            </w:pPr>
            <w:r>
              <w:rPr>
                <w:rFonts w:cstheme="minorHAnsi"/>
                <w:b/>
              </w:rPr>
              <w:t>ACTIVIDAD 5.2</w:t>
            </w:r>
          </w:p>
        </w:tc>
      </w:tr>
      <w:tr w:rsidR="007B3093" w14:paraId="44F0074D" w14:textId="77777777">
        <w:trPr>
          <w:trHeight w:val="322"/>
        </w:trPr>
        <w:tc>
          <w:tcPr>
            <w:tcW w:w="5000" w:type="pct"/>
          </w:tcPr>
          <w:p w14:paraId="209D1309" w14:textId="77777777" w:rsidR="007B3093" w:rsidRDefault="00000000">
            <w:pPr>
              <w:contextualSpacing/>
              <w:jc w:val="both"/>
              <w:rPr>
                <w:rFonts w:cstheme="minorHAnsi"/>
                <w:b/>
                <w:color w:val="000000"/>
              </w:rPr>
            </w:pPr>
            <w:r>
              <w:rPr>
                <w:rFonts w:cstheme="minorHAnsi"/>
                <w:b/>
                <w:color w:val="000000"/>
              </w:rPr>
              <w:t>Capacitar en herramientas de comunicación</w:t>
            </w:r>
          </w:p>
        </w:tc>
      </w:tr>
    </w:tbl>
    <w:p w14:paraId="4754F64E" w14:textId="77777777" w:rsidR="007B3093" w:rsidRDefault="007B3093">
      <w:pPr>
        <w:spacing w:after="0" w:line="240" w:lineRule="auto"/>
        <w:contextualSpacing/>
        <w:rPr>
          <w:rFonts w:cstheme="minorHAnsi"/>
        </w:rPr>
      </w:pPr>
    </w:p>
    <w:tbl>
      <w:tblPr>
        <w:tblW w:w="5000" w:type="pct"/>
        <w:tblLook w:val="04A0" w:firstRow="1" w:lastRow="0" w:firstColumn="1" w:lastColumn="0" w:noHBand="0" w:noVBand="1"/>
      </w:tblPr>
      <w:tblGrid>
        <w:gridCol w:w="1228"/>
        <w:gridCol w:w="7266"/>
      </w:tblGrid>
      <w:tr w:rsidR="007B3093" w14:paraId="5C84FB40" w14:textId="77777777">
        <w:trPr>
          <w:trHeight w:val="225"/>
        </w:trPr>
        <w:tc>
          <w:tcPr>
            <w:tcW w:w="5000" w:type="pct"/>
            <w:gridSpan w:val="2"/>
            <w:tcBorders>
              <w:top w:val="single" w:sz="4" w:space="0" w:color="auto"/>
              <w:left w:val="single" w:sz="4" w:space="0" w:color="auto"/>
              <w:bottom w:val="single" w:sz="4" w:space="0" w:color="auto"/>
              <w:right w:val="single" w:sz="4" w:space="0" w:color="auto"/>
            </w:tcBorders>
          </w:tcPr>
          <w:p w14:paraId="2179E64E" w14:textId="77777777" w:rsidR="007B3093" w:rsidRDefault="00000000">
            <w:pPr>
              <w:contextualSpacing/>
              <w:jc w:val="both"/>
              <w:rPr>
                <w:rFonts w:cstheme="minorHAnsi"/>
                <w:b/>
                <w:color w:val="000000"/>
              </w:rPr>
            </w:pPr>
            <w:r>
              <w:rPr>
                <w:rFonts w:cstheme="minorHAnsi"/>
                <w:b/>
                <w:color w:val="000000"/>
              </w:rPr>
              <w:t>Capacitación en herramientas de comunicación</w:t>
            </w:r>
          </w:p>
        </w:tc>
      </w:tr>
      <w:tr w:rsidR="007B3093" w14:paraId="2FAFEE4A" w14:textId="77777777">
        <w:trPr>
          <w:trHeight w:val="485"/>
        </w:trPr>
        <w:tc>
          <w:tcPr>
            <w:tcW w:w="723" w:type="pct"/>
            <w:tcBorders>
              <w:top w:val="single" w:sz="4" w:space="0" w:color="auto"/>
              <w:left w:val="single" w:sz="4" w:space="0" w:color="auto"/>
              <w:bottom w:val="single" w:sz="4" w:space="0" w:color="auto"/>
              <w:right w:val="single" w:sz="4" w:space="0" w:color="auto"/>
            </w:tcBorders>
          </w:tcPr>
          <w:p w14:paraId="74A7B9F0"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Borders>
              <w:top w:val="single" w:sz="4" w:space="0" w:color="auto"/>
              <w:left w:val="single" w:sz="4" w:space="0" w:color="auto"/>
              <w:bottom w:val="single" w:sz="4" w:space="0" w:color="auto"/>
              <w:right w:val="single" w:sz="4" w:space="0" w:color="auto"/>
            </w:tcBorders>
          </w:tcPr>
          <w:p w14:paraId="61951768" w14:textId="77777777" w:rsidR="007B3093" w:rsidRDefault="00000000">
            <w:pPr>
              <w:pStyle w:val="Prrafodelista"/>
              <w:tabs>
                <w:tab w:val="left" w:pos="-1440"/>
              </w:tabs>
              <w:ind w:left="284"/>
              <w:jc w:val="both"/>
              <w:rPr>
                <w:rFonts w:cstheme="minorHAnsi"/>
              </w:rPr>
            </w:pPr>
            <w:r>
              <w:rPr>
                <w:rFonts w:cstheme="minorHAnsi"/>
                <w:color w:val="000000"/>
              </w:rPr>
              <w:t>Capacitar a los funcionarios de la Dirección Nacional de Comunicación de la PGE en herramientas de comunicación.</w:t>
            </w:r>
          </w:p>
        </w:tc>
      </w:tr>
      <w:tr w:rsidR="007B3093" w14:paraId="511DB5AB" w14:textId="77777777">
        <w:trPr>
          <w:trHeight w:val="435"/>
        </w:trPr>
        <w:tc>
          <w:tcPr>
            <w:tcW w:w="723" w:type="pct"/>
            <w:tcBorders>
              <w:top w:val="single" w:sz="4" w:space="0" w:color="auto"/>
              <w:left w:val="single" w:sz="4" w:space="0" w:color="auto"/>
              <w:bottom w:val="single" w:sz="4" w:space="0" w:color="auto"/>
              <w:right w:val="single" w:sz="4" w:space="0" w:color="auto"/>
            </w:tcBorders>
          </w:tcPr>
          <w:p w14:paraId="0B5549E1" w14:textId="77777777" w:rsidR="007B3093" w:rsidRDefault="00000000">
            <w:pPr>
              <w:tabs>
                <w:tab w:val="left" w:pos="-1440"/>
              </w:tabs>
              <w:contextualSpacing/>
              <w:jc w:val="both"/>
              <w:rPr>
                <w:rFonts w:cstheme="minorHAnsi"/>
                <w:b/>
              </w:rPr>
            </w:pPr>
            <w:r>
              <w:rPr>
                <w:rFonts w:cstheme="minorHAnsi"/>
                <w:b/>
              </w:rPr>
              <w:t>Insumos:</w:t>
            </w:r>
          </w:p>
        </w:tc>
        <w:tc>
          <w:tcPr>
            <w:tcW w:w="4277" w:type="pct"/>
            <w:tcBorders>
              <w:top w:val="single" w:sz="4" w:space="0" w:color="auto"/>
              <w:left w:val="single" w:sz="4" w:space="0" w:color="auto"/>
              <w:bottom w:val="single" w:sz="4" w:space="0" w:color="auto"/>
              <w:right w:val="single" w:sz="4" w:space="0" w:color="auto"/>
            </w:tcBorders>
          </w:tcPr>
          <w:p w14:paraId="61FFEAAB" w14:textId="77777777" w:rsidR="007B3093" w:rsidRDefault="00000000">
            <w:pPr>
              <w:pStyle w:val="Prrafodelista"/>
              <w:numPr>
                <w:ilvl w:val="0"/>
                <w:numId w:val="18"/>
              </w:numPr>
              <w:tabs>
                <w:tab w:val="left" w:pos="-1440"/>
              </w:tabs>
              <w:ind w:left="357" w:hanging="357"/>
              <w:jc w:val="both"/>
              <w:rPr>
                <w:rFonts w:cstheme="minorHAnsi"/>
              </w:rPr>
            </w:pPr>
            <w:r>
              <w:rPr>
                <w:rFonts w:cstheme="minorHAnsi"/>
              </w:rPr>
              <w:t>Diagnóstico en Profundidad.</w:t>
            </w:r>
          </w:p>
          <w:p w14:paraId="31DA8939" w14:textId="77777777" w:rsidR="007B3093" w:rsidRDefault="00000000">
            <w:pPr>
              <w:pStyle w:val="Prrafodelista"/>
              <w:numPr>
                <w:ilvl w:val="0"/>
                <w:numId w:val="18"/>
              </w:numPr>
              <w:tabs>
                <w:tab w:val="left" w:pos="-1440"/>
              </w:tabs>
              <w:ind w:left="357" w:hanging="357"/>
              <w:jc w:val="both"/>
              <w:rPr>
                <w:szCs w:val="24"/>
              </w:rPr>
            </w:pPr>
            <w:r>
              <w:rPr>
                <w:rFonts w:cstheme="minorHAnsi"/>
              </w:rPr>
              <w:t>Plan estratégico.</w:t>
            </w:r>
          </w:p>
          <w:p w14:paraId="27CF2726" w14:textId="77777777" w:rsidR="007B3093" w:rsidRDefault="00000000">
            <w:pPr>
              <w:pStyle w:val="Prrafodelista"/>
              <w:numPr>
                <w:ilvl w:val="0"/>
                <w:numId w:val="18"/>
              </w:numPr>
              <w:tabs>
                <w:tab w:val="left" w:pos="-1440"/>
              </w:tabs>
              <w:ind w:left="357" w:hanging="357"/>
              <w:jc w:val="both"/>
              <w:rPr>
                <w:rFonts w:cstheme="minorHAnsi"/>
              </w:rPr>
            </w:pPr>
            <w:r>
              <w:rPr>
                <w:rFonts w:cstheme="minorHAnsi"/>
              </w:rPr>
              <w:t>Plan de capacitación.</w:t>
            </w:r>
          </w:p>
        </w:tc>
      </w:tr>
      <w:tr w:rsidR="007B3093" w14:paraId="3D91A230" w14:textId="77777777">
        <w:trPr>
          <w:trHeight w:val="708"/>
        </w:trPr>
        <w:tc>
          <w:tcPr>
            <w:tcW w:w="723" w:type="pct"/>
            <w:tcBorders>
              <w:top w:val="single" w:sz="4" w:space="0" w:color="auto"/>
              <w:left w:val="single" w:sz="4" w:space="0" w:color="auto"/>
              <w:bottom w:val="single" w:sz="4" w:space="0" w:color="auto"/>
              <w:right w:val="single" w:sz="4" w:space="0" w:color="auto"/>
            </w:tcBorders>
          </w:tcPr>
          <w:p w14:paraId="7BCF4B4B" w14:textId="77777777" w:rsidR="007B3093" w:rsidRDefault="00000000">
            <w:pPr>
              <w:tabs>
                <w:tab w:val="left" w:pos="-1440"/>
              </w:tabs>
              <w:contextualSpacing/>
              <w:jc w:val="both"/>
              <w:rPr>
                <w:rFonts w:cstheme="minorHAnsi"/>
                <w:b/>
              </w:rPr>
            </w:pPr>
            <w:r>
              <w:rPr>
                <w:rFonts w:cstheme="minorHAnsi"/>
                <w:b/>
              </w:rPr>
              <w:t>Productos</w:t>
            </w:r>
          </w:p>
        </w:tc>
        <w:tc>
          <w:tcPr>
            <w:tcW w:w="4277" w:type="pct"/>
            <w:tcBorders>
              <w:top w:val="single" w:sz="4" w:space="0" w:color="auto"/>
              <w:left w:val="single" w:sz="4" w:space="0" w:color="auto"/>
              <w:bottom w:val="single" w:sz="4" w:space="0" w:color="auto"/>
              <w:right w:val="single" w:sz="4" w:space="0" w:color="auto"/>
            </w:tcBorders>
          </w:tcPr>
          <w:p w14:paraId="5A8864D8" w14:textId="77777777" w:rsidR="007B3093" w:rsidRDefault="00000000">
            <w:pPr>
              <w:pStyle w:val="Prrafodelista"/>
              <w:numPr>
                <w:ilvl w:val="0"/>
                <w:numId w:val="17"/>
              </w:numPr>
              <w:tabs>
                <w:tab w:val="left" w:pos="-1440"/>
              </w:tabs>
              <w:ind w:left="317"/>
              <w:jc w:val="both"/>
              <w:rPr>
                <w:rFonts w:cstheme="minorHAnsi"/>
              </w:rPr>
            </w:pPr>
            <w:r>
              <w:rPr>
                <w:rFonts w:cstheme="minorHAnsi"/>
              </w:rPr>
              <w:t>Talleres de comunicación en herramientas comunicacionales.</w:t>
            </w:r>
          </w:p>
        </w:tc>
      </w:tr>
    </w:tbl>
    <w:p w14:paraId="1707DE9C"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5BCB2C59" w14:textId="77777777">
        <w:trPr>
          <w:trHeight w:val="368"/>
        </w:trPr>
        <w:tc>
          <w:tcPr>
            <w:tcW w:w="5000" w:type="pct"/>
            <w:shd w:val="clear" w:color="auto" w:fill="ACB9CA" w:themeFill="text2" w:themeFillTint="66"/>
          </w:tcPr>
          <w:p w14:paraId="23F3D1FA" w14:textId="77777777" w:rsidR="007B3093" w:rsidRDefault="00000000">
            <w:pPr>
              <w:pStyle w:val="Prrafodelista"/>
              <w:ind w:left="318"/>
              <w:jc w:val="center"/>
              <w:rPr>
                <w:rFonts w:cstheme="minorHAnsi"/>
                <w:color w:val="000000"/>
              </w:rPr>
            </w:pPr>
            <w:r>
              <w:rPr>
                <w:rFonts w:cstheme="minorHAnsi"/>
                <w:b/>
              </w:rPr>
              <w:t>ACTIVIDAD 5.3</w:t>
            </w:r>
          </w:p>
        </w:tc>
      </w:tr>
      <w:tr w:rsidR="007B3093" w14:paraId="417B2ED3" w14:textId="77777777">
        <w:trPr>
          <w:trHeight w:val="368"/>
        </w:trPr>
        <w:tc>
          <w:tcPr>
            <w:tcW w:w="5000" w:type="pct"/>
          </w:tcPr>
          <w:p w14:paraId="1C714BF1" w14:textId="77777777" w:rsidR="007B3093" w:rsidRDefault="00000000">
            <w:pPr>
              <w:jc w:val="both"/>
              <w:rPr>
                <w:rFonts w:cstheme="minorHAnsi"/>
                <w:b/>
                <w:color w:val="000000"/>
              </w:rPr>
            </w:pPr>
            <w:r>
              <w:rPr>
                <w:rFonts w:cstheme="minorHAnsi"/>
                <w:b/>
                <w:color w:val="000000"/>
              </w:rPr>
              <w:t>Desarrollar materiales de difusión</w:t>
            </w:r>
          </w:p>
        </w:tc>
      </w:tr>
    </w:tbl>
    <w:p w14:paraId="2DC01910"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1763C714" w14:textId="77777777">
        <w:tc>
          <w:tcPr>
            <w:tcW w:w="5000" w:type="pct"/>
            <w:gridSpan w:val="2"/>
          </w:tcPr>
          <w:p w14:paraId="3D8E4E6F" w14:textId="77777777" w:rsidR="007B3093" w:rsidRDefault="00000000">
            <w:pPr>
              <w:tabs>
                <w:tab w:val="left" w:pos="-1440"/>
              </w:tabs>
              <w:contextualSpacing/>
              <w:jc w:val="both"/>
              <w:rPr>
                <w:rFonts w:cstheme="minorHAnsi"/>
                <w:b/>
              </w:rPr>
            </w:pPr>
            <w:r>
              <w:rPr>
                <w:rFonts w:cstheme="minorHAnsi"/>
                <w:b/>
              </w:rPr>
              <w:t>Servicios de implementación de la nueva imagen institucional en todas las instancias físicas informativas y comunicacionales de la PGE</w:t>
            </w:r>
          </w:p>
        </w:tc>
      </w:tr>
      <w:tr w:rsidR="007B3093" w14:paraId="0FD0C86A" w14:textId="77777777">
        <w:trPr>
          <w:trHeight w:val="194"/>
        </w:trPr>
        <w:tc>
          <w:tcPr>
            <w:tcW w:w="723" w:type="pct"/>
          </w:tcPr>
          <w:p w14:paraId="69D8FA11"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43FE5A08" w14:textId="77777777" w:rsidR="007B3093" w:rsidRDefault="00000000">
            <w:pPr>
              <w:spacing w:after="200" w:line="276" w:lineRule="auto"/>
              <w:rPr>
                <w:rFonts w:eastAsia="Calibri" w:cstheme="minorHAnsi"/>
                <w:spacing w:val="-2"/>
              </w:rPr>
            </w:pPr>
            <w:r>
              <w:rPr>
                <w:rFonts w:cstheme="minorHAnsi"/>
              </w:rPr>
              <w:t>Realizar la implementación de la nueva imagen institucional de la Procuraduría general del Estado como parte del proceso de fortalecimiento institucional y optimización de los servicios que presta a sus usuarios internos y externos a nivel nacional.</w:t>
            </w:r>
          </w:p>
        </w:tc>
      </w:tr>
      <w:tr w:rsidR="007B3093" w14:paraId="132716B7" w14:textId="77777777">
        <w:trPr>
          <w:trHeight w:val="194"/>
        </w:trPr>
        <w:tc>
          <w:tcPr>
            <w:tcW w:w="723" w:type="pct"/>
          </w:tcPr>
          <w:p w14:paraId="57A54660"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7A89AFBB" w14:textId="77777777" w:rsidR="007B3093" w:rsidRDefault="00000000">
            <w:pPr>
              <w:pStyle w:val="Prrafodelista"/>
              <w:numPr>
                <w:ilvl w:val="0"/>
                <w:numId w:val="79"/>
              </w:numPr>
              <w:tabs>
                <w:tab w:val="left" w:pos="-1440"/>
              </w:tabs>
              <w:jc w:val="both"/>
              <w:rPr>
                <w:rFonts w:cstheme="minorHAnsi"/>
              </w:rPr>
            </w:pPr>
            <w:r>
              <w:rPr>
                <w:rFonts w:cstheme="minorHAnsi"/>
              </w:rPr>
              <w:t>Diagnóstico en Profundidad.</w:t>
            </w:r>
          </w:p>
          <w:p w14:paraId="0F27977E" w14:textId="77777777" w:rsidR="007B3093" w:rsidRDefault="00000000">
            <w:pPr>
              <w:pStyle w:val="Prrafodelista"/>
              <w:numPr>
                <w:ilvl w:val="0"/>
                <w:numId w:val="79"/>
              </w:numPr>
              <w:tabs>
                <w:tab w:val="left" w:pos="-1440"/>
              </w:tabs>
              <w:ind w:left="317"/>
              <w:jc w:val="both"/>
              <w:rPr>
                <w:szCs w:val="24"/>
              </w:rPr>
            </w:pPr>
            <w:r>
              <w:rPr>
                <w:rFonts w:cstheme="minorHAnsi"/>
              </w:rPr>
              <w:t>Plan estratégico.</w:t>
            </w:r>
          </w:p>
          <w:p w14:paraId="7CEB684E" w14:textId="77777777" w:rsidR="007B3093" w:rsidRDefault="00000000">
            <w:pPr>
              <w:pStyle w:val="Prrafodelista"/>
              <w:numPr>
                <w:ilvl w:val="0"/>
                <w:numId w:val="79"/>
              </w:numPr>
              <w:tabs>
                <w:tab w:val="left" w:pos="-1440"/>
              </w:tabs>
              <w:jc w:val="both"/>
              <w:rPr>
                <w:rFonts w:cstheme="minorHAnsi"/>
              </w:rPr>
            </w:pPr>
            <w:r>
              <w:rPr>
                <w:rFonts w:cstheme="minorHAnsi"/>
              </w:rPr>
              <w:t>Modelo de Gestión.</w:t>
            </w:r>
          </w:p>
          <w:p w14:paraId="6E0D66A1" w14:textId="77777777" w:rsidR="007B3093" w:rsidRDefault="00000000">
            <w:pPr>
              <w:pStyle w:val="Prrafodelista"/>
              <w:numPr>
                <w:ilvl w:val="0"/>
                <w:numId w:val="79"/>
              </w:numPr>
              <w:tabs>
                <w:tab w:val="left" w:pos="-1440"/>
              </w:tabs>
              <w:jc w:val="both"/>
              <w:rPr>
                <w:rFonts w:cstheme="minorHAnsi"/>
              </w:rPr>
            </w:pPr>
            <w:r>
              <w:rPr>
                <w:rFonts w:cstheme="minorHAnsi"/>
              </w:rPr>
              <w:t>Manual de uso de marca.</w:t>
            </w:r>
          </w:p>
        </w:tc>
      </w:tr>
      <w:tr w:rsidR="007B3093" w14:paraId="4228C82E" w14:textId="77777777">
        <w:tc>
          <w:tcPr>
            <w:tcW w:w="723" w:type="pct"/>
          </w:tcPr>
          <w:p w14:paraId="5D9F376E"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401E65B5" w14:textId="77777777" w:rsidR="007B3093" w:rsidRDefault="00000000">
            <w:pPr>
              <w:tabs>
                <w:tab w:val="left" w:pos="-1440"/>
              </w:tabs>
              <w:contextualSpacing/>
              <w:jc w:val="both"/>
              <w:rPr>
                <w:rFonts w:cstheme="minorHAnsi"/>
              </w:rPr>
            </w:pPr>
            <w:r>
              <w:rPr>
                <w:rFonts w:cstheme="minorHAnsi"/>
              </w:rPr>
              <w:t>1. Roll up (Bien)</w:t>
            </w:r>
          </w:p>
          <w:p w14:paraId="6930960F" w14:textId="77777777" w:rsidR="007B3093" w:rsidRDefault="00000000">
            <w:pPr>
              <w:tabs>
                <w:tab w:val="left" w:pos="-1440"/>
              </w:tabs>
              <w:contextualSpacing/>
              <w:jc w:val="both"/>
              <w:rPr>
                <w:rFonts w:cstheme="minorHAnsi"/>
              </w:rPr>
            </w:pPr>
            <w:r>
              <w:rPr>
                <w:rFonts w:cstheme="minorHAnsi"/>
              </w:rPr>
              <w:lastRenderedPageBreak/>
              <w:t>2. Bandera Nacional (Bien)</w:t>
            </w:r>
          </w:p>
          <w:p w14:paraId="07F9BE54" w14:textId="77777777" w:rsidR="007B3093" w:rsidRDefault="00000000">
            <w:pPr>
              <w:tabs>
                <w:tab w:val="left" w:pos="-1440"/>
              </w:tabs>
              <w:contextualSpacing/>
              <w:jc w:val="both"/>
              <w:rPr>
                <w:rFonts w:cstheme="minorHAnsi"/>
              </w:rPr>
            </w:pPr>
            <w:r>
              <w:rPr>
                <w:rFonts w:cstheme="minorHAnsi"/>
              </w:rPr>
              <w:t>3. Bandera Procuraduría General Del Estado (Bien)</w:t>
            </w:r>
          </w:p>
          <w:p w14:paraId="1307602E" w14:textId="77777777" w:rsidR="007B3093" w:rsidRDefault="00000000">
            <w:pPr>
              <w:tabs>
                <w:tab w:val="left" w:pos="-1440"/>
              </w:tabs>
              <w:contextualSpacing/>
              <w:jc w:val="both"/>
              <w:rPr>
                <w:rFonts w:cstheme="minorHAnsi"/>
              </w:rPr>
            </w:pPr>
            <w:r>
              <w:rPr>
                <w:rFonts w:cstheme="minorHAnsi"/>
              </w:rPr>
              <w:t>4. Asta de bandera (Bien)</w:t>
            </w:r>
          </w:p>
          <w:p w14:paraId="1D017903" w14:textId="77777777" w:rsidR="007B3093" w:rsidRDefault="00000000">
            <w:pPr>
              <w:tabs>
                <w:tab w:val="left" w:pos="-1440"/>
              </w:tabs>
              <w:contextualSpacing/>
              <w:jc w:val="both"/>
              <w:rPr>
                <w:rFonts w:cstheme="minorHAnsi"/>
              </w:rPr>
            </w:pPr>
            <w:r>
              <w:rPr>
                <w:rFonts w:cstheme="minorHAnsi"/>
              </w:rPr>
              <w:t>5. Rótulo de vidrio (Servicio)</w:t>
            </w:r>
          </w:p>
          <w:p w14:paraId="5C8C39AF" w14:textId="77777777" w:rsidR="007B3093" w:rsidRDefault="00000000">
            <w:pPr>
              <w:tabs>
                <w:tab w:val="left" w:pos="-1440"/>
              </w:tabs>
              <w:contextualSpacing/>
              <w:jc w:val="both"/>
              <w:rPr>
                <w:rFonts w:cstheme="minorHAnsi"/>
              </w:rPr>
            </w:pPr>
            <w:r>
              <w:rPr>
                <w:rFonts w:cstheme="minorHAnsi"/>
              </w:rPr>
              <w:t>6. Letras de bloque (Servicio)</w:t>
            </w:r>
          </w:p>
          <w:p w14:paraId="0A8DE75D" w14:textId="77777777" w:rsidR="007B3093" w:rsidRDefault="00000000">
            <w:pPr>
              <w:tabs>
                <w:tab w:val="left" w:pos="-1440"/>
              </w:tabs>
              <w:contextualSpacing/>
              <w:jc w:val="both"/>
              <w:rPr>
                <w:rFonts w:cstheme="minorHAnsi"/>
              </w:rPr>
            </w:pPr>
            <w:r>
              <w:rPr>
                <w:rFonts w:cstheme="minorHAnsi"/>
              </w:rPr>
              <w:t>7. Señalética para interiores (Servicio)</w:t>
            </w:r>
          </w:p>
          <w:p w14:paraId="00F186C6" w14:textId="77777777" w:rsidR="007B3093" w:rsidRDefault="00000000">
            <w:pPr>
              <w:tabs>
                <w:tab w:val="left" w:pos="-1440"/>
              </w:tabs>
              <w:contextualSpacing/>
              <w:jc w:val="both"/>
              <w:rPr>
                <w:rFonts w:cstheme="minorHAnsi"/>
              </w:rPr>
            </w:pPr>
            <w:r>
              <w:rPr>
                <w:rFonts w:cstheme="minorHAnsi"/>
              </w:rPr>
              <w:t>8. Microperforado (Servicio)</w:t>
            </w:r>
          </w:p>
          <w:p w14:paraId="4CCBFEF2" w14:textId="77777777" w:rsidR="007B3093" w:rsidRDefault="00000000">
            <w:pPr>
              <w:tabs>
                <w:tab w:val="left" w:pos="-1440"/>
              </w:tabs>
              <w:contextualSpacing/>
              <w:jc w:val="both"/>
              <w:rPr>
                <w:rFonts w:cstheme="minorHAnsi"/>
              </w:rPr>
            </w:pPr>
            <w:r>
              <w:rPr>
                <w:rFonts w:cstheme="minorHAnsi"/>
              </w:rPr>
              <w:t>9. Gigantografías (Bien)</w:t>
            </w:r>
          </w:p>
          <w:p w14:paraId="4900596A" w14:textId="77777777" w:rsidR="007B3093" w:rsidRDefault="00000000">
            <w:pPr>
              <w:tabs>
                <w:tab w:val="left" w:pos="-1440"/>
              </w:tabs>
              <w:contextualSpacing/>
              <w:jc w:val="both"/>
              <w:rPr>
                <w:rFonts w:cstheme="minorHAnsi"/>
              </w:rPr>
            </w:pPr>
            <w:r>
              <w:rPr>
                <w:rFonts w:cstheme="minorHAnsi"/>
              </w:rPr>
              <w:t xml:space="preserve">10. </w:t>
            </w:r>
            <w:proofErr w:type="spellStart"/>
            <w:r>
              <w:rPr>
                <w:rFonts w:cstheme="minorHAnsi"/>
              </w:rPr>
              <w:t>Rodapies</w:t>
            </w:r>
            <w:proofErr w:type="spellEnd"/>
            <w:r>
              <w:rPr>
                <w:rFonts w:cstheme="minorHAnsi"/>
              </w:rPr>
              <w:t xml:space="preserve"> de piso (Bien)</w:t>
            </w:r>
          </w:p>
          <w:p w14:paraId="2D731219" w14:textId="77777777" w:rsidR="007B3093" w:rsidRDefault="00000000">
            <w:pPr>
              <w:tabs>
                <w:tab w:val="left" w:pos="-1440"/>
              </w:tabs>
              <w:contextualSpacing/>
              <w:jc w:val="both"/>
              <w:rPr>
                <w:rFonts w:cstheme="minorHAnsi"/>
              </w:rPr>
            </w:pPr>
            <w:r>
              <w:rPr>
                <w:rFonts w:cstheme="minorHAnsi"/>
              </w:rPr>
              <w:t>11. Puerta de vidrio (Servicio de instalación de vinil en puerta)</w:t>
            </w:r>
          </w:p>
          <w:p w14:paraId="328A13B6" w14:textId="77777777" w:rsidR="007B3093" w:rsidRDefault="00000000">
            <w:pPr>
              <w:tabs>
                <w:tab w:val="left" w:pos="-1440"/>
              </w:tabs>
              <w:contextualSpacing/>
              <w:jc w:val="both"/>
              <w:rPr>
                <w:rFonts w:cstheme="minorHAnsi"/>
              </w:rPr>
            </w:pPr>
            <w:r>
              <w:rPr>
                <w:rFonts w:cstheme="minorHAnsi"/>
              </w:rPr>
              <w:t>12. Pizarras para 6 hojas formato A4 (Bien)</w:t>
            </w:r>
          </w:p>
          <w:p w14:paraId="762303A8" w14:textId="77777777" w:rsidR="007B3093" w:rsidRDefault="00000000">
            <w:pPr>
              <w:tabs>
                <w:tab w:val="left" w:pos="-1440"/>
              </w:tabs>
              <w:contextualSpacing/>
              <w:jc w:val="both"/>
              <w:rPr>
                <w:rFonts w:cstheme="minorHAnsi"/>
              </w:rPr>
            </w:pPr>
            <w:r>
              <w:rPr>
                <w:rFonts w:cstheme="minorHAnsi"/>
              </w:rPr>
              <w:t>13. Letrero exteriores (Bien)</w:t>
            </w:r>
          </w:p>
          <w:p w14:paraId="38503C5E" w14:textId="77777777" w:rsidR="007B3093" w:rsidRDefault="00000000">
            <w:pPr>
              <w:tabs>
                <w:tab w:val="left" w:pos="-1440"/>
              </w:tabs>
              <w:contextualSpacing/>
              <w:jc w:val="both"/>
              <w:rPr>
                <w:rFonts w:cstheme="minorHAnsi"/>
              </w:rPr>
            </w:pPr>
            <w:r>
              <w:rPr>
                <w:rFonts w:cstheme="minorHAnsi"/>
              </w:rPr>
              <w:t>14. Logo de Mediación (Servicio)</w:t>
            </w:r>
          </w:p>
          <w:p w14:paraId="7928B132" w14:textId="77777777" w:rsidR="007B3093" w:rsidRDefault="00000000">
            <w:pPr>
              <w:tabs>
                <w:tab w:val="left" w:pos="-1440"/>
              </w:tabs>
              <w:contextualSpacing/>
              <w:jc w:val="both"/>
              <w:rPr>
                <w:rFonts w:cstheme="minorHAnsi"/>
              </w:rPr>
            </w:pPr>
            <w:r>
              <w:rPr>
                <w:rFonts w:cstheme="minorHAnsi"/>
              </w:rPr>
              <w:t>15. Paneles Informativos (Bien)</w:t>
            </w:r>
          </w:p>
          <w:p w14:paraId="2922BD35" w14:textId="77777777" w:rsidR="007B3093" w:rsidRDefault="00000000">
            <w:pPr>
              <w:tabs>
                <w:tab w:val="left" w:pos="-1440"/>
              </w:tabs>
              <w:contextualSpacing/>
              <w:jc w:val="both"/>
              <w:rPr>
                <w:rFonts w:cstheme="minorHAnsi"/>
              </w:rPr>
            </w:pPr>
            <w:r>
              <w:rPr>
                <w:rFonts w:cstheme="minorHAnsi"/>
              </w:rPr>
              <w:t>16. Planos de ubicación y evacuación (Servicio)</w:t>
            </w:r>
          </w:p>
          <w:p w14:paraId="34C15F6A" w14:textId="77777777" w:rsidR="007B3093" w:rsidRDefault="00000000">
            <w:pPr>
              <w:tabs>
                <w:tab w:val="left" w:pos="-1440"/>
              </w:tabs>
              <w:contextualSpacing/>
              <w:jc w:val="both"/>
              <w:rPr>
                <w:rFonts w:cstheme="minorHAnsi"/>
              </w:rPr>
            </w:pPr>
            <w:r>
              <w:rPr>
                <w:rFonts w:cstheme="minorHAnsi"/>
              </w:rPr>
              <w:t>17. Placas en PVC 2mm con impresión (Servicio)</w:t>
            </w:r>
          </w:p>
          <w:p w14:paraId="79763215" w14:textId="77777777" w:rsidR="007B3093" w:rsidRDefault="00000000">
            <w:pPr>
              <w:tabs>
                <w:tab w:val="left" w:pos="-1440"/>
              </w:tabs>
              <w:contextualSpacing/>
              <w:jc w:val="both"/>
              <w:rPr>
                <w:rFonts w:cstheme="minorHAnsi"/>
              </w:rPr>
            </w:pPr>
            <w:r>
              <w:rPr>
                <w:rFonts w:cstheme="minorHAnsi"/>
              </w:rPr>
              <w:t xml:space="preserve">18. </w:t>
            </w:r>
            <w:proofErr w:type="spellStart"/>
            <w:r>
              <w:rPr>
                <w:rFonts w:cstheme="minorHAnsi"/>
              </w:rPr>
              <w:t>Podium</w:t>
            </w:r>
            <w:proofErr w:type="spellEnd"/>
            <w:r>
              <w:rPr>
                <w:rFonts w:cstheme="minorHAnsi"/>
              </w:rPr>
              <w:t xml:space="preserve"> (Bien)</w:t>
            </w:r>
          </w:p>
          <w:p w14:paraId="466C41E5" w14:textId="77777777" w:rsidR="007B3093" w:rsidRDefault="00000000">
            <w:pPr>
              <w:tabs>
                <w:tab w:val="left" w:pos="-1440"/>
              </w:tabs>
              <w:contextualSpacing/>
              <w:jc w:val="both"/>
              <w:rPr>
                <w:rFonts w:cstheme="minorHAnsi"/>
              </w:rPr>
            </w:pPr>
            <w:r>
              <w:rPr>
                <w:rFonts w:cstheme="minorHAnsi"/>
              </w:rPr>
              <w:t>19. Porta nombres (Bien)</w:t>
            </w:r>
          </w:p>
        </w:tc>
      </w:tr>
    </w:tbl>
    <w:p w14:paraId="31946C52" w14:textId="77777777" w:rsidR="007B3093" w:rsidRDefault="007B3093">
      <w:pPr>
        <w:spacing w:after="0" w:line="240" w:lineRule="auto"/>
        <w:contextualSpacing/>
        <w:rPr>
          <w:rFonts w:cstheme="minorHAnsi"/>
        </w:rPr>
      </w:pPr>
    </w:p>
    <w:p w14:paraId="260C56F0"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5E5C83F7" w14:textId="77777777">
        <w:tc>
          <w:tcPr>
            <w:tcW w:w="5000" w:type="pct"/>
            <w:gridSpan w:val="2"/>
          </w:tcPr>
          <w:p w14:paraId="42700429" w14:textId="77777777" w:rsidR="007B3093" w:rsidRDefault="00000000">
            <w:pPr>
              <w:tabs>
                <w:tab w:val="left" w:pos="-1440"/>
              </w:tabs>
              <w:contextualSpacing/>
              <w:jc w:val="both"/>
              <w:rPr>
                <w:rFonts w:cstheme="minorHAnsi"/>
                <w:b/>
              </w:rPr>
            </w:pPr>
            <w:r>
              <w:rPr>
                <w:rFonts w:cstheme="minorHAnsi"/>
                <w:b/>
                <w:color w:val="000000"/>
              </w:rPr>
              <w:t>Desarrollar productos comunicacionales de difusión del nuevo modelo de gestión de la PGE</w:t>
            </w:r>
          </w:p>
        </w:tc>
      </w:tr>
      <w:tr w:rsidR="007B3093" w14:paraId="3F2267E9" w14:textId="77777777">
        <w:trPr>
          <w:trHeight w:val="194"/>
        </w:trPr>
        <w:tc>
          <w:tcPr>
            <w:tcW w:w="723" w:type="pct"/>
          </w:tcPr>
          <w:p w14:paraId="1E3F8A3A"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06A69157" w14:textId="77777777" w:rsidR="007B3093" w:rsidRDefault="00000000">
            <w:pPr>
              <w:pStyle w:val="Prrafodelista"/>
              <w:tabs>
                <w:tab w:val="left" w:pos="-1440"/>
              </w:tabs>
              <w:ind w:left="284"/>
              <w:jc w:val="both"/>
              <w:rPr>
                <w:rFonts w:cstheme="minorHAnsi"/>
              </w:rPr>
            </w:pPr>
            <w:r>
              <w:rPr>
                <w:rFonts w:cstheme="minorHAnsi"/>
              </w:rPr>
              <w:t>Desarrollar materiales de difusión de la Nueva Imagen Institucional de la PGE, a fin de generar el sentido de pertenencia e identidad en los servidores y funcionarios de la Procuraduría General del Estado a nivel nacional.</w:t>
            </w:r>
          </w:p>
        </w:tc>
      </w:tr>
      <w:tr w:rsidR="007B3093" w14:paraId="0F605085" w14:textId="77777777">
        <w:trPr>
          <w:trHeight w:val="194"/>
        </w:trPr>
        <w:tc>
          <w:tcPr>
            <w:tcW w:w="723" w:type="pct"/>
          </w:tcPr>
          <w:p w14:paraId="25F91D0E"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60DC5988" w14:textId="77777777" w:rsidR="007B3093" w:rsidRDefault="00000000">
            <w:pPr>
              <w:pStyle w:val="Prrafodelista"/>
              <w:numPr>
                <w:ilvl w:val="0"/>
                <w:numId w:val="80"/>
              </w:numPr>
              <w:tabs>
                <w:tab w:val="left" w:pos="-1440"/>
              </w:tabs>
              <w:ind w:hanging="357"/>
              <w:jc w:val="both"/>
              <w:rPr>
                <w:rFonts w:cstheme="minorHAnsi"/>
              </w:rPr>
            </w:pPr>
            <w:r>
              <w:rPr>
                <w:rFonts w:cstheme="minorHAnsi"/>
              </w:rPr>
              <w:t>Diagnóstico en Profundidad.</w:t>
            </w:r>
          </w:p>
          <w:p w14:paraId="0063A022" w14:textId="77777777" w:rsidR="007B3093" w:rsidRDefault="00000000">
            <w:pPr>
              <w:pStyle w:val="Prrafodelista"/>
              <w:numPr>
                <w:ilvl w:val="0"/>
                <w:numId w:val="80"/>
              </w:numPr>
              <w:tabs>
                <w:tab w:val="left" w:pos="-1440"/>
              </w:tabs>
              <w:ind w:left="317" w:hanging="357"/>
              <w:jc w:val="both"/>
              <w:rPr>
                <w:szCs w:val="24"/>
              </w:rPr>
            </w:pPr>
            <w:r>
              <w:rPr>
                <w:rFonts w:cstheme="minorHAnsi"/>
              </w:rPr>
              <w:t>Plan estratégico.</w:t>
            </w:r>
          </w:p>
          <w:p w14:paraId="0902F725" w14:textId="77777777" w:rsidR="007B3093" w:rsidRDefault="00000000">
            <w:pPr>
              <w:pStyle w:val="Prrafodelista"/>
              <w:numPr>
                <w:ilvl w:val="0"/>
                <w:numId w:val="80"/>
              </w:numPr>
              <w:tabs>
                <w:tab w:val="left" w:pos="-1440"/>
              </w:tabs>
              <w:ind w:hanging="357"/>
              <w:jc w:val="both"/>
              <w:rPr>
                <w:rFonts w:cstheme="minorHAnsi"/>
              </w:rPr>
            </w:pPr>
            <w:r>
              <w:rPr>
                <w:rFonts w:cstheme="minorHAnsi"/>
              </w:rPr>
              <w:t>Modelo de Gestión.</w:t>
            </w:r>
          </w:p>
          <w:p w14:paraId="51D00229" w14:textId="77777777" w:rsidR="007B3093" w:rsidRDefault="00000000">
            <w:pPr>
              <w:pStyle w:val="Prrafodelista"/>
              <w:numPr>
                <w:ilvl w:val="0"/>
                <w:numId w:val="80"/>
              </w:numPr>
              <w:tabs>
                <w:tab w:val="left" w:pos="-1440"/>
              </w:tabs>
              <w:ind w:hanging="357"/>
              <w:jc w:val="both"/>
              <w:rPr>
                <w:rFonts w:cstheme="minorHAnsi"/>
              </w:rPr>
            </w:pPr>
            <w:r>
              <w:rPr>
                <w:rFonts w:cstheme="minorHAnsi"/>
              </w:rPr>
              <w:t>Manual de uso de marca.</w:t>
            </w:r>
          </w:p>
          <w:p w14:paraId="33EFBE32" w14:textId="77777777" w:rsidR="007B3093" w:rsidRDefault="00000000">
            <w:pPr>
              <w:pStyle w:val="Prrafodelista"/>
              <w:numPr>
                <w:ilvl w:val="0"/>
                <w:numId w:val="80"/>
              </w:numPr>
              <w:tabs>
                <w:tab w:val="left" w:pos="-1440"/>
              </w:tabs>
              <w:ind w:hanging="357"/>
              <w:jc w:val="both"/>
              <w:rPr>
                <w:rFonts w:cstheme="minorHAnsi"/>
              </w:rPr>
            </w:pPr>
            <w:r>
              <w:rPr>
                <w:rFonts w:cstheme="minorHAnsi"/>
              </w:rPr>
              <w:t>Estrategia de Comunicación</w:t>
            </w:r>
          </w:p>
        </w:tc>
      </w:tr>
      <w:tr w:rsidR="007B3093" w14:paraId="21AA7533" w14:textId="77777777">
        <w:tc>
          <w:tcPr>
            <w:tcW w:w="723" w:type="pct"/>
          </w:tcPr>
          <w:p w14:paraId="7CFDB54F"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2C21A457" w14:textId="77777777" w:rsidR="007B3093" w:rsidRDefault="00000000">
            <w:pPr>
              <w:pStyle w:val="Prrafodelista"/>
              <w:numPr>
                <w:ilvl w:val="0"/>
                <w:numId w:val="19"/>
              </w:numPr>
              <w:tabs>
                <w:tab w:val="left" w:pos="-1440"/>
              </w:tabs>
              <w:ind w:left="317"/>
              <w:jc w:val="both"/>
              <w:rPr>
                <w:rFonts w:cstheme="minorHAnsi"/>
              </w:rPr>
            </w:pPr>
            <w:r>
              <w:rPr>
                <w:rFonts w:cstheme="minorHAnsi"/>
              </w:rPr>
              <w:t xml:space="preserve">Varios artículos comunicacionales </w:t>
            </w:r>
            <w:proofErr w:type="gramStart"/>
            <w:r>
              <w:rPr>
                <w:rFonts w:cstheme="minorHAnsi"/>
              </w:rPr>
              <w:t>que  genere</w:t>
            </w:r>
            <w:proofErr w:type="gramEnd"/>
            <w:r>
              <w:rPr>
                <w:rFonts w:cstheme="minorHAnsi"/>
              </w:rPr>
              <w:t xml:space="preserve"> pertenencia e identidad en los servidores y funcionarios de la PGE</w:t>
            </w:r>
          </w:p>
        </w:tc>
      </w:tr>
    </w:tbl>
    <w:p w14:paraId="235EE5F8"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13D73ABF" w14:textId="77777777">
        <w:trPr>
          <w:trHeight w:val="446"/>
        </w:trPr>
        <w:tc>
          <w:tcPr>
            <w:tcW w:w="5000" w:type="pct"/>
            <w:shd w:val="clear" w:color="auto" w:fill="ACB9CA" w:themeFill="text2" w:themeFillTint="66"/>
          </w:tcPr>
          <w:p w14:paraId="0AA916AA" w14:textId="77777777" w:rsidR="007B3093" w:rsidRDefault="00000000">
            <w:pPr>
              <w:ind w:left="-42"/>
              <w:contextualSpacing/>
              <w:jc w:val="center"/>
              <w:rPr>
                <w:rFonts w:cstheme="minorHAnsi"/>
                <w:color w:val="000000"/>
              </w:rPr>
            </w:pPr>
            <w:r>
              <w:rPr>
                <w:rFonts w:cstheme="minorHAnsi"/>
                <w:b/>
              </w:rPr>
              <w:t>ACTIVIDAD 5.4</w:t>
            </w:r>
          </w:p>
        </w:tc>
      </w:tr>
      <w:tr w:rsidR="007B3093" w14:paraId="5D646A59" w14:textId="77777777">
        <w:trPr>
          <w:trHeight w:val="436"/>
        </w:trPr>
        <w:tc>
          <w:tcPr>
            <w:tcW w:w="5000" w:type="pct"/>
          </w:tcPr>
          <w:p w14:paraId="42F573B3" w14:textId="77777777" w:rsidR="007B3093" w:rsidRDefault="00000000">
            <w:pPr>
              <w:contextualSpacing/>
              <w:jc w:val="both"/>
              <w:rPr>
                <w:rFonts w:cstheme="minorHAnsi"/>
                <w:b/>
                <w:color w:val="000000"/>
              </w:rPr>
            </w:pPr>
            <w:r>
              <w:rPr>
                <w:rFonts w:cstheme="minorHAnsi"/>
                <w:b/>
                <w:color w:val="000000"/>
              </w:rPr>
              <w:t>Realizar una Encuesta ciudadana de percepción.</w:t>
            </w:r>
          </w:p>
        </w:tc>
      </w:tr>
    </w:tbl>
    <w:p w14:paraId="7050CDBE"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266"/>
      </w:tblGrid>
      <w:tr w:rsidR="007B3093" w14:paraId="68C72555" w14:textId="77777777">
        <w:tc>
          <w:tcPr>
            <w:tcW w:w="5000" w:type="pct"/>
            <w:gridSpan w:val="2"/>
          </w:tcPr>
          <w:p w14:paraId="66F1E410" w14:textId="77777777" w:rsidR="007B3093" w:rsidRDefault="00000000">
            <w:pPr>
              <w:tabs>
                <w:tab w:val="left" w:pos="-1440"/>
              </w:tabs>
              <w:contextualSpacing/>
              <w:jc w:val="both"/>
              <w:rPr>
                <w:rFonts w:cstheme="minorHAnsi"/>
                <w:b/>
              </w:rPr>
            </w:pPr>
            <w:r>
              <w:rPr>
                <w:rFonts w:cstheme="minorHAnsi"/>
                <w:b/>
                <w:color w:val="000000"/>
              </w:rPr>
              <w:t>Estudio de percepción ciudadana.</w:t>
            </w:r>
          </w:p>
        </w:tc>
      </w:tr>
      <w:tr w:rsidR="007B3093" w14:paraId="7A6A05B6" w14:textId="77777777">
        <w:trPr>
          <w:trHeight w:val="194"/>
        </w:trPr>
        <w:tc>
          <w:tcPr>
            <w:tcW w:w="723" w:type="pct"/>
          </w:tcPr>
          <w:p w14:paraId="3AF020D2" w14:textId="77777777" w:rsidR="007B3093" w:rsidRDefault="00000000">
            <w:pPr>
              <w:tabs>
                <w:tab w:val="left" w:pos="-1440"/>
              </w:tabs>
              <w:contextualSpacing/>
              <w:jc w:val="both"/>
              <w:rPr>
                <w:rFonts w:cstheme="minorHAnsi"/>
                <w:b/>
              </w:rPr>
            </w:pPr>
            <w:r>
              <w:rPr>
                <w:rFonts w:cstheme="minorHAnsi"/>
                <w:b/>
              </w:rPr>
              <w:t xml:space="preserve">Objetivo: </w:t>
            </w:r>
          </w:p>
        </w:tc>
        <w:tc>
          <w:tcPr>
            <w:tcW w:w="4277" w:type="pct"/>
          </w:tcPr>
          <w:p w14:paraId="2927E431" w14:textId="77777777" w:rsidR="007B3093" w:rsidRDefault="00000000">
            <w:pPr>
              <w:pStyle w:val="Prrafodelista"/>
              <w:tabs>
                <w:tab w:val="left" w:pos="-1440"/>
              </w:tabs>
              <w:ind w:left="284"/>
              <w:jc w:val="both"/>
              <w:rPr>
                <w:rFonts w:cstheme="minorHAnsi"/>
              </w:rPr>
            </w:pPr>
            <w:r>
              <w:rPr>
                <w:rFonts w:cstheme="minorHAnsi"/>
                <w:color w:val="000000"/>
              </w:rPr>
              <w:t>Realizar una encuesta de percepción ciudadana a fin de conocer la percepción que la ciudadanía tiene de la PGE.</w:t>
            </w:r>
          </w:p>
        </w:tc>
      </w:tr>
      <w:tr w:rsidR="007B3093" w14:paraId="6822A7E0" w14:textId="77777777">
        <w:trPr>
          <w:trHeight w:val="194"/>
        </w:trPr>
        <w:tc>
          <w:tcPr>
            <w:tcW w:w="723" w:type="pct"/>
          </w:tcPr>
          <w:p w14:paraId="506A161F" w14:textId="77777777" w:rsidR="007B3093" w:rsidRDefault="00000000">
            <w:pPr>
              <w:tabs>
                <w:tab w:val="left" w:pos="-1440"/>
              </w:tabs>
              <w:contextualSpacing/>
              <w:jc w:val="both"/>
              <w:rPr>
                <w:rFonts w:cstheme="minorHAnsi"/>
                <w:b/>
              </w:rPr>
            </w:pPr>
            <w:r>
              <w:rPr>
                <w:rFonts w:cstheme="minorHAnsi"/>
                <w:b/>
              </w:rPr>
              <w:t>Insumos</w:t>
            </w:r>
          </w:p>
        </w:tc>
        <w:tc>
          <w:tcPr>
            <w:tcW w:w="4277" w:type="pct"/>
          </w:tcPr>
          <w:p w14:paraId="10DF789C" w14:textId="77777777" w:rsidR="007B3093" w:rsidRDefault="00000000">
            <w:pPr>
              <w:pStyle w:val="Prrafodelista"/>
              <w:numPr>
                <w:ilvl w:val="0"/>
                <w:numId w:val="81"/>
              </w:numPr>
              <w:tabs>
                <w:tab w:val="left" w:pos="-1440"/>
              </w:tabs>
              <w:jc w:val="both"/>
              <w:rPr>
                <w:rFonts w:cstheme="minorHAnsi"/>
                <w:color w:val="000000"/>
              </w:rPr>
            </w:pPr>
            <w:r>
              <w:rPr>
                <w:rFonts w:cstheme="minorHAnsi"/>
                <w:color w:val="000000"/>
              </w:rPr>
              <w:t>Encuestas de percepción anteriores</w:t>
            </w:r>
          </w:p>
        </w:tc>
      </w:tr>
      <w:tr w:rsidR="007B3093" w14:paraId="44F05684" w14:textId="77777777">
        <w:tc>
          <w:tcPr>
            <w:tcW w:w="723" w:type="pct"/>
          </w:tcPr>
          <w:p w14:paraId="148F26DA" w14:textId="77777777" w:rsidR="007B3093" w:rsidRDefault="00000000">
            <w:pPr>
              <w:tabs>
                <w:tab w:val="left" w:pos="-1440"/>
              </w:tabs>
              <w:contextualSpacing/>
              <w:jc w:val="both"/>
              <w:rPr>
                <w:rFonts w:cstheme="minorHAnsi"/>
                <w:b/>
              </w:rPr>
            </w:pPr>
            <w:r>
              <w:rPr>
                <w:rFonts w:cstheme="minorHAnsi"/>
                <w:b/>
              </w:rPr>
              <w:t>Productos:</w:t>
            </w:r>
          </w:p>
        </w:tc>
        <w:tc>
          <w:tcPr>
            <w:tcW w:w="4277" w:type="pct"/>
          </w:tcPr>
          <w:p w14:paraId="52D230F1" w14:textId="77777777" w:rsidR="007B3093" w:rsidRDefault="00000000">
            <w:pPr>
              <w:pStyle w:val="Sinespaciado"/>
            </w:pPr>
            <w:r>
              <w:t>1. Informe de conocimiento de la ciudadanía sobre el rol de la PGE en la gestión del Estado.</w:t>
            </w:r>
          </w:p>
          <w:p w14:paraId="64AC6CC8" w14:textId="77777777" w:rsidR="007B3093" w:rsidRDefault="00000000">
            <w:pPr>
              <w:pStyle w:val="Sinespaciado"/>
            </w:pPr>
            <w:r>
              <w:t xml:space="preserve">2. Informe sobre la valoración de la gestión de la PGE </w:t>
            </w:r>
            <w:proofErr w:type="gramStart"/>
            <w:r>
              <w:t>en relación a</w:t>
            </w:r>
            <w:proofErr w:type="gramEnd"/>
            <w:r>
              <w:t xml:space="preserve"> las actividades de su responsabilidad.</w:t>
            </w:r>
          </w:p>
          <w:p w14:paraId="45D62FB0" w14:textId="77777777" w:rsidR="007B3093" w:rsidRDefault="00000000">
            <w:pPr>
              <w:pStyle w:val="Sinespaciado"/>
            </w:pPr>
            <w:r>
              <w:lastRenderedPageBreak/>
              <w:t>3. Informe de recomendaciones para la comunicación de la PGE</w:t>
            </w:r>
          </w:p>
        </w:tc>
      </w:tr>
    </w:tbl>
    <w:p w14:paraId="5333EF27" w14:textId="77777777" w:rsidR="007B3093" w:rsidRDefault="007B3093">
      <w:pPr>
        <w:spacing w:after="0" w:line="240" w:lineRule="auto"/>
        <w:contextualSpacing/>
        <w:rPr>
          <w:rFonts w:cstheme="minorHAnsi"/>
        </w:rPr>
      </w:pPr>
    </w:p>
    <w:p w14:paraId="0A6A85E9"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B3093" w14:paraId="19746C23" w14:textId="77777777">
        <w:trPr>
          <w:trHeight w:val="313"/>
        </w:trPr>
        <w:tc>
          <w:tcPr>
            <w:tcW w:w="5000" w:type="pct"/>
            <w:shd w:val="clear" w:color="auto" w:fill="ACB9CA" w:themeFill="text2" w:themeFillTint="66"/>
          </w:tcPr>
          <w:p w14:paraId="339FEDD9" w14:textId="77777777" w:rsidR="007B3093" w:rsidRDefault="00000000">
            <w:pPr>
              <w:pStyle w:val="Prrafodelista"/>
              <w:ind w:left="318"/>
              <w:jc w:val="center"/>
              <w:rPr>
                <w:rFonts w:cstheme="minorHAnsi"/>
                <w:color w:val="000000"/>
              </w:rPr>
            </w:pPr>
            <w:r>
              <w:rPr>
                <w:rFonts w:cstheme="minorHAnsi"/>
                <w:b/>
              </w:rPr>
              <w:t>ACTIVIDAD 5.5</w:t>
            </w:r>
          </w:p>
        </w:tc>
      </w:tr>
      <w:tr w:rsidR="007B3093" w14:paraId="1D98CBC3" w14:textId="77777777">
        <w:trPr>
          <w:trHeight w:val="325"/>
        </w:trPr>
        <w:tc>
          <w:tcPr>
            <w:tcW w:w="5000" w:type="pct"/>
          </w:tcPr>
          <w:p w14:paraId="22652713" w14:textId="77777777" w:rsidR="007B3093" w:rsidRDefault="00000000">
            <w:pPr>
              <w:contextualSpacing/>
              <w:jc w:val="both"/>
              <w:rPr>
                <w:rFonts w:cstheme="minorHAnsi"/>
                <w:b/>
                <w:color w:val="000000"/>
              </w:rPr>
            </w:pPr>
            <w:r>
              <w:rPr>
                <w:rFonts w:cstheme="minorHAnsi"/>
                <w:b/>
                <w:color w:val="000000"/>
              </w:rPr>
              <w:t>Adquirir Equipamiento para comunicación</w:t>
            </w:r>
          </w:p>
        </w:tc>
      </w:tr>
    </w:tbl>
    <w:p w14:paraId="09CDB2BD" w14:textId="77777777" w:rsidR="007B3093" w:rsidRDefault="007B3093">
      <w:pPr>
        <w:spacing w:after="0" w:line="240" w:lineRule="auto"/>
        <w:contextualSpacing/>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223"/>
      </w:tblGrid>
      <w:tr w:rsidR="007B3093" w14:paraId="6B74CFA5" w14:textId="77777777">
        <w:trPr>
          <w:trHeight w:val="369"/>
        </w:trPr>
        <w:tc>
          <w:tcPr>
            <w:tcW w:w="5000" w:type="pct"/>
            <w:gridSpan w:val="2"/>
          </w:tcPr>
          <w:p w14:paraId="334EA74C" w14:textId="77777777" w:rsidR="007B3093" w:rsidRDefault="00000000">
            <w:pPr>
              <w:contextualSpacing/>
              <w:jc w:val="both"/>
              <w:rPr>
                <w:rFonts w:cstheme="minorHAnsi"/>
                <w:b/>
                <w:color w:val="000000"/>
              </w:rPr>
            </w:pPr>
            <w:r>
              <w:rPr>
                <w:rFonts w:cstheme="minorHAnsi"/>
                <w:b/>
                <w:color w:val="000000"/>
              </w:rPr>
              <w:t>Adquisición de Equipamiento para Fortalecer las Herramientas de comunicación interna y externa de la Procuraduría General del Estado a nivel Nacional.</w:t>
            </w:r>
          </w:p>
        </w:tc>
      </w:tr>
      <w:tr w:rsidR="007B3093" w14:paraId="7C2FCAAC" w14:textId="77777777">
        <w:trPr>
          <w:trHeight w:val="583"/>
        </w:trPr>
        <w:tc>
          <w:tcPr>
            <w:tcW w:w="748" w:type="pct"/>
          </w:tcPr>
          <w:p w14:paraId="7B4EE041" w14:textId="77777777" w:rsidR="007B3093" w:rsidRDefault="00000000">
            <w:pPr>
              <w:contextualSpacing/>
              <w:jc w:val="both"/>
              <w:rPr>
                <w:rFonts w:cstheme="minorHAnsi"/>
                <w:b/>
                <w:color w:val="000000"/>
              </w:rPr>
            </w:pPr>
            <w:r>
              <w:rPr>
                <w:rFonts w:cstheme="minorHAnsi"/>
                <w:b/>
                <w:color w:val="000000"/>
              </w:rPr>
              <w:t>Objetivo:</w:t>
            </w:r>
          </w:p>
        </w:tc>
        <w:tc>
          <w:tcPr>
            <w:tcW w:w="4252" w:type="pct"/>
          </w:tcPr>
          <w:p w14:paraId="1BFE0C6F" w14:textId="77777777" w:rsidR="007B3093" w:rsidRDefault="00000000">
            <w:pPr>
              <w:spacing w:after="200" w:line="276" w:lineRule="auto"/>
              <w:jc w:val="both"/>
              <w:rPr>
                <w:rFonts w:cstheme="minorHAnsi"/>
                <w:color w:val="000000"/>
              </w:rPr>
            </w:pPr>
            <w:r>
              <w:rPr>
                <w:rFonts w:cstheme="minorHAnsi"/>
                <w:color w:val="000000"/>
              </w:rPr>
              <w:t>Dotar a la institución de equipamiento de comunicación para reforzar la imagen a través de la renovación y el fortalecimiento de las herramientas comunicacionales para mejorar la articulación de la información interna y externa de la Procuraduría General del Estado a nivel nacional.</w:t>
            </w:r>
          </w:p>
        </w:tc>
      </w:tr>
      <w:tr w:rsidR="007B3093" w14:paraId="0112145A" w14:textId="77777777">
        <w:trPr>
          <w:trHeight w:val="583"/>
        </w:trPr>
        <w:tc>
          <w:tcPr>
            <w:tcW w:w="748" w:type="pct"/>
          </w:tcPr>
          <w:p w14:paraId="507F2C35" w14:textId="77777777" w:rsidR="007B3093" w:rsidRDefault="00000000">
            <w:pPr>
              <w:tabs>
                <w:tab w:val="left" w:pos="-1440"/>
              </w:tabs>
              <w:contextualSpacing/>
              <w:jc w:val="both"/>
              <w:rPr>
                <w:rFonts w:cstheme="minorHAnsi"/>
                <w:b/>
              </w:rPr>
            </w:pPr>
            <w:r>
              <w:rPr>
                <w:rFonts w:cstheme="minorHAnsi"/>
                <w:b/>
              </w:rPr>
              <w:t>Insumos</w:t>
            </w:r>
          </w:p>
        </w:tc>
        <w:tc>
          <w:tcPr>
            <w:tcW w:w="4252" w:type="pct"/>
          </w:tcPr>
          <w:p w14:paraId="39CFD3AE" w14:textId="77777777" w:rsidR="007B3093" w:rsidRDefault="00000000">
            <w:pPr>
              <w:pStyle w:val="Prrafodelista"/>
              <w:numPr>
                <w:ilvl w:val="0"/>
                <w:numId w:val="77"/>
              </w:numPr>
              <w:tabs>
                <w:tab w:val="left" w:pos="-1440"/>
              </w:tabs>
              <w:jc w:val="both"/>
              <w:rPr>
                <w:rFonts w:cstheme="minorHAnsi"/>
              </w:rPr>
            </w:pPr>
            <w:r>
              <w:rPr>
                <w:rFonts w:cstheme="minorHAnsi"/>
              </w:rPr>
              <w:t>Diagnóstico Institucional.</w:t>
            </w:r>
          </w:p>
          <w:p w14:paraId="74F89FA9" w14:textId="77777777" w:rsidR="007B3093" w:rsidRDefault="00000000">
            <w:pPr>
              <w:pStyle w:val="Prrafodelista"/>
              <w:numPr>
                <w:ilvl w:val="0"/>
                <w:numId w:val="77"/>
              </w:numPr>
              <w:tabs>
                <w:tab w:val="left" w:pos="-1440"/>
              </w:tabs>
              <w:jc w:val="both"/>
              <w:rPr>
                <w:rFonts w:cstheme="minorHAnsi"/>
              </w:rPr>
            </w:pPr>
            <w:r>
              <w:rPr>
                <w:rFonts w:cstheme="minorHAnsi"/>
              </w:rPr>
              <w:t>Plan estratégico.</w:t>
            </w:r>
          </w:p>
        </w:tc>
      </w:tr>
      <w:tr w:rsidR="007B3093" w14:paraId="549F43E6" w14:textId="77777777">
        <w:trPr>
          <w:trHeight w:val="378"/>
        </w:trPr>
        <w:tc>
          <w:tcPr>
            <w:tcW w:w="748" w:type="pct"/>
          </w:tcPr>
          <w:p w14:paraId="2DA38136" w14:textId="77777777" w:rsidR="007B3093" w:rsidRDefault="00000000">
            <w:pPr>
              <w:contextualSpacing/>
              <w:jc w:val="both"/>
              <w:rPr>
                <w:rFonts w:cstheme="minorHAnsi"/>
                <w:b/>
                <w:color w:val="000000"/>
              </w:rPr>
            </w:pPr>
            <w:r>
              <w:rPr>
                <w:rFonts w:cstheme="minorHAnsi"/>
                <w:b/>
                <w:color w:val="000000"/>
              </w:rPr>
              <w:t>Productos:</w:t>
            </w:r>
          </w:p>
        </w:tc>
        <w:tc>
          <w:tcPr>
            <w:tcW w:w="4252" w:type="pct"/>
          </w:tcPr>
          <w:p w14:paraId="74A0B727" w14:textId="77777777" w:rsidR="007B3093" w:rsidRDefault="00000000">
            <w:pPr>
              <w:pStyle w:val="Prrafodelista"/>
              <w:numPr>
                <w:ilvl w:val="0"/>
                <w:numId w:val="33"/>
              </w:numPr>
              <w:ind w:left="450"/>
              <w:jc w:val="both"/>
              <w:rPr>
                <w:rFonts w:cstheme="minorHAnsi"/>
                <w:color w:val="000000"/>
              </w:rPr>
            </w:pPr>
            <w:r>
              <w:rPr>
                <w:rFonts w:cstheme="minorHAnsi"/>
                <w:color w:val="000000"/>
              </w:rPr>
              <w:t>Adquisición de Equipamiento para comunicación.</w:t>
            </w:r>
          </w:p>
        </w:tc>
      </w:tr>
    </w:tbl>
    <w:p w14:paraId="7CFCA000" w14:textId="77777777" w:rsidR="007B3093" w:rsidRDefault="007B3093"/>
    <w:p w14:paraId="02930ADA" w14:textId="77777777" w:rsidR="007B3093" w:rsidRDefault="00000000">
      <w:pPr>
        <w:pStyle w:val="Ttulo2"/>
        <w:numPr>
          <w:ilvl w:val="1"/>
          <w:numId w:val="24"/>
        </w:numPr>
        <w:spacing w:before="360" w:line="360" w:lineRule="auto"/>
        <w:ind w:left="425" w:hanging="357"/>
        <w:rPr>
          <w:rFonts w:asciiTheme="minorHAnsi" w:hAnsiTheme="minorHAnsi" w:cstheme="minorHAnsi"/>
          <w:b/>
          <w:color w:val="auto"/>
          <w:sz w:val="22"/>
          <w:szCs w:val="22"/>
        </w:rPr>
      </w:pPr>
      <w:bookmarkStart w:id="74" w:name="_Toc195010085"/>
      <w:r>
        <w:rPr>
          <w:rFonts w:asciiTheme="minorHAnsi" w:hAnsiTheme="minorHAnsi" w:cstheme="minorHAnsi"/>
          <w:b/>
          <w:color w:val="auto"/>
          <w:sz w:val="22"/>
          <w:szCs w:val="22"/>
        </w:rPr>
        <w:t>Viabilidad financiera fiscal</w:t>
      </w:r>
      <w:bookmarkEnd w:id="74"/>
    </w:p>
    <w:p w14:paraId="5E140192" w14:textId="77777777" w:rsidR="007B3093" w:rsidRDefault="00000000">
      <w:pPr>
        <w:pStyle w:val="Prrafodelista"/>
        <w:spacing w:before="120" w:after="120" w:line="360" w:lineRule="auto"/>
        <w:ind w:left="142" w:firstLine="425"/>
        <w:contextualSpacing w:val="0"/>
        <w:jc w:val="both"/>
        <w:rPr>
          <w:rFonts w:cstheme="minorHAnsi"/>
          <w:bCs/>
          <w:strike/>
          <w:color w:val="000000"/>
          <w:lang w:eastAsia="es-EC"/>
        </w:rPr>
      </w:pPr>
      <w:r>
        <w:rPr>
          <w:rFonts w:cstheme="minorHAnsi"/>
          <w:bCs/>
          <w:color w:val="000000"/>
          <w:lang w:eastAsia="es-EC"/>
        </w:rPr>
        <w:t xml:space="preserve">El Proyecto de Fortalecimiento Institucional de la PGE plantea actividades que permiten el mejoramiento de la gestión interna de la Institución, a través del análisis a profundidad de la PGE para establecer un modelo de gestión adecuado a la dinámica actual de las entidades del Estado, así como el desarrollo de herramientas tecnológicas que permitan un ágil procesamiento de las causas ingresadas y el tratamiento de consultas e informes de control. Sin embargo, los servicios que presta la Procuraduría General del Estado no tienen un precio imputable a las entidades del Estado, por lo tanto, el presente proyecto no genera </w:t>
      </w:r>
      <w:proofErr w:type="gramStart"/>
      <w:r>
        <w:rPr>
          <w:rFonts w:cstheme="minorHAnsi"/>
          <w:bCs/>
          <w:color w:val="000000"/>
          <w:lang w:eastAsia="es-EC"/>
        </w:rPr>
        <w:t>ingresos financieros y su flujo financiero</w:t>
      </w:r>
      <w:proofErr w:type="gramEnd"/>
      <w:r>
        <w:rPr>
          <w:rFonts w:cstheme="minorHAnsi"/>
          <w:bCs/>
          <w:color w:val="000000"/>
          <w:lang w:eastAsia="es-EC"/>
        </w:rPr>
        <w:t xml:space="preserve"> se representa a continuación:</w:t>
      </w:r>
    </w:p>
    <w:p w14:paraId="408D169B" w14:textId="77777777" w:rsidR="007B3093" w:rsidRDefault="007B3093">
      <w:pPr>
        <w:autoSpaceDE w:val="0"/>
        <w:autoSpaceDN w:val="0"/>
        <w:adjustRightInd w:val="0"/>
        <w:spacing w:after="0" w:line="360" w:lineRule="auto"/>
        <w:jc w:val="both"/>
        <w:rPr>
          <w:rFonts w:cstheme="minorHAnsi"/>
          <w:bCs/>
          <w:color w:val="000000"/>
          <w:lang w:eastAsia="es-EC"/>
        </w:rPr>
        <w:sectPr w:rsidR="007B3093">
          <w:pgSz w:w="11906" w:h="16838" w:code="9"/>
          <w:pgMar w:top="1843" w:right="1701" w:bottom="1418" w:left="1701" w:header="567" w:footer="709" w:gutter="0"/>
          <w:cols w:space="708"/>
          <w:docGrid w:linePitch="360"/>
        </w:sectPr>
      </w:pPr>
    </w:p>
    <w:p w14:paraId="7FA91D9C" w14:textId="77777777" w:rsidR="007B3093" w:rsidRDefault="00000000">
      <w:pPr>
        <w:pStyle w:val="Ttulo2"/>
        <w:numPr>
          <w:ilvl w:val="2"/>
          <w:numId w:val="24"/>
        </w:numPr>
        <w:spacing w:before="0" w:line="360" w:lineRule="auto"/>
        <w:ind w:left="851"/>
        <w:rPr>
          <w:rFonts w:asciiTheme="minorHAnsi" w:hAnsiTheme="minorHAnsi" w:cstheme="minorHAnsi"/>
          <w:b/>
          <w:color w:val="auto"/>
          <w:sz w:val="22"/>
          <w:szCs w:val="22"/>
        </w:rPr>
      </w:pPr>
      <w:bookmarkStart w:id="75" w:name="_Toc195010086"/>
      <w:r>
        <w:rPr>
          <w:rFonts w:asciiTheme="minorHAnsi" w:hAnsiTheme="minorHAnsi" w:cstheme="minorHAnsi"/>
          <w:b/>
          <w:color w:val="auto"/>
          <w:sz w:val="22"/>
          <w:szCs w:val="22"/>
        </w:rPr>
        <w:lastRenderedPageBreak/>
        <w:t>Flujo financiero fiscal</w:t>
      </w:r>
      <w:bookmarkEnd w:id="75"/>
    </w:p>
    <w:p w14:paraId="1D599BD2" w14:textId="11BB8901" w:rsidR="00D60D2E" w:rsidRDefault="00000000">
      <w:pPr>
        <w:pStyle w:val="Prrafodelista"/>
        <w:autoSpaceDE w:val="0"/>
        <w:autoSpaceDN w:val="0"/>
        <w:adjustRightInd w:val="0"/>
        <w:spacing w:after="0" w:line="360" w:lineRule="auto"/>
        <w:ind w:left="360"/>
        <w:jc w:val="center"/>
        <w:rPr>
          <w:rFonts w:cstheme="minorHAnsi"/>
          <w:b/>
          <w:bCs/>
          <w:lang w:eastAsia="es-EC"/>
        </w:rPr>
      </w:pPr>
      <w:r>
        <w:rPr>
          <w:rFonts w:cstheme="minorHAnsi"/>
          <w:b/>
          <w:bCs/>
          <w:lang w:eastAsia="es-EC"/>
        </w:rPr>
        <w:t>Tabla No. 24: Flujo financiero fiscal</w:t>
      </w:r>
    </w:p>
    <w:tbl>
      <w:tblPr>
        <w:tblW w:w="0" w:type="auto"/>
        <w:tblCellMar>
          <w:left w:w="70" w:type="dxa"/>
          <w:right w:w="70" w:type="dxa"/>
        </w:tblCellMar>
        <w:tblLook w:val="04A0" w:firstRow="1" w:lastRow="0" w:firstColumn="1" w:lastColumn="0" w:noHBand="0" w:noVBand="1"/>
      </w:tblPr>
      <w:tblGrid>
        <w:gridCol w:w="2773"/>
        <w:gridCol w:w="882"/>
        <w:gridCol w:w="713"/>
        <w:gridCol w:w="714"/>
        <w:gridCol w:w="714"/>
        <w:gridCol w:w="714"/>
        <w:gridCol w:w="736"/>
        <w:gridCol w:w="789"/>
        <w:gridCol w:w="665"/>
        <w:gridCol w:w="665"/>
        <w:gridCol w:w="714"/>
        <w:gridCol w:w="714"/>
        <w:gridCol w:w="714"/>
        <w:gridCol w:w="714"/>
        <w:gridCol w:w="714"/>
        <w:gridCol w:w="628"/>
      </w:tblGrid>
      <w:tr w:rsidR="00D60D2E" w:rsidRPr="00D60D2E" w14:paraId="17C377B9" w14:textId="77777777" w:rsidTr="00D60D2E">
        <w:trPr>
          <w:trHeight w:val="252"/>
          <w:tblHeader/>
        </w:trPr>
        <w:tc>
          <w:tcPr>
            <w:tcW w:w="0" w:type="auto"/>
            <w:tcBorders>
              <w:top w:val="single" w:sz="8" w:space="0" w:color="auto"/>
              <w:left w:val="single" w:sz="8" w:space="0" w:color="auto"/>
              <w:bottom w:val="single" w:sz="4" w:space="0" w:color="auto"/>
              <w:right w:val="single" w:sz="4" w:space="0" w:color="auto"/>
            </w:tcBorders>
            <w:shd w:val="clear" w:color="auto" w:fill="2F5496" w:themeFill="accent5" w:themeFillShade="BF"/>
            <w:noWrap/>
            <w:vAlign w:val="center"/>
            <w:hideMark/>
          </w:tcPr>
          <w:p w14:paraId="0A3EDBBB" w14:textId="77777777" w:rsidR="00D60D2E" w:rsidRPr="00D60D2E" w:rsidRDefault="00D60D2E" w:rsidP="00D60D2E">
            <w:pPr>
              <w:spacing w:after="0" w:line="240" w:lineRule="auto"/>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Período</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28804B55"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0</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5CD6D0C5"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1</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38140E0D"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2</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746BE58E"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3</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6A527ACF"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4</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793E4BB6"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5</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65EB7043"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6</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143EB0F4"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7</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441748B9"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8</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4C4DB101"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9</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5B8C5E5C"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10</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330CD7F3"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11</w:t>
            </w:r>
          </w:p>
        </w:tc>
        <w:tc>
          <w:tcPr>
            <w:tcW w:w="0" w:type="auto"/>
            <w:tcBorders>
              <w:top w:val="single" w:sz="8" w:space="0" w:color="auto"/>
              <w:left w:val="nil"/>
              <w:bottom w:val="single" w:sz="4" w:space="0" w:color="auto"/>
              <w:right w:val="single" w:sz="4" w:space="0" w:color="auto"/>
            </w:tcBorders>
            <w:shd w:val="clear" w:color="auto" w:fill="2F5496" w:themeFill="accent5" w:themeFillShade="BF"/>
            <w:noWrap/>
            <w:vAlign w:val="center"/>
            <w:hideMark/>
          </w:tcPr>
          <w:p w14:paraId="0EC547AB" w14:textId="77777777" w:rsidR="00D60D2E" w:rsidRPr="00D60D2E" w:rsidRDefault="00D60D2E" w:rsidP="00D60D2E">
            <w:pPr>
              <w:spacing w:after="0" w:line="240" w:lineRule="auto"/>
              <w:jc w:val="center"/>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12</w:t>
            </w:r>
          </w:p>
        </w:tc>
        <w:tc>
          <w:tcPr>
            <w:tcW w:w="0" w:type="auto"/>
            <w:tcBorders>
              <w:top w:val="single" w:sz="8" w:space="0" w:color="auto"/>
              <w:left w:val="nil"/>
              <w:bottom w:val="single" w:sz="4" w:space="0" w:color="auto"/>
              <w:right w:val="single" w:sz="4" w:space="0" w:color="auto"/>
            </w:tcBorders>
            <w:shd w:val="clear" w:color="auto" w:fill="2F5496" w:themeFill="accent5" w:themeFillShade="BF"/>
            <w:vAlign w:val="center"/>
            <w:hideMark/>
          </w:tcPr>
          <w:p w14:paraId="415B1C0D" w14:textId="77777777" w:rsidR="00D60D2E" w:rsidRPr="00D60D2E" w:rsidRDefault="00D60D2E" w:rsidP="00D60D2E">
            <w:pPr>
              <w:spacing w:after="0" w:line="240" w:lineRule="auto"/>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13</w:t>
            </w:r>
          </w:p>
        </w:tc>
        <w:tc>
          <w:tcPr>
            <w:tcW w:w="0" w:type="auto"/>
            <w:tcBorders>
              <w:top w:val="single" w:sz="8" w:space="0" w:color="auto"/>
              <w:left w:val="nil"/>
              <w:bottom w:val="single" w:sz="4" w:space="0" w:color="auto"/>
              <w:right w:val="single" w:sz="4" w:space="0" w:color="auto"/>
            </w:tcBorders>
            <w:shd w:val="clear" w:color="auto" w:fill="2F5496" w:themeFill="accent5" w:themeFillShade="BF"/>
            <w:vAlign w:val="center"/>
            <w:hideMark/>
          </w:tcPr>
          <w:p w14:paraId="5F4FE9A6" w14:textId="77777777" w:rsidR="00D60D2E" w:rsidRPr="00D60D2E" w:rsidRDefault="00D60D2E" w:rsidP="00D60D2E">
            <w:pPr>
              <w:spacing w:after="0" w:line="240" w:lineRule="auto"/>
              <w:rPr>
                <w:rFonts w:ascii="Calibri" w:eastAsia="Times New Roman" w:hAnsi="Calibri" w:cs="Calibri"/>
                <w:color w:val="FFFFFF" w:themeColor="background1"/>
                <w:sz w:val="12"/>
                <w:szCs w:val="12"/>
                <w:lang w:eastAsia="es-EC"/>
              </w:rPr>
            </w:pPr>
            <w:r w:rsidRPr="00D60D2E">
              <w:rPr>
                <w:rFonts w:ascii="Calibri" w:eastAsia="Times New Roman" w:hAnsi="Calibri" w:cs="Calibri"/>
                <w:color w:val="FFFFFF" w:themeColor="background1"/>
                <w:sz w:val="12"/>
                <w:szCs w:val="12"/>
                <w:lang w:eastAsia="es-EC"/>
              </w:rPr>
              <w:t>Año 14</w:t>
            </w:r>
          </w:p>
        </w:tc>
      </w:tr>
      <w:tr w:rsidR="00D60D2E" w:rsidRPr="00D60D2E" w14:paraId="28ABF7D2" w14:textId="77777777" w:rsidTr="00D60D2E">
        <w:trPr>
          <w:trHeight w:val="194"/>
          <w:tblHeader/>
        </w:trPr>
        <w:tc>
          <w:tcPr>
            <w:tcW w:w="0" w:type="auto"/>
            <w:tcBorders>
              <w:top w:val="nil"/>
              <w:left w:val="single" w:sz="8" w:space="0" w:color="auto"/>
              <w:bottom w:val="single" w:sz="8" w:space="0" w:color="auto"/>
              <w:right w:val="single" w:sz="4" w:space="0" w:color="auto"/>
            </w:tcBorders>
            <w:shd w:val="clear" w:color="auto" w:fill="2F5496" w:themeFill="accent5" w:themeFillShade="BF"/>
            <w:noWrap/>
            <w:vAlign w:val="bottom"/>
            <w:hideMark/>
          </w:tcPr>
          <w:p w14:paraId="40D4B5B2" w14:textId="77777777" w:rsidR="00D60D2E" w:rsidRPr="00D60D2E" w:rsidRDefault="00D60D2E" w:rsidP="00D60D2E">
            <w:pPr>
              <w:spacing w:after="0" w:line="240" w:lineRule="auto"/>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Año</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3B4B3E10"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2019</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5098C1D4"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2020</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0F50CFF0"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2021</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2A45EF93"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2022</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58049585"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2023</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42E8F538"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2024</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7E144061"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2025</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69F6BDAD"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2026</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39D77A2D"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2027</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1A76F282"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2028</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604216C1"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2029</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626FC66C"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2030</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751C150B"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2031</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516031D8"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2032</w:t>
            </w:r>
          </w:p>
        </w:tc>
        <w:tc>
          <w:tcPr>
            <w:tcW w:w="0" w:type="auto"/>
            <w:tcBorders>
              <w:top w:val="nil"/>
              <w:left w:val="nil"/>
              <w:bottom w:val="single" w:sz="8" w:space="0" w:color="auto"/>
              <w:right w:val="single" w:sz="4" w:space="0" w:color="auto"/>
            </w:tcBorders>
            <w:shd w:val="clear" w:color="auto" w:fill="2F5496" w:themeFill="accent5" w:themeFillShade="BF"/>
            <w:noWrap/>
            <w:vAlign w:val="bottom"/>
            <w:hideMark/>
          </w:tcPr>
          <w:p w14:paraId="72650634" w14:textId="77777777" w:rsidR="00D60D2E" w:rsidRPr="00D60D2E" w:rsidRDefault="00D60D2E" w:rsidP="00D60D2E">
            <w:pPr>
              <w:spacing w:after="0" w:line="240" w:lineRule="auto"/>
              <w:jc w:val="center"/>
              <w:rPr>
                <w:rFonts w:ascii="Calibri" w:eastAsia="Times New Roman" w:hAnsi="Calibri" w:cs="Calibri"/>
                <w:b/>
                <w:bCs/>
                <w:color w:val="FFFFFF" w:themeColor="background1"/>
                <w:sz w:val="12"/>
                <w:szCs w:val="12"/>
                <w:lang w:eastAsia="es-EC"/>
              </w:rPr>
            </w:pPr>
            <w:r w:rsidRPr="00D60D2E">
              <w:rPr>
                <w:rFonts w:ascii="Calibri" w:eastAsia="Times New Roman" w:hAnsi="Calibri" w:cs="Calibri"/>
                <w:b/>
                <w:bCs/>
                <w:color w:val="FFFFFF" w:themeColor="background1"/>
                <w:sz w:val="12"/>
                <w:szCs w:val="12"/>
                <w:lang w:eastAsia="es-EC"/>
              </w:rPr>
              <w:t>2033</w:t>
            </w:r>
          </w:p>
        </w:tc>
      </w:tr>
      <w:tr w:rsidR="00D60D2E" w:rsidRPr="00D60D2E" w14:paraId="5BAEE6A6" w14:textId="77777777" w:rsidTr="00D60D2E">
        <w:trPr>
          <w:trHeight w:val="288"/>
        </w:trPr>
        <w:tc>
          <w:tcPr>
            <w:tcW w:w="0" w:type="auto"/>
            <w:tcBorders>
              <w:top w:val="nil"/>
              <w:left w:val="single" w:sz="8" w:space="0" w:color="auto"/>
              <w:bottom w:val="nil"/>
              <w:right w:val="nil"/>
            </w:tcBorders>
            <w:shd w:val="clear" w:color="auto" w:fill="auto"/>
            <w:noWrap/>
            <w:vAlign w:val="bottom"/>
            <w:hideMark/>
          </w:tcPr>
          <w:p w14:paraId="5BC8BA31"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INGRESOS (USD Corrientes) (a)</w:t>
            </w:r>
          </w:p>
        </w:tc>
        <w:tc>
          <w:tcPr>
            <w:tcW w:w="0" w:type="auto"/>
            <w:tcBorders>
              <w:top w:val="nil"/>
              <w:left w:val="nil"/>
              <w:bottom w:val="nil"/>
              <w:right w:val="nil"/>
            </w:tcBorders>
            <w:shd w:val="clear" w:color="auto" w:fill="auto"/>
            <w:noWrap/>
            <w:vAlign w:val="bottom"/>
            <w:hideMark/>
          </w:tcPr>
          <w:p w14:paraId="3E9BCEBB"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7A56A91B"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69A27475"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185A8BE4"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64B56612"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1E199BE1"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577DCA53"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0FC7A5DA"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79324B8C"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19893246"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3F5A5702"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p>
        </w:tc>
        <w:tc>
          <w:tcPr>
            <w:tcW w:w="0" w:type="auto"/>
            <w:tcBorders>
              <w:top w:val="nil"/>
              <w:left w:val="nil"/>
              <w:bottom w:val="nil"/>
              <w:right w:val="nil"/>
            </w:tcBorders>
            <w:shd w:val="clear" w:color="auto" w:fill="auto"/>
            <w:noWrap/>
            <w:vAlign w:val="bottom"/>
            <w:hideMark/>
          </w:tcPr>
          <w:p w14:paraId="07C8CEAF"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3DADB2B7"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4BADF796"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6C001EEA"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p>
        </w:tc>
      </w:tr>
      <w:tr w:rsidR="00D60D2E" w:rsidRPr="00D60D2E" w14:paraId="77B5925B" w14:textId="77777777" w:rsidTr="00D60D2E">
        <w:trPr>
          <w:trHeight w:val="288"/>
        </w:trPr>
        <w:tc>
          <w:tcPr>
            <w:tcW w:w="0" w:type="auto"/>
            <w:tcBorders>
              <w:top w:val="nil"/>
              <w:left w:val="single" w:sz="8" w:space="0" w:color="auto"/>
              <w:bottom w:val="nil"/>
              <w:right w:val="nil"/>
            </w:tcBorders>
            <w:shd w:val="clear" w:color="auto" w:fill="auto"/>
            <w:noWrap/>
            <w:vAlign w:val="bottom"/>
            <w:hideMark/>
          </w:tcPr>
          <w:p w14:paraId="4C8CE89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Financieros (detallar)</w:t>
            </w:r>
          </w:p>
        </w:tc>
        <w:tc>
          <w:tcPr>
            <w:tcW w:w="0" w:type="auto"/>
            <w:tcBorders>
              <w:top w:val="nil"/>
              <w:left w:val="nil"/>
              <w:bottom w:val="nil"/>
              <w:right w:val="nil"/>
            </w:tcBorders>
            <w:shd w:val="clear" w:color="auto" w:fill="auto"/>
            <w:noWrap/>
            <w:vAlign w:val="bottom"/>
            <w:hideMark/>
          </w:tcPr>
          <w:p w14:paraId="54C383C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6BA264F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5008607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6C69EED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36FC11E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7F48CC4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26D17A1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4D45841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7EEA62D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00DEBA2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7B995C1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p>
        </w:tc>
        <w:tc>
          <w:tcPr>
            <w:tcW w:w="0" w:type="auto"/>
            <w:tcBorders>
              <w:top w:val="nil"/>
              <w:left w:val="nil"/>
              <w:bottom w:val="nil"/>
              <w:right w:val="nil"/>
            </w:tcBorders>
            <w:shd w:val="clear" w:color="auto" w:fill="auto"/>
            <w:noWrap/>
            <w:vAlign w:val="bottom"/>
            <w:hideMark/>
          </w:tcPr>
          <w:p w14:paraId="456EAEFB"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423BA348"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04F3E1A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1B250EC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p>
        </w:tc>
      </w:tr>
      <w:tr w:rsidR="00D60D2E" w:rsidRPr="00D60D2E" w14:paraId="5F8DCD9D" w14:textId="77777777" w:rsidTr="00D60D2E">
        <w:trPr>
          <w:trHeight w:val="12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C9CA1" w14:textId="77777777" w:rsidR="00D60D2E" w:rsidRPr="00D60D2E" w:rsidRDefault="00D60D2E" w:rsidP="00D60D2E">
            <w:pPr>
              <w:spacing w:after="0" w:line="240" w:lineRule="auto"/>
              <w:ind w:firstLineChars="200" w:firstLine="240"/>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D191C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D3199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8AD2C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C543A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C2625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42C43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6E8FC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8EB3A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8F499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06EE9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FCBED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316A8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D1DBE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EEBCC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CC380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65E5D7CD" w14:textId="77777777" w:rsidTr="00D60D2E">
        <w:trPr>
          <w:trHeight w:val="1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15E9E8" w14:textId="77777777" w:rsidR="00D60D2E" w:rsidRPr="00D60D2E" w:rsidRDefault="00D60D2E" w:rsidP="00D60D2E">
            <w:pPr>
              <w:spacing w:after="0" w:line="240" w:lineRule="auto"/>
              <w:ind w:firstLineChars="200" w:firstLine="240"/>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0" w:type="auto"/>
            <w:tcBorders>
              <w:top w:val="nil"/>
              <w:left w:val="nil"/>
              <w:bottom w:val="single" w:sz="4" w:space="0" w:color="auto"/>
              <w:right w:val="single" w:sz="4" w:space="0" w:color="auto"/>
            </w:tcBorders>
            <w:shd w:val="clear" w:color="auto" w:fill="auto"/>
            <w:noWrap/>
            <w:vAlign w:val="bottom"/>
            <w:hideMark/>
          </w:tcPr>
          <w:p w14:paraId="09BB5C6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3D3825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43C885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14857A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F58D71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E40C41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5B01A8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FF7456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C2F34E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A0D2E4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6B521A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DD8BEA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F164B2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54F06F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3CC0B9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2711091D" w14:textId="77777777" w:rsidTr="00D60D2E">
        <w:trPr>
          <w:trHeight w:val="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94D0E7" w14:textId="77777777" w:rsidR="00D60D2E" w:rsidRPr="00D60D2E" w:rsidRDefault="00D60D2E" w:rsidP="00D60D2E">
            <w:pPr>
              <w:spacing w:after="0" w:line="240" w:lineRule="auto"/>
              <w:ind w:firstLineChars="200" w:firstLine="240"/>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0" w:type="auto"/>
            <w:tcBorders>
              <w:top w:val="nil"/>
              <w:left w:val="nil"/>
              <w:bottom w:val="single" w:sz="4" w:space="0" w:color="auto"/>
              <w:right w:val="single" w:sz="4" w:space="0" w:color="auto"/>
            </w:tcBorders>
            <w:shd w:val="clear" w:color="auto" w:fill="auto"/>
            <w:noWrap/>
            <w:vAlign w:val="bottom"/>
            <w:hideMark/>
          </w:tcPr>
          <w:p w14:paraId="111F0A4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EDB2AC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903EE7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6E0995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1682C8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47FE85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A003FA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696889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802599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D34B4E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A0CC5B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70A592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30BB65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35EFAC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DC76F9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6C746804" w14:textId="77777777" w:rsidTr="00D60D2E">
        <w:trPr>
          <w:trHeight w:val="288"/>
        </w:trPr>
        <w:tc>
          <w:tcPr>
            <w:tcW w:w="0" w:type="auto"/>
            <w:tcBorders>
              <w:top w:val="nil"/>
              <w:left w:val="single" w:sz="8" w:space="0" w:color="auto"/>
              <w:bottom w:val="nil"/>
              <w:right w:val="nil"/>
            </w:tcBorders>
            <w:shd w:val="clear" w:color="auto" w:fill="auto"/>
            <w:noWrap/>
            <w:vAlign w:val="bottom"/>
            <w:hideMark/>
          </w:tcPr>
          <w:p w14:paraId="67F26440"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EGRESOS (b)</w:t>
            </w:r>
          </w:p>
        </w:tc>
        <w:tc>
          <w:tcPr>
            <w:tcW w:w="0" w:type="auto"/>
            <w:tcBorders>
              <w:top w:val="nil"/>
              <w:left w:val="nil"/>
              <w:bottom w:val="nil"/>
              <w:right w:val="nil"/>
            </w:tcBorders>
            <w:shd w:val="clear" w:color="auto" w:fill="auto"/>
            <w:noWrap/>
            <w:vAlign w:val="bottom"/>
            <w:hideMark/>
          </w:tcPr>
          <w:p w14:paraId="58FCEADA"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14.774,58 </w:t>
            </w:r>
          </w:p>
        </w:tc>
        <w:tc>
          <w:tcPr>
            <w:tcW w:w="0" w:type="auto"/>
            <w:tcBorders>
              <w:top w:val="nil"/>
              <w:left w:val="nil"/>
              <w:bottom w:val="nil"/>
              <w:right w:val="nil"/>
            </w:tcBorders>
            <w:shd w:val="clear" w:color="auto" w:fill="auto"/>
            <w:noWrap/>
            <w:vAlign w:val="bottom"/>
            <w:hideMark/>
          </w:tcPr>
          <w:p w14:paraId="79CA93D8"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263.644,43 </w:t>
            </w:r>
          </w:p>
        </w:tc>
        <w:tc>
          <w:tcPr>
            <w:tcW w:w="0" w:type="auto"/>
            <w:tcBorders>
              <w:top w:val="nil"/>
              <w:left w:val="nil"/>
              <w:bottom w:val="nil"/>
              <w:right w:val="nil"/>
            </w:tcBorders>
            <w:shd w:val="clear" w:color="auto" w:fill="auto"/>
            <w:noWrap/>
            <w:vAlign w:val="bottom"/>
            <w:hideMark/>
          </w:tcPr>
          <w:p w14:paraId="6B96BFD3"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621.140,14 </w:t>
            </w:r>
          </w:p>
        </w:tc>
        <w:tc>
          <w:tcPr>
            <w:tcW w:w="0" w:type="auto"/>
            <w:tcBorders>
              <w:top w:val="nil"/>
              <w:left w:val="nil"/>
              <w:bottom w:val="nil"/>
              <w:right w:val="nil"/>
            </w:tcBorders>
            <w:shd w:val="clear" w:color="auto" w:fill="auto"/>
            <w:noWrap/>
            <w:vAlign w:val="bottom"/>
            <w:hideMark/>
          </w:tcPr>
          <w:p w14:paraId="1149F352"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808.942,27 </w:t>
            </w:r>
          </w:p>
        </w:tc>
        <w:tc>
          <w:tcPr>
            <w:tcW w:w="0" w:type="auto"/>
            <w:tcBorders>
              <w:top w:val="nil"/>
              <w:left w:val="nil"/>
              <w:bottom w:val="nil"/>
              <w:right w:val="nil"/>
            </w:tcBorders>
            <w:shd w:val="clear" w:color="auto" w:fill="auto"/>
            <w:noWrap/>
            <w:vAlign w:val="bottom"/>
            <w:hideMark/>
          </w:tcPr>
          <w:p w14:paraId="5D085965"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527.411,16 </w:t>
            </w:r>
          </w:p>
        </w:tc>
        <w:tc>
          <w:tcPr>
            <w:tcW w:w="0" w:type="auto"/>
            <w:tcBorders>
              <w:top w:val="nil"/>
              <w:left w:val="nil"/>
              <w:bottom w:val="nil"/>
              <w:right w:val="nil"/>
            </w:tcBorders>
            <w:shd w:val="clear" w:color="auto" w:fill="auto"/>
            <w:noWrap/>
            <w:vAlign w:val="bottom"/>
            <w:hideMark/>
          </w:tcPr>
          <w:p w14:paraId="245A51E8"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297.701,90 </w:t>
            </w:r>
          </w:p>
        </w:tc>
        <w:tc>
          <w:tcPr>
            <w:tcW w:w="0" w:type="auto"/>
            <w:tcBorders>
              <w:top w:val="nil"/>
              <w:left w:val="nil"/>
              <w:bottom w:val="nil"/>
              <w:right w:val="nil"/>
            </w:tcBorders>
            <w:shd w:val="clear" w:color="auto" w:fill="auto"/>
            <w:noWrap/>
            <w:vAlign w:val="bottom"/>
            <w:hideMark/>
          </w:tcPr>
          <w:p w14:paraId="3804FF6F"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2.641.181,01 </w:t>
            </w:r>
          </w:p>
        </w:tc>
        <w:tc>
          <w:tcPr>
            <w:tcW w:w="0" w:type="auto"/>
            <w:tcBorders>
              <w:top w:val="nil"/>
              <w:left w:val="nil"/>
              <w:bottom w:val="nil"/>
              <w:right w:val="nil"/>
            </w:tcBorders>
            <w:shd w:val="clear" w:color="auto" w:fill="auto"/>
            <w:noWrap/>
            <w:vAlign w:val="bottom"/>
            <w:hideMark/>
          </w:tcPr>
          <w:p w14:paraId="32C80A1C"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27.400,00 </w:t>
            </w:r>
          </w:p>
        </w:tc>
        <w:tc>
          <w:tcPr>
            <w:tcW w:w="0" w:type="auto"/>
            <w:tcBorders>
              <w:top w:val="nil"/>
              <w:left w:val="nil"/>
              <w:bottom w:val="nil"/>
              <w:right w:val="nil"/>
            </w:tcBorders>
            <w:shd w:val="clear" w:color="auto" w:fill="auto"/>
            <w:noWrap/>
            <w:vAlign w:val="bottom"/>
            <w:hideMark/>
          </w:tcPr>
          <w:p w14:paraId="3F38A445"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27.400,00 </w:t>
            </w:r>
          </w:p>
        </w:tc>
        <w:tc>
          <w:tcPr>
            <w:tcW w:w="0" w:type="auto"/>
            <w:tcBorders>
              <w:top w:val="nil"/>
              <w:left w:val="nil"/>
              <w:bottom w:val="nil"/>
              <w:right w:val="nil"/>
            </w:tcBorders>
            <w:shd w:val="clear" w:color="auto" w:fill="auto"/>
            <w:noWrap/>
            <w:vAlign w:val="bottom"/>
            <w:hideMark/>
          </w:tcPr>
          <w:p w14:paraId="7B02CB92"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227.400,00 </w:t>
            </w:r>
          </w:p>
        </w:tc>
        <w:tc>
          <w:tcPr>
            <w:tcW w:w="0" w:type="auto"/>
            <w:tcBorders>
              <w:top w:val="nil"/>
              <w:left w:val="nil"/>
              <w:bottom w:val="nil"/>
              <w:right w:val="nil"/>
            </w:tcBorders>
            <w:shd w:val="clear" w:color="auto" w:fill="auto"/>
            <w:noWrap/>
            <w:vAlign w:val="bottom"/>
            <w:hideMark/>
          </w:tcPr>
          <w:p w14:paraId="35489E72"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227.400,00 </w:t>
            </w:r>
          </w:p>
        </w:tc>
        <w:tc>
          <w:tcPr>
            <w:tcW w:w="0" w:type="auto"/>
            <w:tcBorders>
              <w:top w:val="nil"/>
              <w:left w:val="nil"/>
              <w:bottom w:val="nil"/>
              <w:right w:val="nil"/>
            </w:tcBorders>
            <w:shd w:val="clear" w:color="auto" w:fill="auto"/>
            <w:noWrap/>
            <w:vAlign w:val="bottom"/>
            <w:hideMark/>
          </w:tcPr>
          <w:p w14:paraId="3DF33F60"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227.400,00 </w:t>
            </w:r>
          </w:p>
        </w:tc>
        <w:tc>
          <w:tcPr>
            <w:tcW w:w="0" w:type="auto"/>
            <w:tcBorders>
              <w:top w:val="nil"/>
              <w:left w:val="nil"/>
              <w:bottom w:val="nil"/>
              <w:right w:val="nil"/>
            </w:tcBorders>
            <w:shd w:val="clear" w:color="auto" w:fill="auto"/>
            <w:noWrap/>
            <w:vAlign w:val="bottom"/>
            <w:hideMark/>
          </w:tcPr>
          <w:p w14:paraId="37D3160D"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227.400,00 </w:t>
            </w:r>
          </w:p>
        </w:tc>
        <w:tc>
          <w:tcPr>
            <w:tcW w:w="0" w:type="auto"/>
            <w:tcBorders>
              <w:top w:val="nil"/>
              <w:left w:val="nil"/>
              <w:bottom w:val="nil"/>
              <w:right w:val="nil"/>
            </w:tcBorders>
            <w:shd w:val="clear" w:color="auto" w:fill="auto"/>
            <w:noWrap/>
            <w:vAlign w:val="bottom"/>
            <w:hideMark/>
          </w:tcPr>
          <w:p w14:paraId="3801B1D6"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227.400,00 </w:t>
            </w:r>
          </w:p>
        </w:tc>
        <w:tc>
          <w:tcPr>
            <w:tcW w:w="0" w:type="auto"/>
            <w:tcBorders>
              <w:top w:val="nil"/>
              <w:left w:val="nil"/>
              <w:bottom w:val="nil"/>
              <w:right w:val="nil"/>
            </w:tcBorders>
            <w:shd w:val="clear" w:color="auto" w:fill="auto"/>
            <w:noWrap/>
            <w:vAlign w:val="bottom"/>
            <w:hideMark/>
          </w:tcPr>
          <w:p w14:paraId="341032AA"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227.400,00 </w:t>
            </w:r>
          </w:p>
        </w:tc>
      </w:tr>
      <w:tr w:rsidR="00D60D2E" w:rsidRPr="00D60D2E" w14:paraId="44BBC62A" w14:textId="77777777" w:rsidTr="00D60D2E">
        <w:trPr>
          <w:trHeight w:val="288"/>
        </w:trPr>
        <w:tc>
          <w:tcPr>
            <w:tcW w:w="0" w:type="auto"/>
            <w:tcBorders>
              <w:top w:val="nil"/>
              <w:left w:val="single" w:sz="8" w:space="0" w:color="auto"/>
              <w:bottom w:val="nil"/>
              <w:right w:val="nil"/>
            </w:tcBorders>
            <w:shd w:val="clear" w:color="auto" w:fill="auto"/>
            <w:noWrap/>
            <w:vAlign w:val="bottom"/>
            <w:hideMark/>
          </w:tcPr>
          <w:p w14:paraId="48C74D8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nil"/>
              <w:right w:val="nil"/>
            </w:tcBorders>
            <w:shd w:val="clear" w:color="auto" w:fill="auto"/>
            <w:noWrap/>
            <w:vAlign w:val="bottom"/>
            <w:hideMark/>
          </w:tcPr>
          <w:p w14:paraId="20F4FEA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p>
        </w:tc>
        <w:tc>
          <w:tcPr>
            <w:tcW w:w="0" w:type="auto"/>
            <w:tcBorders>
              <w:top w:val="nil"/>
              <w:left w:val="nil"/>
              <w:bottom w:val="nil"/>
              <w:right w:val="nil"/>
            </w:tcBorders>
            <w:shd w:val="clear" w:color="auto" w:fill="auto"/>
            <w:noWrap/>
            <w:vAlign w:val="bottom"/>
            <w:hideMark/>
          </w:tcPr>
          <w:p w14:paraId="71D9BCEE"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4931F11E"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1BFBF314"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2BA8FE50"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0D3117CF"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2F6B2463"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3C5FA8AE"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3CD6F653"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1DB4A333"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35E59539"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439A804D"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1938E696"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36F2CF73"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1C0D4925"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r>
      <w:tr w:rsidR="00D60D2E" w:rsidRPr="00D60D2E" w14:paraId="28410106" w14:textId="77777777" w:rsidTr="00D60D2E">
        <w:trPr>
          <w:trHeight w:val="288"/>
        </w:trPr>
        <w:tc>
          <w:tcPr>
            <w:tcW w:w="0" w:type="auto"/>
            <w:tcBorders>
              <w:top w:val="nil"/>
              <w:left w:val="single" w:sz="8" w:space="0" w:color="auto"/>
              <w:bottom w:val="nil"/>
              <w:right w:val="nil"/>
            </w:tcBorders>
            <w:shd w:val="clear" w:color="auto" w:fill="auto"/>
            <w:noWrap/>
            <w:vAlign w:val="bottom"/>
            <w:hideMark/>
          </w:tcPr>
          <w:p w14:paraId="72AE1C29" w14:textId="77777777" w:rsidR="00D60D2E" w:rsidRPr="00D60D2E" w:rsidRDefault="00D60D2E" w:rsidP="00D60D2E">
            <w:pPr>
              <w:spacing w:after="0" w:line="240" w:lineRule="auto"/>
              <w:rPr>
                <w:rFonts w:ascii="Calibri" w:eastAsia="Times New Roman" w:hAnsi="Calibri" w:cs="Calibri"/>
                <w:b/>
                <w:bCs/>
                <w:color w:val="000000"/>
                <w:sz w:val="12"/>
                <w:szCs w:val="12"/>
                <w:lang w:eastAsia="es-EC"/>
              </w:rPr>
            </w:pPr>
            <w:r w:rsidRPr="00D60D2E">
              <w:rPr>
                <w:rFonts w:ascii="Calibri" w:eastAsia="Times New Roman" w:hAnsi="Calibri" w:cs="Calibri"/>
                <w:b/>
                <w:bCs/>
                <w:color w:val="000000"/>
                <w:sz w:val="12"/>
                <w:szCs w:val="12"/>
                <w:lang w:eastAsia="es-EC"/>
              </w:rPr>
              <w:t>INVERSIÓN (COMPONENTES Y ACTIVIDADES DEL MARCO LÓGICO)</w:t>
            </w:r>
          </w:p>
        </w:tc>
        <w:tc>
          <w:tcPr>
            <w:tcW w:w="0" w:type="auto"/>
            <w:tcBorders>
              <w:top w:val="nil"/>
              <w:left w:val="nil"/>
              <w:bottom w:val="nil"/>
              <w:right w:val="nil"/>
            </w:tcBorders>
            <w:shd w:val="clear" w:color="auto" w:fill="auto"/>
            <w:noWrap/>
            <w:vAlign w:val="bottom"/>
            <w:hideMark/>
          </w:tcPr>
          <w:p w14:paraId="1C7B481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14.774,58 </w:t>
            </w:r>
          </w:p>
        </w:tc>
        <w:tc>
          <w:tcPr>
            <w:tcW w:w="0" w:type="auto"/>
            <w:tcBorders>
              <w:top w:val="nil"/>
              <w:left w:val="nil"/>
              <w:bottom w:val="nil"/>
              <w:right w:val="nil"/>
            </w:tcBorders>
            <w:shd w:val="clear" w:color="auto" w:fill="auto"/>
            <w:noWrap/>
            <w:vAlign w:val="bottom"/>
            <w:hideMark/>
          </w:tcPr>
          <w:p w14:paraId="408A0D5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263.644,43 </w:t>
            </w:r>
          </w:p>
        </w:tc>
        <w:tc>
          <w:tcPr>
            <w:tcW w:w="0" w:type="auto"/>
            <w:tcBorders>
              <w:top w:val="nil"/>
              <w:left w:val="nil"/>
              <w:bottom w:val="nil"/>
              <w:right w:val="nil"/>
            </w:tcBorders>
            <w:shd w:val="clear" w:color="auto" w:fill="auto"/>
            <w:noWrap/>
            <w:vAlign w:val="bottom"/>
            <w:hideMark/>
          </w:tcPr>
          <w:p w14:paraId="0B2EEB7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621.140,14 </w:t>
            </w:r>
          </w:p>
        </w:tc>
        <w:tc>
          <w:tcPr>
            <w:tcW w:w="0" w:type="auto"/>
            <w:tcBorders>
              <w:top w:val="nil"/>
              <w:left w:val="nil"/>
              <w:bottom w:val="nil"/>
              <w:right w:val="nil"/>
            </w:tcBorders>
            <w:shd w:val="clear" w:color="auto" w:fill="auto"/>
            <w:noWrap/>
            <w:vAlign w:val="bottom"/>
            <w:hideMark/>
          </w:tcPr>
          <w:p w14:paraId="220D2AA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808.942,27 </w:t>
            </w:r>
          </w:p>
        </w:tc>
        <w:tc>
          <w:tcPr>
            <w:tcW w:w="0" w:type="auto"/>
            <w:tcBorders>
              <w:top w:val="nil"/>
              <w:left w:val="nil"/>
              <w:bottom w:val="nil"/>
              <w:right w:val="nil"/>
            </w:tcBorders>
            <w:shd w:val="clear" w:color="auto" w:fill="auto"/>
            <w:noWrap/>
            <w:vAlign w:val="bottom"/>
            <w:hideMark/>
          </w:tcPr>
          <w:p w14:paraId="6E29EF0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527.411,16 </w:t>
            </w:r>
          </w:p>
        </w:tc>
        <w:tc>
          <w:tcPr>
            <w:tcW w:w="0" w:type="auto"/>
            <w:tcBorders>
              <w:top w:val="nil"/>
              <w:left w:val="nil"/>
              <w:bottom w:val="nil"/>
              <w:right w:val="nil"/>
            </w:tcBorders>
            <w:shd w:val="clear" w:color="auto" w:fill="auto"/>
            <w:noWrap/>
            <w:vAlign w:val="bottom"/>
            <w:hideMark/>
          </w:tcPr>
          <w:p w14:paraId="59C3DFB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297.701,90 </w:t>
            </w:r>
          </w:p>
        </w:tc>
        <w:tc>
          <w:tcPr>
            <w:tcW w:w="0" w:type="auto"/>
            <w:tcBorders>
              <w:top w:val="nil"/>
              <w:left w:val="nil"/>
              <w:bottom w:val="nil"/>
              <w:right w:val="nil"/>
            </w:tcBorders>
            <w:shd w:val="clear" w:color="auto" w:fill="auto"/>
            <w:noWrap/>
            <w:vAlign w:val="bottom"/>
            <w:hideMark/>
          </w:tcPr>
          <w:p w14:paraId="4A6B742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2.641.181,01 </w:t>
            </w:r>
          </w:p>
        </w:tc>
        <w:tc>
          <w:tcPr>
            <w:tcW w:w="0" w:type="auto"/>
            <w:tcBorders>
              <w:top w:val="nil"/>
              <w:left w:val="nil"/>
              <w:bottom w:val="nil"/>
              <w:right w:val="nil"/>
            </w:tcBorders>
            <w:shd w:val="clear" w:color="auto" w:fill="auto"/>
            <w:noWrap/>
            <w:vAlign w:val="bottom"/>
            <w:hideMark/>
          </w:tcPr>
          <w:p w14:paraId="17531CB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6A813C3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7AF022D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6975343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506054E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1AA5191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4AC0BA5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5EBA32F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r>
      <w:tr w:rsidR="00D60D2E" w:rsidRPr="00D60D2E" w14:paraId="660E4B3A" w14:textId="77777777" w:rsidTr="00D60D2E">
        <w:trPr>
          <w:trHeight w:val="300"/>
        </w:trPr>
        <w:tc>
          <w:tcPr>
            <w:tcW w:w="0" w:type="auto"/>
            <w:tcBorders>
              <w:top w:val="nil"/>
              <w:left w:val="single" w:sz="8" w:space="0" w:color="auto"/>
              <w:bottom w:val="nil"/>
              <w:right w:val="nil"/>
            </w:tcBorders>
            <w:shd w:val="clear" w:color="auto" w:fill="auto"/>
            <w:noWrap/>
            <w:vAlign w:val="bottom"/>
            <w:hideMark/>
          </w:tcPr>
          <w:p w14:paraId="60D102DE" w14:textId="77777777" w:rsidR="00D60D2E" w:rsidRPr="00D60D2E" w:rsidRDefault="00D60D2E" w:rsidP="00D60D2E">
            <w:pPr>
              <w:spacing w:after="0" w:line="240" w:lineRule="auto"/>
              <w:rPr>
                <w:rFonts w:ascii="Calibri" w:eastAsia="Times New Roman" w:hAnsi="Calibri" w:cs="Calibri"/>
                <w:b/>
                <w:bCs/>
                <w:color w:val="000000"/>
                <w:sz w:val="12"/>
                <w:szCs w:val="12"/>
                <w:lang w:eastAsia="es-EC"/>
              </w:rPr>
            </w:pPr>
            <w:r w:rsidRPr="00D60D2E">
              <w:rPr>
                <w:rFonts w:ascii="Calibri" w:eastAsia="Times New Roman" w:hAnsi="Calibri" w:cs="Calibri"/>
                <w:b/>
                <w:bCs/>
                <w:color w:val="000000"/>
                <w:sz w:val="12"/>
                <w:szCs w:val="12"/>
                <w:lang w:eastAsia="es-EC"/>
              </w:rPr>
              <w:t>Gastos</w:t>
            </w:r>
          </w:p>
        </w:tc>
        <w:tc>
          <w:tcPr>
            <w:tcW w:w="0" w:type="auto"/>
            <w:tcBorders>
              <w:top w:val="nil"/>
              <w:left w:val="nil"/>
              <w:bottom w:val="nil"/>
              <w:right w:val="nil"/>
            </w:tcBorders>
            <w:shd w:val="clear" w:color="auto" w:fill="auto"/>
            <w:noWrap/>
            <w:vAlign w:val="bottom"/>
            <w:hideMark/>
          </w:tcPr>
          <w:p w14:paraId="4D67E79F" w14:textId="77777777" w:rsidR="00D60D2E" w:rsidRPr="00D60D2E" w:rsidRDefault="00D60D2E" w:rsidP="00D60D2E">
            <w:pPr>
              <w:spacing w:after="0" w:line="240" w:lineRule="auto"/>
              <w:rPr>
                <w:rFonts w:ascii="Calibri" w:eastAsia="Times New Roman" w:hAnsi="Calibri" w:cs="Calibri"/>
                <w:b/>
                <w:bCs/>
                <w:color w:val="000000"/>
                <w:sz w:val="12"/>
                <w:szCs w:val="12"/>
                <w:lang w:eastAsia="es-EC"/>
              </w:rPr>
            </w:pPr>
          </w:p>
        </w:tc>
        <w:tc>
          <w:tcPr>
            <w:tcW w:w="0" w:type="auto"/>
            <w:tcBorders>
              <w:top w:val="nil"/>
              <w:left w:val="nil"/>
              <w:bottom w:val="nil"/>
              <w:right w:val="nil"/>
            </w:tcBorders>
            <w:shd w:val="clear" w:color="auto" w:fill="auto"/>
            <w:noWrap/>
            <w:vAlign w:val="bottom"/>
            <w:hideMark/>
          </w:tcPr>
          <w:p w14:paraId="262DAAF6"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41045DEF"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5F946700"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5B404849"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4C21F7D4"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4E2D5BA7"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3D21F521"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5AC5B633"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6DEB99BE"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0275F85A"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02C53E96"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63FEA236"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3AA1D86A"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0" w:type="auto"/>
            <w:tcBorders>
              <w:top w:val="nil"/>
              <w:left w:val="nil"/>
              <w:bottom w:val="nil"/>
              <w:right w:val="nil"/>
            </w:tcBorders>
            <w:shd w:val="clear" w:color="auto" w:fill="auto"/>
            <w:noWrap/>
            <w:vAlign w:val="bottom"/>
            <w:hideMark/>
          </w:tcPr>
          <w:p w14:paraId="6DF834CB"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r>
      <w:tr w:rsidR="00D60D2E" w:rsidRPr="00D60D2E" w14:paraId="1365BDB5" w14:textId="77777777" w:rsidTr="00D60D2E">
        <w:trPr>
          <w:trHeight w:val="295"/>
        </w:trPr>
        <w:tc>
          <w:tcPr>
            <w:tcW w:w="0" w:type="auto"/>
            <w:tcBorders>
              <w:top w:val="single" w:sz="8" w:space="0" w:color="auto"/>
              <w:left w:val="single" w:sz="8" w:space="0" w:color="auto"/>
              <w:bottom w:val="single" w:sz="8" w:space="0" w:color="auto"/>
              <w:right w:val="single" w:sz="4" w:space="0" w:color="auto"/>
            </w:tcBorders>
            <w:shd w:val="clear" w:color="000000" w:fill="DCE6F1"/>
            <w:vAlign w:val="bottom"/>
            <w:hideMark/>
          </w:tcPr>
          <w:p w14:paraId="4D68D719"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COMPONENTE 1. - Diseñar e implementar el modelo de gestión de la PGE.</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4A10AA8E"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14.774,58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7C6BE692"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172.559,11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527958D6"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510.764,28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1451F5DE"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603.735,72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2751FD3F"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449.341,39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0F6D2B30"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297.701,90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6A1E86FC"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2.390.637,04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302D5461"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560AD71E"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78EB777B"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7C53A4DD"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2FE8A3CE"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0AE0D082"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6DABC751"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center"/>
            <w:hideMark/>
          </w:tcPr>
          <w:p w14:paraId="720A6230"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r>
      <w:tr w:rsidR="00D60D2E" w:rsidRPr="00D60D2E" w14:paraId="09475F18" w14:textId="77777777" w:rsidTr="00D60D2E">
        <w:trPr>
          <w:trHeight w:val="389"/>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12B7C6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1.1. -  Realizar un diagnóstico situacional en profundidad, propuesta de modelo de gestión e instrumentos para su redefinición.</w:t>
            </w:r>
          </w:p>
        </w:tc>
        <w:tc>
          <w:tcPr>
            <w:tcW w:w="0" w:type="auto"/>
            <w:tcBorders>
              <w:top w:val="nil"/>
              <w:left w:val="nil"/>
              <w:bottom w:val="single" w:sz="4" w:space="0" w:color="auto"/>
              <w:right w:val="single" w:sz="4" w:space="0" w:color="auto"/>
            </w:tcBorders>
            <w:shd w:val="clear" w:color="auto" w:fill="auto"/>
            <w:noWrap/>
            <w:vAlign w:val="center"/>
            <w:hideMark/>
          </w:tcPr>
          <w:p w14:paraId="3C4F74D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F4279F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83.965,52 </w:t>
            </w:r>
          </w:p>
        </w:tc>
        <w:tc>
          <w:tcPr>
            <w:tcW w:w="0" w:type="auto"/>
            <w:tcBorders>
              <w:top w:val="nil"/>
              <w:left w:val="nil"/>
              <w:bottom w:val="single" w:sz="4" w:space="0" w:color="auto"/>
              <w:right w:val="single" w:sz="4" w:space="0" w:color="auto"/>
            </w:tcBorders>
            <w:shd w:val="clear" w:color="auto" w:fill="auto"/>
            <w:noWrap/>
            <w:vAlign w:val="center"/>
            <w:hideMark/>
          </w:tcPr>
          <w:p w14:paraId="444E612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207.829,32 </w:t>
            </w:r>
          </w:p>
        </w:tc>
        <w:tc>
          <w:tcPr>
            <w:tcW w:w="0" w:type="auto"/>
            <w:tcBorders>
              <w:top w:val="nil"/>
              <w:left w:val="nil"/>
              <w:bottom w:val="single" w:sz="4" w:space="0" w:color="auto"/>
              <w:right w:val="single" w:sz="4" w:space="0" w:color="auto"/>
            </w:tcBorders>
            <w:shd w:val="clear" w:color="auto" w:fill="auto"/>
            <w:noWrap/>
            <w:vAlign w:val="center"/>
            <w:hideMark/>
          </w:tcPr>
          <w:p w14:paraId="0DF2269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487.409,56 </w:t>
            </w:r>
          </w:p>
        </w:tc>
        <w:tc>
          <w:tcPr>
            <w:tcW w:w="0" w:type="auto"/>
            <w:tcBorders>
              <w:top w:val="nil"/>
              <w:left w:val="nil"/>
              <w:bottom w:val="single" w:sz="4" w:space="0" w:color="auto"/>
              <w:right w:val="single" w:sz="4" w:space="0" w:color="auto"/>
            </w:tcBorders>
            <w:shd w:val="clear" w:color="auto" w:fill="auto"/>
            <w:noWrap/>
            <w:vAlign w:val="center"/>
            <w:hideMark/>
          </w:tcPr>
          <w:p w14:paraId="1DBFD17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62D29A5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476ED1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10.563,99 </w:t>
            </w:r>
          </w:p>
        </w:tc>
        <w:tc>
          <w:tcPr>
            <w:tcW w:w="0" w:type="auto"/>
            <w:tcBorders>
              <w:top w:val="nil"/>
              <w:left w:val="nil"/>
              <w:bottom w:val="single" w:sz="4" w:space="0" w:color="auto"/>
              <w:right w:val="single" w:sz="4" w:space="0" w:color="auto"/>
            </w:tcBorders>
            <w:shd w:val="clear" w:color="auto" w:fill="auto"/>
            <w:noWrap/>
            <w:vAlign w:val="center"/>
            <w:hideMark/>
          </w:tcPr>
          <w:p w14:paraId="2172792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3F9D9E7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1CD3F20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09F99B8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47CFD2A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0AD1E16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30C1333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ED6960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0EA5B185" w14:textId="77777777" w:rsidTr="00D60D2E">
        <w:trPr>
          <w:trHeight w:val="9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217E4A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1.2. - Implementar el Plan de gestión del cambio.</w:t>
            </w:r>
          </w:p>
        </w:tc>
        <w:tc>
          <w:tcPr>
            <w:tcW w:w="0" w:type="auto"/>
            <w:tcBorders>
              <w:top w:val="nil"/>
              <w:left w:val="nil"/>
              <w:bottom w:val="single" w:sz="4" w:space="0" w:color="auto"/>
              <w:right w:val="single" w:sz="4" w:space="0" w:color="auto"/>
            </w:tcBorders>
            <w:shd w:val="clear" w:color="auto" w:fill="auto"/>
            <w:noWrap/>
            <w:vAlign w:val="center"/>
            <w:hideMark/>
          </w:tcPr>
          <w:p w14:paraId="39AA9DD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617671D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23.270,24 </w:t>
            </w:r>
          </w:p>
        </w:tc>
        <w:tc>
          <w:tcPr>
            <w:tcW w:w="0" w:type="auto"/>
            <w:tcBorders>
              <w:top w:val="nil"/>
              <w:left w:val="nil"/>
              <w:bottom w:val="single" w:sz="4" w:space="0" w:color="auto"/>
              <w:right w:val="single" w:sz="4" w:space="0" w:color="auto"/>
            </w:tcBorders>
            <w:shd w:val="clear" w:color="auto" w:fill="auto"/>
            <w:noWrap/>
            <w:vAlign w:val="center"/>
            <w:hideMark/>
          </w:tcPr>
          <w:p w14:paraId="17FAF19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21.840,00 </w:t>
            </w:r>
          </w:p>
        </w:tc>
        <w:tc>
          <w:tcPr>
            <w:tcW w:w="0" w:type="auto"/>
            <w:tcBorders>
              <w:top w:val="nil"/>
              <w:left w:val="nil"/>
              <w:bottom w:val="single" w:sz="4" w:space="0" w:color="auto"/>
              <w:right w:val="single" w:sz="4" w:space="0" w:color="auto"/>
            </w:tcBorders>
            <w:shd w:val="clear" w:color="auto" w:fill="auto"/>
            <w:noWrap/>
            <w:vAlign w:val="center"/>
            <w:hideMark/>
          </w:tcPr>
          <w:p w14:paraId="1112300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29.960,00 </w:t>
            </w:r>
          </w:p>
        </w:tc>
        <w:tc>
          <w:tcPr>
            <w:tcW w:w="0" w:type="auto"/>
            <w:tcBorders>
              <w:top w:val="nil"/>
              <w:left w:val="nil"/>
              <w:bottom w:val="single" w:sz="4" w:space="0" w:color="auto"/>
              <w:right w:val="single" w:sz="4" w:space="0" w:color="auto"/>
            </w:tcBorders>
            <w:shd w:val="clear" w:color="auto" w:fill="auto"/>
            <w:noWrap/>
            <w:vAlign w:val="center"/>
            <w:hideMark/>
          </w:tcPr>
          <w:p w14:paraId="01CA3D8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6A7904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557CA8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45.000,00 </w:t>
            </w:r>
          </w:p>
        </w:tc>
        <w:tc>
          <w:tcPr>
            <w:tcW w:w="0" w:type="auto"/>
            <w:tcBorders>
              <w:top w:val="nil"/>
              <w:left w:val="nil"/>
              <w:bottom w:val="single" w:sz="4" w:space="0" w:color="auto"/>
              <w:right w:val="single" w:sz="4" w:space="0" w:color="auto"/>
            </w:tcBorders>
            <w:shd w:val="clear" w:color="auto" w:fill="auto"/>
            <w:noWrap/>
            <w:vAlign w:val="center"/>
            <w:hideMark/>
          </w:tcPr>
          <w:p w14:paraId="3401140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286B185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2F92288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1529E29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02E5A38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3EBE42A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240F389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6FACD5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5B7DE7A9" w14:textId="77777777" w:rsidTr="00D60D2E">
        <w:trPr>
          <w:trHeight w:val="222"/>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598067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1.3. - Implementar un Sistema Informático Integrado</w:t>
            </w:r>
          </w:p>
        </w:tc>
        <w:tc>
          <w:tcPr>
            <w:tcW w:w="0" w:type="auto"/>
            <w:tcBorders>
              <w:top w:val="nil"/>
              <w:left w:val="nil"/>
              <w:bottom w:val="single" w:sz="4" w:space="0" w:color="auto"/>
              <w:right w:val="single" w:sz="4" w:space="0" w:color="auto"/>
            </w:tcBorders>
            <w:shd w:val="clear" w:color="auto" w:fill="auto"/>
            <w:noWrap/>
            <w:vAlign w:val="center"/>
            <w:hideMark/>
          </w:tcPr>
          <w:p w14:paraId="343D0A8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4CA9EB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0C377DA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7DBC80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5595B15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111.568,80 </w:t>
            </w:r>
          </w:p>
        </w:tc>
        <w:tc>
          <w:tcPr>
            <w:tcW w:w="0" w:type="auto"/>
            <w:tcBorders>
              <w:top w:val="nil"/>
              <w:left w:val="nil"/>
              <w:bottom w:val="single" w:sz="4" w:space="0" w:color="auto"/>
              <w:right w:val="single" w:sz="4" w:space="0" w:color="auto"/>
            </w:tcBorders>
            <w:shd w:val="clear" w:color="auto" w:fill="auto"/>
            <w:noWrap/>
            <w:vAlign w:val="center"/>
            <w:hideMark/>
          </w:tcPr>
          <w:p w14:paraId="6AC27AE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229.114,50 </w:t>
            </w:r>
          </w:p>
        </w:tc>
        <w:tc>
          <w:tcPr>
            <w:tcW w:w="0" w:type="auto"/>
            <w:tcBorders>
              <w:top w:val="nil"/>
              <w:left w:val="nil"/>
              <w:bottom w:val="single" w:sz="4" w:space="0" w:color="auto"/>
              <w:right w:val="single" w:sz="4" w:space="0" w:color="auto"/>
            </w:tcBorders>
            <w:shd w:val="clear" w:color="auto" w:fill="auto"/>
            <w:noWrap/>
            <w:vAlign w:val="center"/>
            <w:hideMark/>
          </w:tcPr>
          <w:p w14:paraId="41F0DCC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1.995.011,21 </w:t>
            </w:r>
          </w:p>
        </w:tc>
        <w:tc>
          <w:tcPr>
            <w:tcW w:w="0" w:type="auto"/>
            <w:tcBorders>
              <w:top w:val="nil"/>
              <w:left w:val="nil"/>
              <w:bottom w:val="single" w:sz="4" w:space="0" w:color="auto"/>
              <w:right w:val="single" w:sz="4" w:space="0" w:color="auto"/>
            </w:tcBorders>
            <w:shd w:val="clear" w:color="auto" w:fill="auto"/>
            <w:noWrap/>
            <w:vAlign w:val="center"/>
            <w:hideMark/>
          </w:tcPr>
          <w:p w14:paraId="5051E23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705FDC0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2888CB0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22E2180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56C06C6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2F0B9D8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6BA75CB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E9DEC4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7B8DBBAE" w14:textId="77777777" w:rsidTr="00D60D2E">
        <w:trPr>
          <w:trHeight w:val="7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82D1B0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1.4. - Fortalecer el Hardware para soportar el nuevo sistema integrado</w:t>
            </w:r>
          </w:p>
        </w:tc>
        <w:tc>
          <w:tcPr>
            <w:tcW w:w="0" w:type="auto"/>
            <w:tcBorders>
              <w:top w:val="nil"/>
              <w:left w:val="nil"/>
              <w:bottom w:val="single" w:sz="4" w:space="0" w:color="auto"/>
              <w:right w:val="single" w:sz="4" w:space="0" w:color="auto"/>
            </w:tcBorders>
            <w:shd w:val="clear" w:color="auto" w:fill="auto"/>
            <w:noWrap/>
            <w:vAlign w:val="center"/>
            <w:hideMark/>
          </w:tcPr>
          <w:p w14:paraId="4571E2A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3D122DF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D792C4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17.360,00 </w:t>
            </w:r>
          </w:p>
        </w:tc>
        <w:tc>
          <w:tcPr>
            <w:tcW w:w="0" w:type="auto"/>
            <w:tcBorders>
              <w:top w:val="nil"/>
              <w:left w:val="nil"/>
              <w:bottom w:val="single" w:sz="4" w:space="0" w:color="auto"/>
              <w:right w:val="single" w:sz="4" w:space="0" w:color="auto"/>
            </w:tcBorders>
            <w:shd w:val="clear" w:color="auto" w:fill="auto"/>
            <w:noWrap/>
            <w:vAlign w:val="center"/>
            <w:hideMark/>
          </w:tcPr>
          <w:p w14:paraId="2CA45C5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3877201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D16EBD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0361AC7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5522D8A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34DF579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772F0CA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630608C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798AF86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63697AC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60976CC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C34AAE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4B54563D" w14:textId="77777777" w:rsidTr="00D60D2E">
        <w:trPr>
          <w:trHeight w:val="17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765F8E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1.4. - Fortalecer el Hardware para soportar el nuevo sistema integrado</w:t>
            </w:r>
          </w:p>
        </w:tc>
        <w:tc>
          <w:tcPr>
            <w:tcW w:w="0" w:type="auto"/>
            <w:tcBorders>
              <w:top w:val="nil"/>
              <w:left w:val="nil"/>
              <w:bottom w:val="single" w:sz="4" w:space="0" w:color="auto"/>
              <w:right w:val="single" w:sz="4" w:space="0" w:color="auto"/>
            </w:tcBorders>
            <w:shd w:val="clear" w:color="auto" w:fill="auto"/>
            <w:noWrap/>
            <w:vAlign w:val="center"/>
            <w:hideMark/>
          </w:tcPr>
          <w:p w14:paraId="6E0A5E9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EDC2BF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F904E1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177.368,80 </w:t>
            </w:r>
          </w:p>
        </w:tc>
        <w:tc>
          <w:tcPr>
            <w:tcW w:w="0" w:type="auto"/>
            <w:tcBorders>
              <w:top w:val="nil"/>
              <w:left w:val="nil"/>
              <w:bottom w:val="single" w:sz="4" w:space="0" w:color="auto"/>
              <w:right w:val="single" w:sz="4" w:space="0" w:color="auto"/>
            </w:tcBorders>
            <w:shd w:val="clear" w:color="auto" w:fill="auto"/>
            <w:noWrap/>
            <w:vAlign w:val="center"/>
            <w:hideMark/>
          </w:tcPr>
          <w:p w14:paraId="5E0FD51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06FABF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237.012,16 </w:t>
            </w:r>
          </w:p>
        </w:tc>
        <w:tc>
          <w:tcPr>
            <w:tcW w:w="0" w:type="auto"/>
            <w:tcBorders>
              <w:top w:val="nil"/>
              <w:left w:val="nil"/>
              <w:bottom w:val="single" w:sz="4" w:space="0" w:color="auto"/>
              <w:right w:val="single" w:sz="4" w:space="0" w:color="auto"/>
            </w:tcBorders>
            <w:shd w:val="clear" w:color="auto" w:fill="auto"/>
            <w:noWrap/>
            <w:vAlign w:val="center"/>
            <w:hideMark/>
          </w:tcPr>
          <w:p w14:paraId="7724712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C14CF6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218.575,92 </w:t>
            </w:r>
          </w:p>
        </w:tc>
        <w:tc>
          <w:tcPr>
            <w:tcW w:w="0" w:type="auto"/>
            <w:tcBorders>
              <w:top w:val="nil"/>
              <w:left w:val="nil"/>
              <w:bottom w:val="single" w:sz="4" w:space="0" w:color="auto"/>
              <w:right w:val="single" w:sz="4" w:space="0" w:color="auto"/>
            </w:tcBorders>
            <w:shd w:val="clear" w:color="auto" w:fill="auto"/>
            <w:noWrap/>
            <w:vAlign w:val="center"/>
            <w:hideMark/>
          </w:tcPr>
          <w:p w14:paraId="5564DF0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19CE10F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116E081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4538EF7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34484A6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545C246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6DED06A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924942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23FBB45E" w14:textId="77777777" w:rsidTr="00D60D2E">
        <w:trPr>
          <w:trHeight w:val="1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D7D333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1.5. - Administración del Proyecto</w:t>
            </w:r>
          </w:p>
        </w:tc>
        <w:tc>
          <w:tcPr>
            <w:tcW w:w="0" w:type="auto"/>
            <w:tcBorders>
              <w:top w:val="nil"/>
              <w:left w:val="nil"/>
              <w:bottom w:val="single" w:sz="4" w:space="0" w:color="auto"/>
              <w:right w:val="single" w:sz="4" w:space="0" w:color="auto"/>
            </w:tcBorders>
            <w:shd w:val="clear" w:color="auto" w:fill="auto"/>
            <w:noWrap/>
            <w:vAlign w:val="center"/>
            <w:hideMark/>
          </w:tcPr>
          <w:p w14:paraId="47234CC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14.774,58 </w:t>
            </w:r>
          </w:p>
        </w:tc>
        <w:tc>
          <w:tcPr>
            <w:tcW w:w="0" w:type="auto"/>
            <w:tcBorders>
              <w:top w:val="nil"/>
              <w:left w:val="nil"/>
              <w:bottom w:val="single" w:sz="4" w:space="0" w:color="auto"/>
              <w:right w:val="single" w:sz="4" w:space="0" w:color="auto"/>
            </w:tcBorders>
            <w:shd w:val="clear" w:color="auto" w:fill="auto"/>
            <w:noWrap/>
            <w:vAlign w:val="center"/>
            <w:hideMark/>
          </w:tcPr>
          <w:p w14:paraId="304643B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768,61 </w:t>
            </w:r>
          </w:p>
        </w:tc>
        <w:tc>
          <w:tcPr>
            <w:tcW w:w="0" w:type="auto"/>
            <w:tcBorders>
              <w:top w:val="nil"/>
              <w:left w:val="nil"/>
              <w:bottom w:val="single" w:sz="4" w:space="0" w:color="auto"/>
              <w:right w:val="single" w:sz="4" w:space="0" w:color="auto"/>
            </w:tcBorders>
            <w:shd w:val="clear" w:color="auto" w:fill="auto"/>
            <w:noWrap/>
            <w:vAlign w:val="center"/>
            <w:hideMark/>
          </w:tcPr>
          <w:p w14:paraId="12A19FC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5D7A466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36EC3D2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FF2E98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4F6544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390D3A3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4B7FD9F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02DA1EE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04E0E1B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423FA96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1F52E4A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14:paraId="4A1A71B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38A842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691A895D" w14:textId="77777777" w:rsidTr="00D60D2E">
        <w:trPr>
          <w:trHeight w:val="140"/>
        </w:trPr>
        <w:tc>
          <w:tcPr>
            <w:tcW w:w="0" w:type="auto"/>
            <w:tcBorders>
              <w:top w:val="nil"/>
              <w:left w:val="single" w:sz="8" w:space="0" w:color="auto"/>
              <w:bottom w:val="nil"/>
              <w:right w:val="single" w:sz="4" w:space="0" w:color="auto"/>
            </w:tcBorders>
            <w:shd w:val="clear" w:color="auto" w:fill="auto"/>
            <w:vAlign w:val="center"/>
            <w:hideMark/>
          </w:tcPr>
          <w:p w14:paraId="0A432DA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1.5. - Administración del Proyecto</w:t>
            </w:r>
          </w:p>
        </w:tc>
        <w:tc>
          <w:tcPr>
            <w:tcW w:w="0" w:type="auto"/>
            <w:tcBorders>
              <w:top w:val="nil"/>
              <w:left w:val="nil"/>
              <w:bottom w:val="single" w:sz="4" w:space="0" w:color="auto"/>
              <w:right w:val="single" w:sz="4" w:space="0" w:color="auto"/>
            </w:tcBorders>
            <w:shd w:val="clear" w:color="auto" w:fill="auto"/>
            <w:noWrap/>
            <w:vAlign w:val="center"/>
            <w:hideMark/>
          </w:tcPr>
          <w:p w14:paraId="4E3A24C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7A27F8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64.554,74 </w:t>
            </w:r>
          </w:p>
        </w:tc>
        <w:tc>
          <w:tcPr>
            <w:tcW w:w="0" w:type="auto"/>
            <w:tcBorders>
              <w:top w:val="nil"/>
              <w:left w:val="nil"/>
              <w:bottom w:val="single" w:sz="4" w:space="0" w:color="auto"/>
              <w:right w:val="single" w:sz="4" w:space="0" w:color="auto"/>
            </w:tcBorders>
            <w:shd w:val="clear" w:color="auto" w:fill="auto"/>
            <w:noWrap/>
            <w:vAlign w:val="center"/>
            <w:hideMark/>
          </w:tcPr>
          <w:p w14:paraId="20021FB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86.366,16 </w:t>
            </w:r>
          </w:p>
        </w:tc>
        <w:tc>
          <w:tcPr>
            <w:tcW w:w="0" w:type="auto"/>
            <w:tcBorders>
              <w:top w:val="nil"/>
              <w:left w:val="nil"/>
              <w:bottom w:val="single" w:sz="4" w:space="0" w:color="auto"/>
              <w:right w:val="single" w:sz="4" w:space="0" w:color="auto"/>
            </w:tcBorders>
            <w:shd w:val="clear" w:color="auto" w:fill="auto"/>
            <w:noWrap/>
            <w:vAlign w:val="center"/>
            <w:hideMark/>
          </w:tcPr>
          <w:p w14:paraId="0C87EE5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86.366,16 </w:t>
            </w:r>
          </w:p>
        </w:tc>
        <w:tc>
          <w:tcPr>
            <w:tcW w:w="0" w:type="auto"/>
            <w:tcBorders>
              <w:top w:val="nil"/>
              <w:left w:val="nil"/>
              <w:bottom w:val="single" w:sz="4" w:space="0" w:color="auto"/>
              <w:right w:val="single" w:sz="4" w:space="0" w:color="auto"/>
            </w:tcBorders>
            <w:shd w:val="clear" w:color="auto" w:fill="auto"/>
            <w:noWrap/>
            <w:vAlign w:val="center"/>
            <w:hideMark/>
          </w:tcPr>
          <w:p w14:paraId="55CEB22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100.760,43 </w:t>
            </w:r>
          </w:p>
        </w:tc>
        <w:tc>
          <w:tcPr>
            <w:tcW w:w="0" w:type="auto"/>
            <w:tcBorders>
              <w:top w:val="nil"/>
              <w:left w:val="nil"/>
              <w:bottom w:val="single" w:sz="4" w:space="0" w:color="auto"/>
              <w:right w:val="single" w:sz="4" w:space="0" w:color="auto"/>
            </w:tcBorders>
            <w:shd w:val="clear" w:color="auto" w:fill="auto"/>
            <w:noWrap/>
            <w:vAlign w:val="center"/>
            <w:hideMark/>
          </w:tcPr>
          <w:p w14:paraId="75947CD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68.587,40 </w:t>
            </w:r>
          </w:p>
        </w:tc>
        <w:tc>
          <w:tcPr>
            <w:tcW w:w="0" w:type="auto"/>
            <w:tcBorders>
              <w:top w:val="nil"/>
              <w:left w:val="nil"/>
              <w:bottom w:val="single" w:sz="4" w:space="0" w:color="auto"/>
              <w:right w:val="single" w:sz="4" w:space="0" w:color="auto"/>
            </w:tcBorders>
            <w:shd w:val="clear" w:color="auto" w:fill="auto"/>
            <w:noWrap/>
            <w:vAlign w:val="center"/>
            <w:hideMark/>
          </w:tcPr>
          <w:p w14:paraId="5C874B8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121.485,91 </w:t>
            </w:r>
          </w:p>
        </w:tc>
        <w:tc>
          <w:tcPr>
            <w:tcW w:w="0" w:type="auto"/>
            <w:tcBorders>
              <w:top w:val="nil"/>
              <w:left w:val="nil"/>
              <w:bottom w:val="nil"/>
              <w:right w:val="single" w:sz="4" w:space="0" w:color="auto"/>
            </w:tcBorders>
            <w:shd w:val="clear" w:color="auto" w:fill="auto"/>
            <w:noWrap/>
            <w:vAlign w:val="center"/>
            <w:hideMark/>
          </w:tcPr>
          <w:p w14:paraId="4D69760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center"/>
            <w:hideMark/>
          </w:tcPr>
          <w:p w14:paraId="61E29BC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center"/>
            <w:hideMark/>
          </w:tcPr>
          <w:p w14:paraId="4D7FE17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center"/>
            <w:hideMark/>
          </w:tcPr>
          <w:p w14:paraId="3DF94B7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center"/>
            <w:hideMark/>
          </w:tcPr>
          <w:p w14:paraId="1FD1587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center"/>
            <w:hideMark/>
          </w:tcPr>
          <w:p w14:paraId="3D3BC29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center"/>
            <w:hideMark/>
          </w:tcPr>
          <w:p w14:paraId="38A41FC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0B62D1E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27BF8A21" w14:textId="77777777" w:rsidTr="00D60D2E">
        <w:trPr>
          <w:trHeight w:val="300"/>
        </w:trPr>
        <w:tc>
          <w:tcPr>
            <w:tcW w:w="0" w:type="auto"/>
            <w:tcBorders>
              <w:top w:val="single" w:sz="8" w:space="0" w:color="auto"/>
              <w:left w:val="single" w:sz="8" w:space="0" w:color="auto"/>
              <w:bottom w:val="single" w:sz="8" w:space="0" w:color="auto"/>
              <w:right w:val="single" w:sz="4" w:space="0" w:color="auto"/>
            </w:tcBorders>
            <w:shd w:val="clear" w:color="000000" w:fill="DCE6F1"/>
            <w:noWrap/>
            <w:vAlign w:val="bottom"/>
            <w:hideMark/>
          </w:tcPr>
          <w:p w14:paraId="3A14B2D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COMPONENTE 2. - Fortalecer la defensa legal del Estado</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471CC355"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357E71B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14.813,70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4EDC56A9"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90.375,86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75F5768B"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47.771,50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64D1BAF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2.399,06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5CFD808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04396244"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287B714B"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22B612A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3DF56FC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0BCEBFA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159A20CA"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54E899AF"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7A5CA02B"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4E798A68"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r>
      <w:tr w:rsidR="00D60D2E" w:rsidRPr="00D60D2E" w14:paraId="1AB172CB" w14:textId="77777777" w:rsidTr="00D60D2E">
        <w:trPr>
          <w:trHeight w:val="371"/>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A22DF5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2.1. - Capacitar a los funcionarios de la PGE en temas jurídicos y gestión de casos orales</w:t>
            </w:r>
          </w:p>
        </w:tc>
        <w:tc>
          <w:tcPr>
            <w:tcW w:w="0" w:type="auto"/>
            <w:tcBorders>
              <w:top w:val="nil"/>
              <w:left w:val="nil"/>
              <w:bottom w:val="single" w:sz="4" w:space="0" w:color="auto"/>
              <w:right w:val="single" w:sz="4" w:space="0" w:color="auto"/>
            </w:tcBorders>
            <w:shd w:val="clear" w:color="auto" w:fill="auto"/>
            <w:noWrap/>
            <w:vAlign w:val="bottom"/>
            <w:hideMark/>
          </w:tcPr>
          <w:p w14:paraId="26DFE8A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6ECF78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14.813,70 </w:t>
            </w:r>
          </w:p>
        </w:tc>
        <w:tc>
          <w:tcPr>
            <w:tcW w:w="0" w:type="auto"/>
            <w:tcBorders>
              <w:top w:val="nil"/>
              <w:left w:val="nil"/>
              <w:bottom w:val="single" w:sz="4" w:space="0" w:color="auto"/>
              <w:right w:val="single" w:sz="4" w:space="0" w:color="auto"/>
            </w:tcBorders>
            <w:shd w:val="clear" w:color="auto" w:fill="auto"/>
            <w:noWrap/>
            <w:vAlign w:val="bottom"/>
            <w:hideMark/>
          </w:tcPr>
          <w:p w14:paraId="7BDFE97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56.542,12 </w:t>
            </w:r>
          </w:p>
        </w:tc>
        <w:tc>
          <w:tcPr>
            <w:tcW w:w="0" w:type="auto"/>
            <w:tcBorders>
              <w:top w:val="nil"/>
              <w:left w:val="nil"/>
              <w:bottom w:val="single" w:sz="4" w:space="0" w:color="auto"/>
              <w:right w:val="single" w:sz="4" w:space="0" w:color="auto"/>
            </w:tcBorders>
            <w:shd w:val="clear" w:color="auto" w:fill="auto"/>
            <w:noWrap/>
            <w:vAlign w:val="bottom"/>
            <w:hideMark/>
          </w:tcPr>
          <w:p w14:paraId="580CD07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11.995,30 </w:t>
            </w:r>
          </w:p>
        </w:tc>
        <w:tc>
          <w:tcPr>
            <w:tcW w:w="0" w:type="auto"/>
            <w:tcBorders>
              <w:top w:val="nil"/>
              <w:left w:val="nil"/>
              <w:bottom w:val="single" w:sz="4" w:space="0" w:color="auto"/>
              <w:right w:val="single" w:sz="4" w:space="0" w:color="auto"/>
            </w:tcBorders>
            <w:shd w:val="clear" w:color="auto" w:fill="auto"/>
            <w:noWrap/>
            <w:vAlign w:val="center"/>
            <w:hideMark/>
          </w:tcPr>
          <w:p w14:paraId="7EA5B19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2.399,06 </w:t>
            </w:r>
          </w:p>
        </w:tc>
        <w:tc>
          <w:tcPr>
            <w:tcW w:w="0" w:type="auto"/>
            <w:tcBorders>
              <w:top w:val="nil"/>
              <w:left w:val="nil"/>
              <w:bottom w:val="single" w:sz="4" w:space="0" w:color="auto"/>
              <w:right w:val="single" w:sz="4" w:space="0" w:color="auto"/>
            </w:tcBorders>
            <w:shd w:val="clear" w:color="auto" w:fill="auto"/>
            <w:noWrap/>
            <w:vAlign w:val="center"/>
            <w:hideMark/>
          </w:tcPr>
          <w:p w14:paraId="359B5B6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40D6A9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1BEC7D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F06858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83CC1B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DE05C2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33B1EE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E1C5CC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11F28C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36D7F1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6F0F2B5F" w14:textId="77777777" w:rsidTr="00D60D2E">
        <w:trPr>
          <w:trHeight w:val="267"/>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48D9CA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2.2. - Brindar una capacitación especializada en jurisprudencia internacional</w:t>
            </w:r>
          </w:p>
        </w:tc>
        <w:tc>
          <w:tcPr>
            <w:tcW w:w="0" w:type="auto"/>
            <w:tcBorders>
              <w:top w:val="nil"/>
              <w:left w:val="nil"/>
              <w:bottom w:val="single" w:sz="4" w:space="0" w:color="auto"/>
              <w:right w:val="single" w:sz="4" w:space="0" w:color="auto"/>
            </w:tcBorders>
            <w:shd w:val="clear" w:color="auto" w:fill="auto"/>
            <w:noWrap/>
            <w:vAlign w:val="bottom"/>
            <w:hideMark/>
          </w:tcPr>
          <w:p w14:paraId="67BE9FE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708815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C55963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6.409,74 </w:t>
            </w:r>
          </w:p>
        </w:tc>
        <w:tc>
          <w:tcPr>
            <w:tcW w:w="0" w:type="auto"/>
            <w:tcBorders>
              <w:top w:val="nil"/>
              <w:left w:val="nil"/>
              <w:bottom w:val="single" w:sz="4" w:space="0" w:color="auto"/>
              <w:right w:val="single" w:sz="4" w:space="0" w:color="auto"/>
            </w:tcBorders>
            <w:shd w:val="clear" w:color="auto" w:fill="auto"/>
            <w:noWrap/>
            <w:vAlign w:val="bottom"/>
            <w:hideMark/>
          </w:tcPr>
          <w:p w14:paraId="3A7129C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14.956,04 </w:t>
            </w:r>
          </w:p>
        </w:tc>
        <w:tc>
          <w:tcPr>
            <w:tcW w:w="0" w:type="auto"/>
            <w:tcBorders>
              <w:top w:val="nil"/>
              <w:left w:val="nil"/>
              <w:bottom w:val="single" w:sz="4" w:space="0" w:color="auto"/>
              <w:right w:val="single" w:sz="4" w:space="0" w:color="auto"/>
            </w:tcBorders>
            <w:shd w:val="clear" w:color="auto" w:fill="auto"/>
            <w:noWrap/>
            <w:vAlign w:val="bottom"/>
            <w:hideMark/>
          </w:tcPr>
          <w:p w14:paraId="225D8B8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9BF26D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3540F92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8A3A6F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949EC8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40324B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7A3A8F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C95DF9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CAEEE0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DEF7F4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7F1B73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1770EB83" w14:textId="77777777" w:rsidTr="00D60D2E">
        <w:trPr>
          <w:trHeigh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3FFCCA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2.3. - Elaborar protocolos y guías para la coordinación interinstitucional para la defensa de casos.</w:t>
            </w:r>
          </w:p>
        </w:tc>
        <w:tc>
          <w:tcPr>
            <w:tcW w:w="0" w:type="auto"/>
            <w:tcBorders>
              <w:top w:val="nil"/>
              <w:left w:val="nil"/>
              <w:bottom w:val="single" w:sz="4" w:space="0" w:color="auto"/>
              <w:right w:val="single" w:sz="4" w:space="0" w:color="auto"/>
            </w:tcBorders>
            <w:shd w:val="clear" w:color="auto" w:fill="auto"/>
            <w:noWrap/>
            <w:vAlign w:val="bottom"/>
            <w:hideMark/>
          </w:tcPr>
          <w:p w14:paraId="775B074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A33C64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F4A595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27.424,00 </w:t>
            </w:r>
          </w:p>
        </w:tc>
        <w:tc>
          <w:tcPr>
            <w:tcW w:w="0" w:type="auto"/>
            <w:tcBorders>
              <w:top w:val="nil"/>
              <w:left w:val="nil"/>
              <w:bottom w:val="single" w:sz="4" w:space="0" w:color="auto"/>
              <w:right w:val="single" w:sz="4" w:space="0" w:color="auto"/>
            </w:tcBorders>
            <w:shd w:val="clear" w:color="auto" w:fill="auto"/>
            <w:noWrap/>
            <w:vAlign w:val="bottom"/>
            <w:hideMark/>
          </w:tcPr>
          <w:p w14:paraId="5252972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11.950,00 </w:t>
            </w:r>
          </w:p>
        </w:tc>
        <w:tc>
          <w:tcPr>
            <w:tcW w:w="0" w:type="auto"/>
            <w:tcBorders>
              <w:top w:val="nil"/>
              <w:left w:val="nil"/>
              <w:bottom w:val="single" w:sz="4" w:space="0" w:color="auto"/>
              <w:right w:val="single" w:sz="4" w:space="0" w:color="auto"/>
            </w:tcBorders>
            <w:shd w:val="clear" w:color="auto" w:fill="auto"/>
            <w:noWrap/>
            <w:vAlign w:val="bottom"/>
            <w:hideMark/>
          </w:tcPr>
          <w:p w14:paraId="457D9B9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EC7DE2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54A3661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B91A42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D54484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565EE9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27FCB9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BB1149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36F2D4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B281F5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D47D2D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61BD3CC8" w14:textId="77777777" w:rsidTr="00D60D2E">
        <w:trPr>
          <w:trHeight w:val="128"/>
        </w:trPr>
        <w:tc>
          <w:tcPr>
            <w:tcW w:w="0" w:type="auto"/>
            <w:tcBorders>
              <w:top w:val="nil"/>
              <w:left w:val="single" w:sz="8" w:space="0" w:color="auto"/>
              <w:bottom w:val="nil"/>
              <w:right w:val="single" w:sz="4" w:space="0" w:color="auto"/>
            </w:tcBorders>
            <w:shd w:val="clear" w:color="auto" w:fill="auto"/>
            <w:vAlign w:val="center"/>
            <w:hideMark/>
          </w:tcPr>
          <w:p w14:paraId="6207ACC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2.4. - Obtener acceso a bases de datos especializadas en temas jurídicos.</w:t>
            </w:r>
          </w:p>
        </w:tc>
        <w:tc>
          <w:tcPr>
            <w:tcW w:w="0" w:type="auto"/>
            <w:tcBorders>
              <w:top w:val="nil"/>
              <w:left w:val="nil"/>
              <w:bottom w:val="single" w:sz="4" w:space="0" w:color="auto"/>
              <w:right w:val="single" w:sz="4" w:space="0" w:color="auto"/>
            </w:tcBorders>
            <w:shd w:val="clear" w:color="auto" w:fill="auto"/>
            <w:noWrap/>
            <w:vAlign w:val="bottom"/>
            <w:hideMark/>
          </w:tcPr>
          <w:p w14:paraId="5B7CEE6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2D25BD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B19A44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1BF8CC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8.870,16 </w:t>
            </w:r>
          </w:p>
        </w:tc>
        <w:tc>
          <w:tcPr>
            <w:tcW w:w="0" w:type="auto"/>
            <w:tcBorders>
              <w:top w:val="nil"/>
              <w:left w:val="nil"/>
              <w:bottom w:val="single" w:sz="4" w:space="0" w:color="auto"/>
              <w:right w:val="single" w:sz="4" w:space="0" w:color="auto"/>
            </w:tcBorders>
            <w:shd w:val="clear" w:color="auto" w:fill="auto"/>
            <w:noWrap/>
            <w:vAlign w:val="bottom"/>
            <w:hideMark/>
          </w:tcPr>
          <w:p w14:paraId="0C88CAD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6D99EE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5B2AC4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nil"/>
              <w:right w:val="single" w:sz="4" w:space="0" w:color="auto"/>
            </w:tcBorders>
            <w:shd w:val="clear" w:color="auto" w:fill="auto"/>
            <w:noWrap/>
            <w:vAlign w:val="bottom"/>
            <w:hideMark/>
          </w:tcPr>
          <w:p w14:paraId="028748C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1B00BEB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06A1F91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0EDE643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04B8536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2E65393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7C50CAC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4280C97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16F15A97" w14:textId="77777777" w:rsidTr="00D60D2E">
        <w:trPr>
          <w:trHeight w:val="107"/>
        </w:trPr>
        <w:tc>
          <w:tcPr>
            <w:tcW w:w="0" w:type="auto"/>
            <w:tcBorders>
              <w:top w:val="single" w:sz="8" w:space="0" w:color="auto"/>
              <w:left w:val="single" w:sz="8" w:space="0" w:color="auto"/>
              <w:bottom w:val="single" w:sz="8" w:space="0" w:color="auto"/>
              <w:right w:val="single" w:sz="4" w:space="0" w:color="auto"/>
            </w:tcBorders>
            <w:shd w:val="clear" w:color="000000" w:fill="DCE6F1"/>
            <w:vAlign w:val="bottom"/>
            <w:hideMark/>
          </w:tcPr>
          <w:p w14:paraId="33D1B619"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COMPONENTE 3. - Fortalecer la capacidad de control, consultoría y asesoría legal de la PGE</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0F43B713"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33D30D26"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26.992,00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42AC3BF4"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6484CE9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70.492,80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55F7481B"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43.198,56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0A96234E"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3CD5259A"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58105C9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06BDBA72"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37A65ED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049207A6"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713C2A18"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2C27BCC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0B82D579"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354443FF"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r>
      <w:tr w:rsidR="00D60D2E" w:rsidRPr="00D60D2E" w14:paraId="109D4D3B" w14:textId="77777777" w:rsidTr="00D60D2E">
        <w:trPr>
          <w:trHeight w:val="366"/>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42D1B3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lastRenderedPageBreak/>
              <w:t>ACTIVIDAD 3.1. - Generar un sistema informático para brindar asesoría Legal a Organismos del Estado para no infringir los marcos normativos y para desarrollar una defensa óptima.</w:t>
            </w:r>
          </w:p>
        </w:tc>
        <w:tc>
          <w:tcPr>
            <w:tcW w:w="0" w:type="auto"/>
            <w:tcBorders>
              <w:top w:val="nil"/>
              <w:left w:val="nil"/>
              <w:bottom w:val="single" w:sz="4" w:space="0" w:color="auto"/>
              <w:right w:val="single" w:sz="4" w:space="0" w:color="auto"/>
            </w:tcBorders>
            <w:shd w:val="clear" w:color="auto" w:fill="auto"/>
            <w:noWrap/>
            <w:vAlign w:val="bottom"/>
            <w:hideMark/>
          </w:tcPr>
          <w:p w14:paraId="117AB87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C03AE1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43B2BD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D0D650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8.736,00 </w:t>
            </w:r>
          </w:p>
        </w:tc>
        <w:tc>
          <w:tcPr>
            <w:tcW w:w="0" w:type="auto"/>
            <w:tcBorders>
              <w:top w:val="nil"/>
              <w:left w:val="nil"/>
              <w:bottom w:val="single" w:sz="4" w:space="0" w:color="auto"/>
              <w:right w:val="single" w:sz="4" w:space="0" w:color="auto"/>
            </w:tcBorders>
            <w:shd w:val="clear" w:color="auto" w:fill="auto"/>
            <w:noWrap/>
            <w:vAlign w:val="bottom"/>
            <w:hideMark/>
          </w:tcPr>
          <w:p w14:paraId="55EA289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32421A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6C2B62E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77EE97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ACFBCF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E91532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82FEFF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2148BD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944FBF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683E6B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D35B63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28D2D8C0" w14:textId="77777777" w:rsidTr="00D60D2E">
        <w:trPr>
          <w:trHeight w:val="336"/>
        </w:trPr>
        <w:tc>
          <w:tcPr>
            <w:tcW w:w="0" w:type="auto"/>
            <w:tcBorders>
              <w:top w:val="nil"/>
              <w:left w:val="single" w:sz="8" w:space="0" w:color="auto"/>
              <w:bottom w:val="nil"/>
              <w:right w:val="single" w:sz="4" w:space="0" w:color="auto"/>
            </w:tcBorders>
            <w:shd w:val="clear" w:color="auto" w:fill="auto"/>
            <w:vAlign w:val="center"/>
            <w:hideMark/>
          </w:tcPr>
          <w:p w14:paraId="7DA888B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3.2. - Capacitar a organismos del Estado o Municipios para la formulación adecuada de sus consultas.</w:t>
            </w:r>
          </w:p>
        </w:tc>
        <w:tc>
          <w:tcPr>
            <w:tcW w:w="0" w:type="auto"/>
            <w:tcBorders>
              <w:top w:val="nil"/>
              <w:left w:val="nil"/>
              <w:bottom w:val="single" w:sz="4" w:space="0" w:color="auto"/>
              <w:right w:val="single" w:sz="4" w:space="0" w:color="auto"/>
            </w:tcBorders>
            <w:shd w:val="clear" w:color="auto" w:fill="auto"/>
            <w:noWrap/>
            <w:vAlign w:val="bottom"/>
            <w:hideMark/>
          </w:tcPr>
          <w:p w14:paraId="45914B0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1F89CF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26.992,00 </w:t>
            </w:r>
          </w:p>
        </w:tc>
        <w:tc>
          <w:tcPr>
            <w:tcW w:w="0" w:type="auto"/>
            <w:tcBorders>
              <w:top w:val="nil"/>
              <w:left w:val="nil"/>
              <w:bottom w:val="single" w:sz="4" w:space="0" w:color="auto"/>
              <w:right w:val="single" w:sz="4" w:space="0" w:color="auto"/>
            </w:tcBorders>
            <w:shd w:val="clear" w:color="auto" w:fill="auto"/>
            <w:noWrap/>
            <w:vAlign w:val="bottom"/>
            <w:hideMark/>
          </w:tcPr>
          <w:p w14:paraId="69AAA3D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25D6A7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61.756,80 </w:t>
            </w:r>
          </w:p>
        </w:tc>
        <w:tc>
          <w:tcPr>
            <w:tcW w:w="0" w:type="auto"/>
            <w:tcBorders>
              <w:top w:val="nil"/>
              <w:left w:val="nil"/>
              <w:bottom w:val="single" w:sz="4" w:space="0" w:color="auto"/>
              <w:right w:val="single" w:sz="4" w:space="0" w:color="auto"/>
            </w:tcBorders>
            <w:shd w:val="clear" w:color="auto" w:fill="auto"/>
            <w:noWrap/>
            <w:vAlign w:val="bottom"/>
            <w:hideMark/>
          </w:tcPr>
          <w:p w14:paraId="64CA49D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43.198,56 </w:t>
            </w:r>
          </w:p>
        </w:tc>
        <w:tc>
          <w:tcPr>
            <w:tcW w:w="0" w:type="auto"/>
            <w:tcBorders>
              <w:top w:val="nil"/>
              <w:left w:val="nil"/>
              <w:bottom w:val="single" w:sz="4" w:space="0" w:color="auto"/>
              <w:right w:val="single" w:sz="4" w:space="0" w:color="auto"/>
            </w:tcBorders>
            <w:shd w:val="clear" w:color="auto" w:fill="auto"/>
            <w:noWrap/>
            <w:vAlign w:val="bottom"/>
            <w:hideMark/>
          </w:tcPr>
          <w:p w14:paraId="3F80C66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A4847D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nil"/>
              <w:right w:val="single" w:sz="4" w:space="0" w:color="auto"/>
            </w:tcBorders>
            <w:shd w:val="clear" w:color="auto" w:fill="auto"/>
            <w:noWrap/>
            <w:vAlign w:val="bottom"/>
            <w:hideMark/>
          </w:tcPr>
          <w:p w14:paraId="51F7F41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305B138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31091CB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459EE62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7BEF576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27F9EFD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3A725BF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503F55F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030057CE" w14:textId="77777777" w:rsidTr="00D60D2E">
        <w:trPr>
          <w:trHeight w:val="112"/>
        </w:trPr>
        <w:tc>
          <w:tcPr>
            <w:tcW w:w="0" w:type="auto"/>
            <w:tcBorders>
              <w:top w:val="single" w:sz="8" w:space="0" w:color="auto"/>
              <w:left w:val="single" w:sz="8" w:space="0" w:color="auto"/>
              <w:bottom w:val="single" w:sz="8" w:space="0" w:color="auto"/>
              <w:right w:val="single" w:sz="4" w:space="0" w:color="auto"/>
            </w:tcBorders>
            <w:shd w:val="clear" w:color="000000" w:fill="DCE6F1"/>
            <w:vAlign w:val="bottom"/>
            <w:hideMark/>
          </w:tcPr>
          <w:p w14:paraId="3BD211A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COMPONENTE 4. - Fortalecer los Centros de Mediación de la PGE</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04FCB7BF"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6E21E01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249DE988"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5914DBE6"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13.294,40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1044EA1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11.830,55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3ED423AE"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6B69A91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230.543,97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4F87EFBB"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2D04AAD5"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271A755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3D133FE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268833FA"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523EBF3B"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4C3B2A3A"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14CFCD36"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r>
      <w:tr w:rsidR="00D60D2E" w:rsidRPr="00D60D2E" w14:paraId="70F129EF" w14:textId="77777777" w:rsidTr="00D60D2E">
        <w:trPr>
          <w:trHeight w:val="2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F351C6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4.1. - Readecuar los espacios de los centros de mediación.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8E84F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8FCC6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A148C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67217C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10.278,40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07993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11.830,55 </w:t>
            </w:r>
          </w:p>
        </w:tc>
        <w:tc>
          <w:tcPr>
            <w:tcW w:w="0" w:type="auto"/>
            <w:tcBorders>
              <w:top w:val="nil"/>
              <w:left w:val="nil"/>
              <w:bottom w:val="single" w:sz="4" w:space="0" w:color="auto"/>
              <w:right w:val="single" w:sz="4" w:space="0" w:color="auto"/>
            </w:tcBorders>
            <w:shd w:val="clear" w:color="auto" w:fill="auto"/>
            <w:noWrap/>
            <w:vAlign w:val="center"/>
            <w:hideMark/>
          </w:tcPr>
          <w:p w14:paraId="288EB8D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0655D75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125.682,07 </w:t>
            </w:r>
          </w:p>
        </w:tc>
        <w:tc>
          <w:tcPr>
            <w:tcW w:w="0" w:type="auto"/>
            <w:tcBorders>
              <w:top w:val="nil"/>
              <w:left w:val="nil"/>
              <w:bottom w:val="single" w:sz="4" w:space="0" w:color="auto"/>
              <w:right w:val="single" w:sz="4" w:space="0" w:color="auto"/>
            </w:tcBorders>
            <w:shd w:val="clear" w:color="auto" w:fill="auto"/>
            <w:noWrap/>
            <w:vAlign w:val="bottom"/>
            <w:hideMark/>
          </w:tcPr>
          <w:p w14:paraId="2633DAA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E58510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D282B0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90807C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41E714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EEB5A9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5FE875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09A77C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15E15C19" w14:textId="77777777" w:rsidTr="00D60D2E">
        <w:trPr>
          <w:trHeight w:val="201"/>
        </w:trPr>
        <w:tc>
          <w:tcPr>
            <w:tcW w:w="0" w:type="auto"/>
            <w:tcBorders>
              <w:top w:val="nil"/>
              <w:left w:val="single" w:sz="8" w:space="0" w:color="auto"/>
              <w:bottom w:val="nil"/>
              <w:right w:val="single" w:sz="4" w:space="0" w:color="auto"/>
            </w:tcBorders>
            <w:shd w:val="clear" w:color="auto" w:fill="auto"/>
            <w:vAlign w:val="center"/>
            <w:hideMark/>
          </w:tcPr>
          <w:p w14:paraId="6EE2BBB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4.1. - Readecuar los espacios de los centros de mediación.</w:t>
            </w:r>
          </w:p>
        </w:tc>
        <w:tc>
          <w:tcPr>
            <w:tcW w:w="0" w:type="auto"/>
            <w:tcBorders>
              <w:top w:val="nil"/>
              <w:left w:val="nil"/>
              <w:bottom w:val="single" w:sz="4" w:space="0" w:color="auto"/>
              <w:right w:val="single" w:sz="4" w:space="0" w:color="auto"/>
            </w:tcBorders>
            <w:shd w:val="clear" w:color="auto" w:fill="auto"/>
            <w:noWrap/>
            <w:vAlign w:val="bottom"/>
            <w:hideMark/>
          </w:tcPr>
          <w:p w14:paraId="0B48727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55BF30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865AE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45A65B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3.016,00 </w:t>
            </w:r>
          </w:p>
        </w:tc>
        <w:tc>
          <w:tcPr>
            <w:tcW w:w="0" w:type="auto"/>
            <w:tcBorders>
              <w:top w:val="nil"/>
              <w:left w:val="nil"/>
              <w:bottom w:val="single" w:sz="4" w:space="0" w:color="auto"/>
              <w:right w:val="single" w:sz="4" w:space="0" w:color="auto"/>
            </w:tcBorders>
            <w:shd w:val="clear" w:color="auto" w:fill="auto"/>
            <w:noWrap/>
            <w:vAlign w:val="bottom"/>
            <w:hideMark/>
          </w:tcPr>
          <w:p w14:paraId="0AFC61B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F3C78B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DF03E9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104.861,90 </w:t>
            </w:r>
          </w:p>
        </w:tc>
        <w:tc>
          <w:tcPr>
            <w:tcW w:w="0" w:type="auto"/>
            <w:tcBorders>
              <w:top w:val="nil"/>
              <w:left w:val="nil"/>
              <w:bottom w:val="nil"/>
              <w:right w:val="single" w:sz="4" w:space="0" w:color="auto"/>
            </w:tcBorders>
            <w:shd w:val="clear" w:color="auto" w:fill="auto"/>
            <w:noWrap/>
            <w:vAlign w:val="bottom"/>
            <w:hideMark/>
          </w:tcPr>
          <w:p w14:paraId="249E7B4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6EEC2AC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753137C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7C34DAE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12BDB5A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12EE2E9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567D504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nil"/>
              <w:right w:val="single" w:sz="4" w:space="0" w:color="auto"/>
            </w:tcBorders>
            <w:shd w:val="clear" w:color="auto" w:fill="auto"/>
            <w:noWrap/>
            <w:vAlign w:val="bottom"/>
            <w:hideMark/>
          </w:tcPr>
          <w:p w14:paraId="207DD1A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2D06B1DE" w14:textId="77777777" w:rsidTr="00D60D2E">
        <w:trPr>
          <w:trHeight w:val="324"/>
        </w:trPr>
        <w:tc>
          <w:tcPr>
            <w:tcW w:w="0" w:type="auto"/>
            <w:tcBorders>
              <w:top w:val="single" w:sz="8" w:space="0" w:color="auto"/>
              <w:left w:val="single" w:sz="8" w:space="0" w:color="auto"/>
              <w:bottom w:val="single" w:sz="8" w:space="0" w:color="auto"/>
              <w:right w:val="single" w:sz="4" w:space="0" w:color="auto"/>
            </w:tcBorders>
            <w:shd w:val="clear" w:color="000000" w:fill="DCE6F1"/>
            <w:vAlign w:val="bottom"/>
            <w:hideMark/>
          </w:tcPr>
          <w:p w14:paraId="0196EFC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COMPONENTE 5. - Diseñar e implementa la estrategia de comunicación de la PGE</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167A07E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628D010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49.279,62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566C6688"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20.000,00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17A6456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73.647,85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60C22E27"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20.641,60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147179EB"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605EE77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20.000,00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33E38C5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3B8AB41A"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532C1785"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5D8F2D7E"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58D1355B"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6CF8C43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1E8B675E"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0" w:type="auto"/>
            <w:tcBorders>
              <w:top w:val="single" w:sz="8" w:space="0" w:color="auto"/>
              <w:left w:val="nil"/>
              <w:bottom w:val="single" w:sz="8" w:space="0" w:color="auto"/>
              <w:right w:val="single" w:sz="4" w:space="0" w:color="auto"/>
            </w:tcBorders>
            <w:shd w:val="clear" w:color="000000" w:fill="DCE6F1"/>
            <w:noWrap/>
            <w:vAlign w:val="bottom"/>
            <w:hideMark/>
          </w:tcPr>
          <w:p w14:paraId="6509336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r>
      <w:tr w:rsidR="00D60D2E" w:rsidRPr="00D60D2E" w14:paraId="1B33EF81" w14:textId="77777777" w:rsidTr="00D60D2E">
        <w:trPr>
          <w:trHeight w:val="288"/>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4E2603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5.1. - Diseñar una estrategia de comunicación</w:t>
            </w:r>
          </w:p>
        </w:tc>
        <w:tc>
          <w:tcPr>
            <w:tcW w:w="0" w:type="auto"/>
            <w:tcBorders>
              <w:top w:val="nil"/>
              <w:left w:val="nil"/>
              <w:bottom w:val="single" w:sz="4" w:space="0" w:color="auto"/>
              <w:right w:val="single" w:sz="4" w:space="0" w:color="auto"/>
            </w:tcBorders>
            <w:shd w:val="clear" w:color="auto" w:fill="auto"/>
            <w:noWrap/>
            <w:vAlign w:val="bottom"/>
            <w:hideMark/>
          </w:tcPr>
          <w:p w14:paraId="2B933F7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AF72F6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7E2FEA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20.000,00 </w:t>
            </w:r>
          </w:p>
        </w:tc>
        <w:tc>
          <w:tcPr>
            <w:tcW w:w="0" w:type="auto"/>
            <w:tcBorders>
              <w:top w:val="nil"/>
              <w:left w:val="nil"/>
              <w:bottom w:val="single" w:sz="4" w:space="0" w:color="auto"/>
              <w:right w:val="single" w:sz="4" w:space="0" w:color="auto"/>
            </w:tcBorders>
            <w:shd w:val="clear" w:color="auto" w:fill="auto"/>
            <w:noWrap/>
            <w:vAlign w:val="bottom"/>
            <w:hideMark/>
          </w:tcPr>
          <w:p w14:paraId="2A4F296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9F40FC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0D804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7FF3F3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628305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ED4396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EAAE12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C8DADD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2526B4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EE9F3F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040D93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2D908D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05CF4A1D" w14:textId="77777777" w:rsidTr="00D60D2E">
        <w:trPr>
          <w:trHeight w:val="24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277D67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5.2. - Capacitar en herramientas de comunicación</w:t>
            </w:r>
          </w:p>
        </w:tc>
        <w:tc>
          <w:tcPr>
            <w:tcW w:w="0" w:type="auto"/>
            <w:tcBorders>
              <w:top w:val="nil"/>
              <w:left w:val="nil"/>
              <w:bottom w:val="single" w:sz="4" w:space="0" w:color="auto"/>
              <w:right w:val="single" w:sz="4" w:space="0" w:color="auto"/>
            </w:tcBorders>
            <w:shd w:val="clear" w:color="auto" w:fill="auto"/>
            <w:noWrap/>
            <w:vAlign w:val="bottom"/>
            <w:hideMark/>
          </w:tcPr>
          <w:p w14:paraId="3A6B92A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BE71C4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C351F1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CF7B2B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590EBC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3B2197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6286F05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10.000,00 </w:t>
            </w:r>
          </w:p>
        </w:tc>
        <w:tc>
          <w:tcPr>
            <w:tcW w:w="0" w:type="auto"/>
            <w:tcBorders>
              <w:top w:val="nil"/>
              <w:left w:val="nil"/>
              <w:bottom w:val="single" w:sz="4" w:space="0" w:color="auto"/>
              <w:right w:val="single" w:sz="4" w:space="0" w:color="auto"/>
            </w:tcBorders>
            <w:shd w:val="clear" w:color="auto" w:fill="auto"/>
            <w:noWrap/>
            <w:vAlign w:val="bottom"/>
            <w:hideMark/>
          </w:tcPr>
          <w:p w14:paraId="6DBE65A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C4FD9F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E6AC30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0C8067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4AD85F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FF8E9B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B2ABF9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203C5F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00729DF1" w14:textId="77777777" w:rsidTr="00D60D2E">
        <w:trPr>
          <w:trHeight w:val="11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5AEDC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5.3. - Desarrollar materiales de difusión</w:t>
            </w:r>
          </w:p>
        </w:tc>
        <w:tc>
          <w:tcPr>
            <w:tcW w:w="0" w:type="auto"/>
            <w:tcBorders>
              <w:top w:val="nil"/>
              <w:left w:val="nil"/>
              <w:bottom w:val="single" w:sz="4" w:space="0" w:color="auto"/>
              <w:right w:val="single" w:sz="4" w:space="0" w:color="auto"/>
            </w:tcBorders>
            <w:shd w:val="clear" w:color="auto" w:fill="auto"/>
            <w:noWrap/>
            <w:vAlign w:val="bottom"/>
            <w:hideMark/>
          </w:tcPr>
          <w:p w14:paraId="47611B2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35B66A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47D28E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097B81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72.919,07 </w:t>
            </w:r>
          </w:p>
        </w:tc>
        <w:tc>
          <w:tcPr>
            <w:tcW w:w="0" w:type="auto"/>
            <w:tcBorders>
              <w:top w:val="nil"/>
              <w:left w:val="nil"/>
              <w:bottom w:val="single" w:sz="4" w:space="0" w:color="auto"/>
              <w:right w:val="single" w:sz="4" w:space="0" w:color="auto"/>
            </w:tcBorders>
            <w:shd w:val="clear" w:color="auto" w:fill="auto"/>
            <w:noWrap/>
            <w:vAlign w:val="bottom"/>
            <w:hideMark/>
          </w:tcPr>
          <w:p w14:paraId="777DC90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20.641,60 </w:t>
            </w:r>
          </w:p>
        </w:tc>
        <w:tc>
          <w:tcPr>
            <w:tcW w:w="0" w:type="auto"/>
            <w:tcBorders>
              <w:top w:val="nil"/>
              <w:left w:val="nil"/>
              <w:bottom w:val="single" w:sz="4" w:space="0" w:color="auto"/>
              <w:right w:val="single" w:sz="4" w:space="0" w:color="auto"/>
            </w:tcBorders>
            <w:shd w:val="clear" w:color="auto" w:fill="auto"/>
            <w:noWrap/>
            <w:vAlign w:val="bottom"/>
            <w:hideMark/>
          </w:tcPr>
          <w:p w14:paraId="2F95213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07287D4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75A99A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9C68B5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0DC6E5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3828C8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255C70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FC0081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5024F7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4AE5EA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3F4548A6" w14:textId="77777777" w:rsidTr="00D60D2E">
        <w:trPr>
          <w:trHeight w:val="288"/>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821D58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5.3. - Desarrollar materiales de difusión</w:t>
            </w:r>
          </w:p>
        </w:tc>
        <w:tc>
          <w:tcPr>
            <w:tcW w:w="0" w:type="auto"/>
            <w:tcBorders>
              <w:top w:val="nil"/>
              <w:left w:val="nil"/>
              <w:bottom w:val="single" w:sz="4" w:space="0" w:color="auto"/>
              <w:right w:val="single" w:sz="4" w:space="0" w:color="auto"/>
            </w:tcBorders>
            <w:shd w:val="clear" w:color="auto" w:fill="auto"/>
            <w:noWrap/>
            <w:vAlign w:val="bottom"/>
            <w:hideMark/>
          </w:tcPr>
          <w:p w14:paraId="550997F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C18216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4C5F5C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972EE9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728,78 </w:t>
            </w:r>
          </w:p>
        </w:tc>
        <w:tc>
          <w:tcPr>
            <w:tcW w:w="0" w:type="auto"/>
            <w:tcBorders>
              <w:top w:val="nil"/>
              <w:left w:val="nil"/>
              <w:bottom w:val="single" w:sz="4" w:space="0" w:color="auto"/>
              <w:right w:val="single" w:sz="4" w:space="0" w:color="auto"/>
            </w:tcBorders>
            <w:shd w:val="clear" w:color="auto" w:fill="auto"/>
            <w:noWrap/>
            <w:vAlign w:val="bottom"/>
            <w:hideMark/>
          </w:tcPr>
          <w:p w14:paraId="7939121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D76FAE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883685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447EE2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688793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C9F9A3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1EBD1E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EE12F7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FE5BA5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B29DC7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FFAB02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4B2AEBE6" w14:textId="77777777" w:rsidTr="00D60D2E">
        <w:trPr>
          <w:trHeight w:val="31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000D8C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5.4. - Realizar una encuesta ciudadana de percepción</w:t>
            </w:r>
          </w:p>
        </w:tc>
        <w:tc>
          <w:tcPr>
            <w:tcW w:w="0" w:type="auto"/>
            <w:tcBorders>
              <w:top w:val="nil"/>
              <w:left w:val="nil"/>
              <w:bottom w:val="single" w:sz="4" w:space="0" w:color="auto"/>
              <w:right w:val="single" w:sz="4" w:space="0" w:color="auto"/>
            </w:tcBorders>
            <w:shd w:val="clear" w:color="auto" w:fill="auto"/>
            <w:noWrap/>
            <w:vAlign w:val="bottom"/>
            <w:hideMark/>
          </w:tcPr>
          <w:p w14:paraId="1B89274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7B4B89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B1A64F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EA0A8D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47AB1E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207A46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A3A500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10.000,00 </w:t>
            </w:r>
          </w:p>
        </w:tc>
        <w:tc>
          <w:tcPr>
            <w:tcW w:w="0" w:type="auto"/>
            <w:tcBorders>
              <w:top w:val="nil"/>
              <w:left w:val="nil"/>
              <w:bottom w:val="single" w:sz="4" w:space="0" w:color="auto"/>
              <w:right w:val="single" w:sz="4" w:space="0" w:color="auto"/>
            </w:tcBorders>
            <w:shd w:val="clear" w:color="auto" w:fill="auto"/>
            <w:noWrap/>
            <w:vAlign w:val="bottom"/>
            <w:hideMark/>
          </w:tcPr>
          <w:p w14:paraId="3A1C926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52A4BC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2AA8FA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456AD1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C3B7C6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120AA4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D3223D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796B1A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340C5E0E" w14:textId="77777777" w:rsidTr="00D60D2E">
        <w:trPr>
          <w:trHeight w:val="30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48A8BD4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5.5. - Adquirir equipamiento para comunicación</w:t>
            </w:r>
          </w:p>
        </w:tc>
        <w:tc>
          <w:tcPr>
            <w:tcW w:w="0" w:type="auto"/>
            <w:tcBorders>
              <w:top w:val="nil"/>
              <w:left w:val="nil"/>
              <w:bottom w:val="single" w:sz="8" w:space="0" w:color="auto"/>
              <w:right w:val="single" w:sz="4" w:space="0" w:color="auto"/>
            </w:tcBorders>
            <w:shd w:val="clear" w:color="auto" w:fill="auto"/>
            <w:noWrap/>
            <w:vAlign w:val="bottom"/>
            <w:hideMark/>
          </w:tcPr>
          <w:p w14:paraId="0C724E1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8" w:space="0" w:color="auto"/>
              <w:right w:val="single" w:sz="4" w:space="0" w:color="auto"/>
            </w:tcBorders>
            <w:shd w:val="clear" w:color="auto" w:fill="auto"/>
            <w:noWrap/>
            <w:vAlign w:val="bottom"/>
            <w:hideMark/>
          </w:tcPr>
          <w:p w14:paraId="182BC25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49.279,62 </w:t>
            </w:r>
          </w:p>
        </w:tc>
        <w:tc>
          <w:tcPr>
            <w:tcW w:w="0" w:type="auto"/>
            <w:tcBorders>
              <w:top w:val="nil"/>
              <w:left w:val="nil"/>
              <w:bottom w:val="single" w:sz="8" w:space="0" w:color="auto"/>
              <w:right w:val="single" w:sz="4" w:space="0" w:color="auto"/>
            </w:tcBorders>
            <w:shd w:val="clear" w:color="auto" w:fill="auto"/>
            <w:noWrap/>
            <w:vAlign w:val="bottom"/>
            <w:hideMark/>
          </w:tcPr>
          <w:p w14:paraId="61CC787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8" w:space="0" w:color="auto"/>
              <w:right w:val="single" w:sz="4" w:space="0" w:color="auto"/>
            </w:tcBorders>
            <w:shd w:val="clear" w:color="auto" w:fill="auto"/>
            <w:noWrap/>
            <w:vAlign w:val="bottom"/>
            <w:hideMark/>
          </w:tcPr>
          <w:p w14:paraId="7C35A79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8" w:space="0" w:color="auto"/>
              <w:right w:val="single" w:sz="4" w:space="0" w:color="auto"/>
            </w:tcBorders>
            <w:shd w:val="clear" w:color="auto" w:fill="auto"/>
            <w:noWrap/>
            <w:vAlign w:val="bottom"/>
            <w:hideMark/>
          </w:tcPr>
          <w:p w14:paraId="316C626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8" w:space="0" w:color="auto"/>
              <w:right w:val="single" w:sz="4" w:space="0" w:color="auto"/>
            </w:tcBorders>
            <w:shd w:val="clear" w:color="auto" w:fill="auto"/>
            <w:noWrap/>
            <w:vAlign w:val="bottom"/>
            <w:hideMark/>
          </w:tcPr>
          <w:p w14:paraId="26086CD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C43BF3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0" w:type="auto"/>
            <w:tcBorders>
              <w:top w:val="nil"/>
              <w:left w:val="nil"/>
              <w:bottom w:val="single" w:sz="8" w:space="0" w:color="auto"/>
              <w:right w:val="single" w:sz="4" w:space="0" w:color="auto"/>
            </w:tcBorders>
            <w:shd w:val="clear" w:color="auto" w:fill="auto"/>
            <w:noWrap/>
            <w:vAlign w:val="bottom"/>
            <w:hideMark/>
          </w:tcPr>
          <w:p w14:paraId="3E0B24F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4C95702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1BFCFF0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53D1A95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2D59F54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6F235EA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3AF275B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029BF4D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56A79823" w14:textId="77777777" w:rsidTr="00D60D2E">
        <w:trPr>
          <w:trHeight w:val="288"/>
        </w:trPr>
        <w:tc>
          <w:tcPr>
            <w:tcW w:w="0" w:type="auto"/>
            <w:tcBorders>
              <w:top w:val="nil"/>
              <w:left w:val="single" w:sz="8" w:space="0" w:color="auto"/>
              <w:bottom w:val="nil"/>
              <w:right w:val="nil"/>
            </w:tcBorders>
            <w:shd w:val="clear" w:color="auto" w:fill="auto"/>
            <w:noWrap/>
            <w:vAlign w:val="bottom"/>
            <w:hideMark/>
          </w:tcPr>
          <w:p w14:paraId="351A6BC2" w14:textId="77777777" w:rsidR="00D60D2E" w:rsidRPr="00D60D2E" w:rsidRDefault="00D60D2E" w:rsidP="00D60D2E">
            <w:pPr>
              <w:spacing w:after="0" w:line="240" w:lineRule="auto"/>
              <w:rPr>
                <w:rFonts w:ascii="Calibri" w:eastAsia="Times New Roman" w:hAnsi="Calibri" w:cs="Calibri"/>
                <w:b/>
                <w:bCs/>
                <w:color w:val="000000"/>
                <w:sz w:val="12"/>
                <w:szCs w:val="12"/>
                <w:lang w:eastAsia="es-EC"/>
              </w:rPr>
            </w:pPr>
            <w:r w:rsidRPr="00D60D2E">
              <w:rPr>
                <w:rFonts w:ascii="Calibri" w:eastAsia="Times New Roman" w:hAnsi="Calibri" w:cs="Calibri"/>
                <w:b/>
                <w:bCs/>
                <w:color w:val="000000"/>
                <w:sz w:val="12"/>
                <w:szCs w:val="12"/>
                <w:lang w:eastAsia="es-EC"/>
              </w:rPr>
              <w:t>OPERACIÓN Y MANTENIMIENTO (GASTO CORRIENTE)</w:t>
            </w:r>
          </w:p>
        </w:tc>
        <w:tc>
          <w:tcPr>
            <w:tcW w:w="0" w:type="auto"/>
            <w:tcBorders>
              <w:top w:val="nil"/>
              <w:left w:val="nil"/>
              <w:bottom w:val="nil"/>
              <w:right w:val="nil"/>
            </w:tcBorders>
            <w:shd w:val="clear" w:color="auto" w:fill="auto"/>
            <w:noWrap/>
            <w:vAlign w:val="bottom"/>
            <w:hideMark/>
          </w:tcPr>
          <w:p w14:paraId="51A4BC6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37DCADD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2805AC3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7CAD23D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1944786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72CBA89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0A10546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nil"/>
              <w:right w:val="nil"/>
            </w:tcBorders>
            <w:shd w:val="clear" w:color="auto" w:fill="auto"/>
            <w:noWrap/>
            <w:vAlign w:val="bottom"/>
            <w:hideMark/>
          </w:tcPr>
          <w:p w14:paraId="2F836E8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0" w:type="auto"/>
            <w:tcBorders>
              <w:top w:val="nil"/>
              <w:left w:val="nil"/>
              <w:bottom w:val="nil"/>
              <w:right w:val="nil"/>
            </w:tcBorders>
            <w:shd w:val="clear" w:color="auto" w:fill="auto"/>
            <w:noWrap/>
            <w:vAlign w:val="bottom"/>
            <w:hideMark/>
          </w:tcPr>
          <w:p w14:paraId="6033185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0" w:type="auto"/>
            <w:tcBorders>
              <w:top w:val="nil"/>
              <w:left w:val="nil"/>
              <w:bottom w:val="nil"/>
              <w:right w:val="nil"/>
            </w:tcBorders>
            <w:shd w:val="clear" w:color="auto" w:fill="auto"/>
            <w:noWrap/>
            <w:vAlign w:val="bottom"/>
            <w:hideMark/>
          </w:tcPr>
          <w:p w14:paraId="2339946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nil"/>
              <w:right w:val="nil"/>
            </w:tcBorders>
            <w:shd w:val="clear" w:color="auto" w:fill="auto"/>
            <w:noWrap/>
            <w:vAlign w:val="bottom"/>
            <w:hideMark/>
          </w:tcPr>
          <w:p w14:paraId="72FF023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nil"/>
              <w:right w:val="nil"/>
            </w:tcBorders>
            <w:shd w:val="clear" w:color="auto" w:fill="auto"/>
            <w:noWrap/>
            <w:vAlign w:val="bottom"/>
            <w:hideMark/>
          </w:tcPr>
          <w:p w14:paraId="3C05E1A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nil"/>
              <w:right w:val="nil"/>
            </w:tcBorders>
            <w:shd w:val="clear" w:color="auto" w:fill="auto"/>
            <w:noWrap/>
            <w:vAlign w:val="bottom"/>
            <w:hideMark/>
          </w:tcPr>
          <w:p w14:paraId="48AEE1D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nil"/>
              <w:right w:val="nil"/>
            </w:tcBorders>
            <w:shd w:val="clear" w:color="auto" w:fill="auto"/>
            <w:noWrap/>
            <w:vAlign w:val="bottom"/>
            <w:hideMark/>
          </w:tcPr>
          <w:p w14:paraId="781ADFF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nil"/>
              <w:right w:val="nil"/>
            </w:tcBorders>
            <w:shd w:val="clear" w:color="auto" w:fill="auto"/>
            <w:noWrap/>
            <w:vAlign w:val="bottom"/>
            <w:hideMark/>
          </w:tcPr>
          <w:p w14:paraId="3A0E6E3B"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227.400,00 </w:t>
            </w:r>
          </w:p>
        </w:tc>
      </w:tr>
      <w:tr w:rsidR="00D60D2E" w:rsidRPr="00D60D2E" w14:paraId="56378CE6" w14:textId="77777777" w:rsidTr="00D60D2E">
        <w:trPr>
          <w:trHeight w:val="10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D5D734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Gastos Operativos (detallar)</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51D605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304A2F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3ECEFF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3BFAC5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B42F02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204CA2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CCB67D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25ACB9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04133B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0693DA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0702C6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A635BD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0C7B97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9242E4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C103E6C"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w:t>
            </w:r>
          </w:p>
        </w:tc>
      </w:tr>
      <w:tr w:rsidR="00D60D2E" w:rsidRPr="00D60D2E" w14:paraId="483F218A" w14:textId="77777777" w:rsidTr="00D60D2E">
        <w:trPr>
          <w:trHeight w:val="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25415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0" w:type="auto"/>
            <w:tcBorders>
              <w:top w:val="nil"/>
              <w:left w:val="nil"/>
              <w:bottom w:val="single" w:sz="4" w:space="0" w:color="auto"/>
              <w:right w:val="single" w:sz="4" w:space="0" w:color="auto"/>
            </w:tcBorders>
            <w:shd w:val="clear" w:color="auto" w:fill="auto"/>
            <w:noWrap/>
            <w:vAlign w:val="bottom"/>
            <w:hideMark/>
          </w:tcPr>
          <w:p w14:paraId="2C47EAF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E0DC91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1E85C8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A31C94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304AC9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55F303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FC8BF3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35D4F2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DB2ED7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44C43E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CD5905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80F45E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CF88E4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3676DC7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8F55EB6"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w:t>
            </w:r>
          </w:p>
        </w:tc>
      </w:tr>
      <w:tr w:rsidR="00D60D2E" w:rsidRPr="00D60D2E" w14:paraId="1BF094F2" w14:textId="77777777" w:rsidTr="00D60D2E">
        <w:trPr>
          <w:trHeight w:val="159"/>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8F6988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0" w:type="auto"/>
            <w:tcBorders>
              <w:top w:val="nil"/>
              <w:left w:val="nil"/>
              <w:bottom w:val="single" w:sz="8" w:space="0" w:color="auto"/>
              <w:right w:val="single" w:sz="4" w:space="0" w:color="auto"/>
            </w:tcBorders>
            <w:shd w:val="clear" w:color="auto" w:fill="auto"/>
            <w:noWrap/>
            <w:vAlign w:val="bottom"/>
            <w:hideMark/>
          </w:tcPr>
          <w:p w14:paraId="6746545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101FBED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2CE9216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06B2A04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0DBC221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05753CE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7DAD39C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798DC64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4EFB925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2429EEA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77B4FE0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7581C3A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0E3AF22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06685C9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6CB5F7CE"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w:t>
            </w:r>
          </w:p>
        </w:tc>
      </w:tr>
      <w:tr w:rsidR="00D60D2E" w:rsidRPr="00D60D2E" w14:paraId="1E893F8A" w14:textId="77777777" w:rsidTr="00D60D2E">
        <w:trPr>
          <w:trHeight w:val="18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8ECC2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Gastos Mantenimiento (detallar)</w:t>
            </w:r>
          </w:p>
        </w:tc>
        <w:tc>
          <w:tcPr>
            <w:tcW w:w="0" w:type="auto"/>
            <w:tcBorders>
              <w:top w:val="nil"/>
              <w:left w:val="nil"/>
              <w:bottom w:val="single" w:sz="4" w:space="0" w:color="auto"/>
              <w:right w:val="single" w:sz="4" w:space="0" w:color="auto"/>
            </w:tcBorders>
            <w:shd w:val="clear" w:color="auto" w:fill="auto"/>
            <w:noWrap/>
            <w:vAlign w:val="bottom"/>
            <w:hideMark/>
          </w:tcPr>
          <w:p w14:paraId="3C3BA00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6772A0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494F1B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109CDC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0280C0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B62665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8FD3D3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6219FB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0" w:type="auto"/>
            <w:tcBorders>
              <w:top w:val="nil"/>
              <w:left w:val="nil"/>
              <w:bottom w:val="single" w:sz="4" w:space="0" w:color="auto"/>
              <w:right w:val="single" w:sz="4" w:space="0" w:color="auto"/>
            </w:tcBorders>
            <w:shd w:val="clear" w:color="auto" w:fill="auto"/>
            <w:noWrap/>
            <w:vAlign w:val="bottom"/>
            <w:hideMark/>
          </w:tcPr>
          <w:p w14:paraId="22F9600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0" w:type="auto"/>
            <w:tcBorders>
              <w:top w:val="nil"/>
              <w:left w:val="nil"/>
              <w:bottom w:val="single" w:sz="4" w:space="0" w:color="auto"/>
              <w:right w:val="single" w:sz="4" w:space="0" w:color="auto"/>
            </w:tcBorders>
            <w:shd w:val="clear" w:color="auto" w:fill="auto"/>
            <w:noWrap/>
            <w:vAlign w:val="bottom"/>
            <w:hideMark/>
          </w:tcPr>
          <w:p w14:paraId="53E52AD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single" w:sz="4" w:space="0" w:color="auto"/>
              <w:right w:val="single" w:sz="4" w:space="0" w:color="auto"/>
            </w:tcBorders>
            <w:shd w:val="clear" w:color="auto" w:fill="auto"/>
            <w:noWrap/>
            <w:vAlign w:val="bottom"/>
            <w:hideMark/>
          </w:tcPr>
          <w:p w14:paraId="19A8FBC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single" w:sz="4" w:space="0" w:color="auto"/>
              <w:right w:val="single" w:sz="4" w:space="0" w:color="auto"/>
            </w:tcBorders>
            <w:shd w:val="clear" w:color="auto" w:fill="auto"/>
            <w:noWrap/>
            <w:vAlign w:val="bottom"/>
            <w:hideMark/>
          </w:tcPr>
          <w:p w14:paraId="02CEF4C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single" w:sz="4" w:space="0" w:color="auto"/>
              <w:right w:val="single" w:sz="4" w:space="0" w:color="auto"/>
            </w:tcBorders>
            <w:shd w:val="clear" w:color="auto" w:fill="auto"/>
            <w:noWrap/>
            <w:vAlign w:val="bottom"/>
            <w:hideMark/>
          </w:tcPr>
          <w:p w14:paraId="5892469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single" w:sz="4" w:space="0" w:color="auto"/>
              <w:right w:val="single" w:sz="4" w:space="0" w:color="auto"/>
            </w:tcBorders>
            <w:shd w:val="clear" w:color="auto" w:fill="auto"/>
            <w:noWrap/>
            <w:vAlign w:val="bottom"/>
            <w:hideMark/>
          </w:tcPr>
          <w:p w14:paraId="7EAA30A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single" w:sz="4" w:space="0" w:color="auto"/>
              <w:right w:val="single" w:sz="4" w:space="0" w:color="auto"/>
            </w:tcBorders>
            <w:shd w:val="clear" w:color="auto" w:fill="auto"/>
            <w:noWrap/>
            <w:vAlign w:val="bottom"/>
            <w:hideMark/>
          </w:tcPr>
          <w:p w14:paraId="621A1AF6"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227.400,00 </w:t>
            </w:r>
          </w:p>
        </w:tc>
      </w:tr>
      <w:tr w:rsidR="00D60D2E" w:rsidRPr="00D60D2E" w14:paraId="68BF91E7" w14:textId="77777777" w:rsidTr="00D60D2E">
        <w:trPr>
          <w:trHeight w:val="156"/>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257416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Mantenimiento Recurrente</w:t>
            </w:r>
          </w:p>
        </w:tc>
        <w:tc>
          <w:tcPr>
            <w:tcW w:w="0" w:type="auto"/>
            <w:tcBorders>
              <w:top w:val="nil"/>
              <w:left w:val="nil"/>
              <w:bottom w:val="single" w:sz="4" w:space="0" w:color="auto"/>
              <w:right w:val="single" w:sz="4" w:space="0" w:color="auto"/>
            </w:tcBorders>
            <w:shd w:val="clear" w:color="auto" w:fill="auto"/>
            <w:noWrap/>
            <w:vAlign w:val="bottom"/>
            <w:hideMark/>
          </w:tcPr>
          <w:p w14:paraId="38744BE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090CE0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E3DF9E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AA9E93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363CC7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6A734D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7A2E68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F71F13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0" w:type="auto"/>
            <w:tcBorders>
              <w:top w:val="nil"/>
              <w:left w:val="nil"/>
              <w:bottom w:val="single" w:sz="4" w:space="0" w:color="auto"/>
              <w:right w:val="single" w:sz="4" w:space="0" w:color="auto"/>
            </w:tcBorders>
            <w:shd w:val="clear" w:color="auto" w:fill="auto"/>
            <w:noWrap/>
            <w:vAlign w:val="bottom"/>
            <w:hideMark/>
          </w:tcPr>
          <w:p w14:paraId="11401C6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0" w:type="auto"/>
            <w:tcBorders>
              <w:top w:val="nil"/>
              <w:left w:val="nil"/>
              <w:bottom w:val="single" w:sz="4" w:space="0" w:color="auto"/>
              <w:right w:val="single" w:sz="4" w:space="0" w:color="auto"/>
            </w:tcBorders>
            <w:shd w:val="clear" w:color="auto" w:fill="auto"/>
            <w:noWrap/>
            <w:vAlign w:val="bottom"/>
            <w:hideMark/>
          </w:tcPr>
          <w:p w14:paraId="638E8F8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single" w:sz="4" w:space="0" w:color="auto"/>
              <w:right w:val="single" w:sz="4" w:space="0" w:color="auto"/>
            </w:tcBorders>
            <w:shd w:val="clear" w:color="auto" w:fill="auto"/>
            <w:noWrap/>
            <w:vAlign w:val="bottom"/>
            <w:hideMark/>
          </w:tcPr>
          <w:p w14:paraId="6F26294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single" w:sz="4" w:space="0" w:color="auto"/>
              <w:right w:val="single" w:sz="4" w:space="0" w:color="auto"/>
            </w:tcBorders>
            <w:shd w:val="clear" w:color="auto" w:fill="auto"/>
            <w:noWrap/>
            <w:vAlign w:val="bottom"/>
            <w:hideMark/>
          </w:tcPr>
          <w:p w14:paraId="2609875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single" w:sz="4" w:space="0" w:color="auto"/>
              <w:right w:val="single" w:sz="4" w:space="0" w:color="auto"/>
            </w:tcBorders>
            <w:shd w:val="clear" w:color="auto" w:fill="auto"/>
            <w:noWrap/>
            <w:vAlign w:val="bottom"/>
            <w:hideMark/>
          </w:tcPr>
          <w:p w14:paraId="56990D0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single" w:sz="4" w:space="0" w:color="auto"/>
              <w:right w:val="single" w:sz="4" w:space="0" w:color="auto"/>
            </w:tcBorders>
            <w:shd w:val="clear" w:color="auto" w:fill="auto"/>
            <w:noWrap/>
            <w:vAlign w:val="bottom"/>
            <w:hideMark/>
          </w:tcPr>
          <w:p w14:paraId="4896E21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0" w:type="auto"/>
            <w:tcBorders>
              <w:top w:val="nil"/>
              <w:left w:val="nil"/>
              <w:bottom w:val="single" w:sz="4" w:space="0" w:color="auto"/>
              <w:right w:val="single" w:sz="4" w:space="0" w:color="auto"/>
            </w:tcBorders>
            <w:shd w:val="clear" w:color="auto" w:fill="auto"/>
            <w:noWrap/>
            <w:vAlign w:val="bottom"/>
            <w:hideMark/>
          </w:tcPr>
          <w:p w14:paraId="5F6CB744"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227.400,00 </w:t>
            </w:r>
          </w:p>
        </w:tc>
      </w:tr>
      <w:tr w:rsidR="00D60D2E" w:rsidRPr="00D60D2E" w14:paraId="7CEFB90A" w14:textId="77777777" w:rsidTr="00D60D2E">
        <w:trPr>
          <w:trHeight w:val="228"/>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84D41D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0" w:type="auto"/>
            <w:tcBorders>
              <w:top w:val="nil"/>
              <w:left w:val="nil"/>
              <w:bottom w:val="single" w:sz="8" w:space="0" w:color="auto"/>
              <w:right w:val="single" w:sz="4" w:space="0" w:color="auto"/>
            </w:tcBorders>
            <w:shd w:val="clear" w:color="auto" w:fill="auto"/>
            <w:noWrap/>
            <w:vAlign w:val="bottom"/>
            <w:hideMark/>
          </w:tcPr>
          <w:p w14:paraId="66E345F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380020C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77F6120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361FCA4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7C9EDC6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75795AF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4BA48F8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0322EC0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6DC4EAE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3673B7F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10667E9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47132F3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4607FC7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3B6D621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6E598FD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1DC9332A" w14:textId="77777777" w:rsidTr="00D60D2E">
        <w:trPr>
          <w:trHeight w:val="6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9AACB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Gastos Administrativos (detallar)</w:t>
            </w:r>
          </w:p>
        </w:tc>
        <w:tc>
          <w:tcPr>
            <w:tcW w:w="0" w:type="auto"/>
            <w:tcBorders>
              <w:top w:val="nil"/>
              <w:left w:val="nil"/>
              <w:bottom w:val="single" w:sz="4" w:space="0" w:color="auto"/>
              <w:right w:val="single" w:sz="4" w:space="0" w:color="auto"/>
            </w:tcBorders>
            <w:shd w:val="clear" w:color="auto" w:fill="auto"/>
            <w:noWrap/>
            <w:vAlign w:val="bottom"/>
            <w:hideMark/>
          </w:tcPr>
          <w:p w14:paraId="2FE1D57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5C6BA9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3F087C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D957FC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B53249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FAFC35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4E6D96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72FC9C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F5C53A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400D86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F7B830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605E443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B6BACF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CD6BE3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54D33C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50F139A1" w14:textId="77777777" w:rsidTr="00D60D2E">
        <w:trPr>
          <w:trHeight w:val="15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ABC971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0" w:type="auto"/>
            <w:tcBorders>
              <w:top w:val="nil"/>
              <w:left w:val="nil"/>
              <w:bottom w:val="single" w:sz="4" w:space="0" w:color="auto"/>
              <w:right w:val="single" w:sz="4" w:space="0" w:color="auto"/>
            </w:tcBorders>
            <w:shd w:val="clear" w:color="auto" w:fill="auto"/>
            <w:noWrap/>
            <w:vAlign w:val="bottom"/>
            <w:hideMark/>
          </w:tcPr>
          <w:p w14:paraId="3FFE30F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5A9501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B73675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54F4EC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E8E765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A5EFB7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28E0DFF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5FDC0C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2D88FC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910425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FCF0D2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5379AE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113F848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4CCC611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7B4DF8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2311D5EB" w14:textId="77777777" w:rsidTr="00D60D2E">
        <w:trPr>
          <w:trHeight w:val="117"/>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13CB6A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0" w:type="auto"/>
            <w:tcBorders>
              <w:top w:val="nil"/>
              <w:left w:val="nil"/>
              <w:bottom w:val="single" w:sz="8" w:space="0" w:color="auto"/>
              <w:right w:val="single" w:sz="4" w:space="0" w:color="auto"/>
            </w:tcBorders>
            <w:shd w:val="clear" w:color="auto" w:fill="auto"/>
            <w:noWrap/>
            <w:vAlign w:val="bottom"/>
            <w:hideMark/>
          </w:tcPr>
          <w:p w14:paraId="2138AE8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168BC31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0AC8FC1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5B7CB07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5989929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0DC9F69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1805ADC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2CE7E07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569A174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707C02E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6087C79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5400888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338378D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55C0A8D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14:paraId="5B1A829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0E03CE97" w14:textId="77777777" w:rsidTr="00D60D2E">
        <w:trPr>
          <w:trHeight w:val="300"/>
        </w:trPr>
        <w:tc>
          <w:tcPr>
            <w:tcW w:w="0" w:type="auto"/>
            <w:tcBorders>
              <w:top w:val="nil"/>
              <w:left w:val="single" w:sz="8" w:space="0" w:color="auto"/>
              <w:bottom w:val="single" w:sz="8" w:space="0" w:color="auto"/>
              <w:right w:val="nil"/>
            </w:tcBorders>
            <w:shd w:val="clear" w:color="auto" w:fill="auto"/>
            <w:noWrap/>
            <w:vAlign w:val="bottom"/>
            <w:hideMark/>
          </w:tcPr>
          <w:p w14:paraId="78393925"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FLUJO DE CAJA (a-b)</w:t>
            </w:r>
          </w:p>
        </w:tc>
        <w:tc>
          <w:tcPr>
            <w:tcW w:w="0" w:type="auto"/>
            <w:tcBorders>
              <w:top w:val="nil"/>
              <w:left w:val="nil"/>
              <w:bottom w:val="single" w:sz="8" w:space="0" w:color="auto"/>
              <w:right w:val="nil"/>
            </w:tcBorders>
            <w:shd w:val="clear" w:color="auto" w:fill="auto"/>
            <w:noWrap/>
            <w:vAlign w:val="bottom"/>
            <w:hideMark/>
          </w:tcPr>
          <w:p w14:paraId="46522C30"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(14.774,58)</w:t>
            </w:r>
          </w:p>
        </w:tc>
        <w:tc>
          <w:tcPr>
            <w:tcW w:w="0" w:type="auto"/>
            <w:tcBorders>
              <w:top w:val="nil"/>
              <w:left w:val="nil"/>
              <w:bottom w:val="single" w:sz="8" w:space="0" w:color="auto"/>
              <w:right w:val="nil"/>
            </w:tcBorders>
            <w:shd w:val="clear" w:color="auto" w:fill="auto"/>
            <w:noWrap/>
            <w:vAlign w:val="bottom"/>
            <w:hideMark/>
          </w:tcPr>
          <w:p w14:paraId="59760F11"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(263.644,43)</w:t>
            </w:r>
          </w:p>
        </w:tc>
        <w:tc>
          <w:tcPr>
            <w:tcW w:w="0" w:type="auto"/>
            <w:tcBorders>
              <w:top w:val="nil"/>
              <w:left w:val="nil"/>
              <w:bottom w:val="single" w:sz="8" w:space="0" w:color="auto"/>
              <w:right w:val="nil"/>
            </w:tcBorders>
            <w:shd w:val="clear" w:color="auto" w:fill="auto"/>
            <w:noWrap/>
            <w:vAlign w:val="bottom"/>
            <w:hideMark/>
          </w:tcPr>
          <w:p w14:paraId="212CF304"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(621.140,14)</w:t>
            </w:r>
          </w:p>
        </w:tc>
        <w:tc>
          <w:tcPr>
            <w:tcW w:w="0" w:type="auto"/>
            <w:tcBorders>
              <w:top w:val="nil"/>
              <w:left w:val="nil"/>
              <w:bottom w:val="single" w:sz="8" w:space="0" w:color="auto"/>
              <w:right w:val="nil"/>
            </w:tcBorders>
            <w:shd w:val="clear" w:color="auto" w:fill="auto"/>
            <w:noWrap/>
            <w:vAlign w:val="bottom"/>
            <w:hideMark/>
          </w:tcPr>
          <w:p w14:paraId="5473B33F"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(808.942,27)</w:t>
            </w:r>
          </w:p>
        </w:tc>
        <w:tc>
          <w:tcPr>
            <w:tcW w:w="0" w:type="auto"/>
            <w:tcBorders>
              <w:top w:val="nil"/>
              <w:left w:val="nil"/>
              <w:bottom w:val="single" w:sz="8" w:space="0" w:color="auto"/>
              <w:right w:val="nil"/>
            </w:tcBorders>
            <w:shd w:val="clear" w:color="auto" w:fill="auto"/>
            <w:noWrap/>
            <w:vAlign w:val="bottom"/>
            <w:hideMark/>
          </w:tcPr>
          <w:p w14:paraId="75B06D12"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(527.411,16)</w:t>
            </w:r>
          </w:p>
        </w:tc>
        <w:tc>
          <w:tcPr>
            <w:tcW w:w="0" w:type="auto"/>
            <w:tcBorders>
              <w:top w:val="nil"/>
              <w:left w:val="nil"/>
              <w:bottom w:val="single" w:sz="8" w:space="0" w:color="auto"/>
              <w:right w:val="nil"/>
            </w:tcBorders>
            <w:shd w:val="clear" w:color="auto" w:fill="auto"/>
            <w:noWrap/>
            <w:vAlign w:val="bottom"/>
            <w:hideMark/>
          </w:tcPr>
          <w:p w14:paraId="0C554F0B"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(297.701,90)</w:t>
            </w:r>
          </w:p>
        </w:tc>
        <w:tc>
          <w:tcPr>
            <w:tcW w:w="0" w:type="auto"/>
            <w:tcBorders>
              <w:top w:val="nil"/>
              <w:left w:val="nil"/>
              <w:bottom w:val="single" w:sz="8" w:space="0" w:color="auto"/>
              <w:right w:val="nil"/>
            </w:tcBorders>
            <w:shd w:val="clear" w:color="auto" w:fill="auto"/>
            <w:noWrap/>
            <w:vAlign w:val="bottom"/>
            <w:hideMark/>
          </w:tcPr>
          <w:p w14:paraId="3FC60415"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(2.641.181,01)</w:t>
            </w:r>
          </w:p>
        </w:tc>
        <w:tc>
          <w:tcPr>
            <w:tcW w:w="0" w:type="auto"/>
            <w:tcBorders>
              <w:top w:val="nil"/>
              <w:left w:val="nil"/>
              <w:bottom w:val="single" w:sz="8" w:space="0" w:color="auto"/>
              <w:right w:val="nil"/>
            </w:tcBorders>
            <w:shd w:val="clear" w:color="auto" w:fill="auto"/>
            <w:noWrap/>
            <w:vAlign w:val="bottom"/>
            <w:hideMark/>
          </w:tcPr>
          <w:p w14:paraId="2A975E1D"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(27.400,00)</w:t>
            </w:r>
          </w:p>
        </w:tc>
        <w:tc>
          <w:tcPr>
            <w:tcW w:w="0" w:type="auto"/>
            <w:tcBorders>
              <w:top w:val="nil"/>
              <w:left w:val="nil"/>
              <w:bottom w:val="single" w:sz="8" w:space="0" w:color="auto"/>
              <w:right w:val="nil"/>
            </w:tcBorders>
            <w:shd w:val="clear" w:color="auto" w:fill="auto"/>
            <w:noWrap/>
            <w:vAlign w:val="bottom"/>
            <w:hideMark/>
          </w:tcPr>
          <w:p w14:paraId="0C025921"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(27.400,00)</w:t>
            </w:r>
          </w:p>
        </w:tc>
        <w:tc>
          <w:tcPr>
            <w:tcW w:w="0" w:type="auto"/>
            <w:tcBorders>
              <w:top w:val="nil"/>
              <w:left w:val="nil"/>
              <w:bottom w:val="single" w:sz="8" w:space="0" w:color="auto"/>
              <w:right w:val="nil"/>
            </w:tcBorders>
            <w:shd w:val="clear" w:color="auto" w:fill="auto"/>
            <w:noWrap/>
            <w:vAlign w:val="bottom"/>
            <w:hideMark/>
          </w:tcPr>
          <w:p w14:paraId="5121EB41"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(227.400,00)</w:t>
            </w:r>
          </w:p>
        </w:tc>
        <w:tc>
          <w:tcPr>
            <w:tcW w:w="0" w:type="auto"/>
            <w:tcBorders>
              <w:top w:val="nil"/>
              <w:left w:val="nil"/>
              <w:bottom w:val="single" w:sz="8" w:space="0" w:color="auto"/>
              <w:right w:val="nil"/>
            </w:tcBorders>
            <w:shd w:val="clear" w:color="auto" w:fill="auto"/>
            <w:noWrap/>
            <w:vAlign w:val="bottom"/>
            <w:hideMark/>
          </w:tcPr>
          <w:p w14:paraId="1D4AF328"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(227.400,00)</w:t>
            </w:r>
          </w:p>
        </w:tc>
        <w:tc>
          <w:tcPr>
            <w:tcW w:w="0" w:type="auto"/>
            <w:tcBorders>
              <w:top w:val="nil"/>
              <w:left w:val="nil"/>
              <w:bottom w:val="single" w:sz="8" w:space="0" w:color="auto"/>
              <w:right w:val="nil"/>
            </w:tcBorders>
            <w:shd w:val="clear" w:color="auto" w:fill="auto"/>
            <w:noWrap/>
            <w:vAlign w:val="bottom"/>
            <w:hideMark/>
          </w:tcPr>
          <w:p w14:paraId="5F5F1780"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(227.400,00)</w:t>
            </w:r>
          </w:p>
        </w:tc>
        <w:tc>
          <w:tcPr>
            <w:tcW w:w="0" w:type="auto"/>
            <w:tcBorders>
              <w:top w:val="nil"/>
              <w:left w:val="nil"/>
              <w:bottom w:val="single" w:sz="8" w:space="0" w:color="auto"/>
              <w:right w:val="nil"/>
            </w:tcBorders>
            <w:shd w:val="clear" w:color="auto" w:fill="auto"/>
            <w:noWrap/>
            <w:vAlign w:val="bottom"/>
            <w:hideMark/>
          </w:tcPr>
          <w:p w14:paraId="5E157EC3"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(227.400,00)</w:t>
            </w:r>
          </w:p>
        </w:tc>
        <w:tc>
          <w:tcPr>
            <w:tcW w:w="0" w:type="auto"/>
            <w:tcBorders>
              <w:top w:val="nil"/>
              <w:left w:val="nil"/>
              <w:bottom w:val="single" w:sz="8" w:space="0" w:color="auto"/>
              <w:right w:val="nil"/>
            </w:tcBorders>
            <w:shd w:val="clear" w:color="auto" w:fill="auto"/>
            <w:noWrap/>
            <w:vAlign w:val="bottom"/>
            <w:hideMark/>
          </w:tcPr>
          <w:p w14:paraId="79ACE2F1"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(227.400,00)</w:t>
            </w:r>
          </w:p>
        </w:tc>
        <w:tc>
          <w:tcPr>
            <w:tcW w:w="0" w:type="auto"/>
            <w:tcBorders>
              <w:top w:val="nil"/>
              <w:left w:val="nil"/>
              <w:bottom w:val="single" w:sz="8" w:space="0" w:color="auto"/>
              <w:right w:val="nil"/>
            </w:tcBorders>
            <w:shd w:val="clear" w:color="auto" w:fill="auto"/>
            <w:noWrap/>
            <w:vAlign w:val="bottom"/>
            <w:hideMark/>
          </w:tcPr>
          <w:p w14:paraId="788B2B29"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w:t>
            </w:r>
            <w:r w:rsidRPr="00D60D2E">
              <w:rPr>
                <w:rFonts w:ascii="Calibri" w:eastAsia="Times New Roman" w:hAnsi="Calibri" w:cs="Calibri"/>
                <w:b/>
                <w:bCs/>
                <w:color w:val="FF6600"/>
                <w:sz w:val="8"/>
                <w:szCs w:val="8"/>
                <w:lang w:eastAsia="es-EC"/>
              </w:rPr>
              <w:t>(227.400,00)</w:t>
            </w:r>
          </w:p>
        </w:tc>
      </w:tr>
    </w:tbl>
    <w:p w14:paraId="1E3E45EF" w14:textId="77777777" w:rsidR="00D60D2E" w:rsidRDefault="00D60D2E">
      <w:pPr>
        <w:pStyle w:val="Prrafodelista"/>
        <w:autoSpaceDE w:val="0"/>
        <w:autoSpaceDN w:val="0"/>
        <w:adjustRightInd w:val="0"/>
        <w:spacing w:after="0" w:line="360" w:lineRule="auto"/>
        <w:ind w:left="360"/>
        <w:jc w:val="center"/>
        <w:rPr>
          <w:rFonts w:cstheme="minorHAnsi"/>
          <w:b/>
          <w:bCs/>
          <w:lang w:eastAsia="es-EC"/>
        </w:rPr>
      </w:pPr>
    </w:p>
    <w:p w14:paraId="4C26DAA1" w14:textId="77777777" w:rsidR="007B3093" w:rsidRDefault="00000000">
      <w:pPr>
        <w:pStyle w:val="Prrafodelista"/>
        <w:autoSpaceDE w:val="0"/>
        <w:autoSpaceDN w:val="0"/>
        <w:adjustRightInd w:val="0"/>
        <w:spacing w:after="0" w:line="360" w:lineRule="auto"/>
        <w:ind w:left="360"/>
        <w:jc w:val="center"/>
        <w:rPr>
          <w:rFonts w:cstheme="minorHAnsi"/>
          <w:b/>
          <w:bCs/>
          <w:lang w:eastAsia="es-EC"/>
        </w:rPr>
        <w:sectPr w:rsidR="007B3093">
          <w:pgSz w:w="16838" w:h="11906" w:orient="landscape"/>
          <w:pgMar w:top="1701" w:right="1843" w:bottom="1701" w:left="1417" w:header="568" w:footer="708" w:gutter="0"/>
          <w:cols w:space="708"/>
          <w:docGrid w:linePitch="360"/>
        </w:sectPr>
      </w:pPr>
      <w:r>
        <w:rPr>
          <w:lang w:eastAsia="es-EC"/>
        </w:rPr>
        <w:fldChar w:fldCharType="begin"/>
      </w:r>
      <w:r>
        <w:rPr>
          <w:lang w:eastAsia="es-EC"/>
        </w:rPr>
        <w:instrText xml:space="preserve"> LINK Excel.Sheet.8 "https://pgeecuador-my.sharepoint.com/personal/maira_cedeno_pge_gob_ec/Documents/Escritorio/REPROG.OCT24/24102024 Anexo 4  VIABILIDAD ECONÓMICO Y FINANCIERA vf.xls" "Flujo Financiero!F3C1:F59C15" \a \f 4 \h  \* MERGEFORMAT </w:instrText>
      </w:r>
      <w:r>
        <w:rPr>
          <w:lang w:eastAsia="es-EC"/>
        </w:rPr>
        <w:fldChar w:fldCharType="end"/>
      </w:r>
      <w:r>
        <w:rPr>
          <w:rFonts w:cstheme="minorHAnsi"/>
          <w:b/>
          <w:bCs/>
          <w:lang w:eastAsia="es-EC"/>
        </w:rPr>
        <w:t>F</w:t>
      </w:r>
      <w:r>
        <w:t xml:space="preserve">uente y elaboración:  EDG PROFIP </w:t>
      </w:r>
      <w:r>
        <w:rPr>
          <w:bCs/>
          <w:lang w:eastAsia="es-EC"/>
        </w:rPr>
        <w:t>PGE</w:t>
      </w:r>
    </w:p>
    <w:p w14:paraId="099E2849" w14:textId="77777777" w:rsidR="007B3093" w:rsidRDefault="00000000">
      <w:pPr>
        <w:pStyle w:val="Ttulo2"/>
        <w:numPr>
          <w:ilvl w:val="2"/>
          <w:numId w:val="24"/>
        </w:numPr>
        <w:spacing w:before="0" w:line="360" w:lineRule="auto"/>
        <w:ind w:left="851"/>
        <w:rPr>
          <w:rFonts w:asciiTheme="minorHAnsi" w:hAnsiTheme="minorHAnsi" w:cstheme="minorHAnsi"/>
          <w:b/>
          <w:color w:val="auto"/>
          <w:sz w:val="22"/>
          <w:szCs w:val="22"/>
        </w:rPr>
      </w:pPr>
      <w:bookmarkStart w:id="76" w:name="_Toc195010087"/>
      <w:r>
        <w:rPr>
          <w:rFonts w:asciiTheme="minorHAnsi" w:hAnsiTheme="minorHAnsi" w:cstheme="minorHAnsi"/>
          <w:b/>
          <w:color w:val="auto"/>
          <w:sz w:val="22"/>
          <w:szCs w:val="22"/>
        </w:rPr>
        <w:lastRenderedPageBreak/>
        <w:t>Indicadores financieros fiscales</w:t>
      </w:r>
      <w:bookmarkEnd w:id="76"/>
    </w:p>
    <w:p w14:paraId="137C2B2D" w14:textId="77777777" w:rsidR="007B3093" w:rsidRDefault="00000000">
      <w:pPr>
        <w:pStyle w:val="Prrafodelista"/>
        <w:spacing w:before="120" w:after="120" w:line="360" w:lineRule="auto"/>
        <w:ind w:left="142"/>
        <w:contextualSpacing w:val="0"/>
        <w:jc w:val="both"/>
        <w:rPr>
          <w:rFonts w:cstheme="minorHAnsi"/>
          <w:bCs/>
          <w:color w:val="000000"/>
          <w:lang w:eastAsia="es-EC"/>
        </w:rPr>
      </w:pPr>
      <w:r>
        <w:rPr>
          <w:rFonts w:cstheme="minorHAnsi"/>
          <w:bCs/>
          <w:color w:val="000000"/>
          <w:lang w:eastAsia="es-EC"/>
        </w:rPr>
        <w:t>Por ser un proyecto de tipo social de fortalecimiento y mejora para la prestación de servicios, este carece de ingresos, sus flujos son valores negativos por la inversión realizada; como consecuencia tiene un VAN negativo y la ausencia de flujo positivos impide el cálculo de la TIR.</w:t>
      </w:r>
    </w:p>
    <w:p w14:paraId="1D9108BC" w14:textId="77777777" w:rsidR="007B3093" w:rsidRDefault="00000000">
      <w:pPr>
        <w:pStyle w:val="Prrafodelista"/>
        <w:spacing w:before="120" w:after="120" w:line="360" w:lineRule="auto"/>
        <w:ind w:left="142"/>
        <w:contextualSpacing w:val="0"/>
        <w:jc w:val="both"/>
        <w:rPr>
          <w:rFonts w:cstheme="minorHAnsi"/>
          <w:bCs/>
          <w:color w:val="000000"/>
          <w:lang w:eastAsia="es-EC"/>
        </w:rPr>
      </w:pPr>
      <w:r>
        <w:rPr>
          <w:rFonts w:cstheme="minorHAnsi"/>
          <w:bCs/>
          <w:color w:val="000000"/>
          <w:lang w:eastAsia="es-EC"/>
        </w:rPr>
        <w:t>En ese sentido la evaluación financiera presenta los siguientes indicadores:</w:t>
      </w:r>
    </w:p>
    <w:p w14:paraId="6008CE4A" w14:textId="77777777" w:rsidR="007B3093" w:rsidRDefault="007B3093">
      <w:pPr>
        <w:pStyle w:val="Prrafodelista"/>
        <w:spacing w:before="120" w:after="120" w:line="360" w:lineRule="auto"/>
        <w:ind w:left="142"/>
        <w:contextualSpacing w:val="0"/>
        <w:jc w:val="both"/>
        <w:rPr>
          <w:rFonts w:cstheme="minorHAnsi"/>
          <w:bCs/>
          <w:color w:val="000000"/>
          <w:lang w:eastAsia="es-EC"/>
        </w:rPr>
      </w:pPr>
    </w:p>
    <w:p w14:paraId="4CDEDD5A" w14:textId="77777777" w:rsidR="007B3093" w:rsidRDefault="00000000">
      <w:pPr>
        <w:autoSpaceDE w:val="0"/>
        <w:autoSpaceDN w:val="0"/>
        <w:adjustRightInd w:val="0"/>
        <w:spacing w:after="0" w:line="360" w:lineRule="auto"/>
        <w:ind w:left="-502" w:right="-1"/>
        <w:jc w:val="center"/>
        <w:rPr>
          <w:rFonts w:cstheme="minorHAnsi"/>
        </w:rPr>
      </w:pPr>
      <w:r>
        <w:rPr>
          <w:rFonts w:cstheme="minorHAnsi"/>
          <w:bCs/>
          <w:color w:val="000000"/>
          <w:lang w:eastAsia="es-EC"/>
        </w:rPr>
        <w:tab/>
      </w:r>
      <w:r>
        <w:rPr>
          <w:rFonts w:cstheme="minorHAnsi"/>
          <w:b/>
        </w:rPr>
        <w:t>Tabla No. 25: Indicadores Financieros</w:t>
      </w:r>
    </w:p>
    <w:tbl>
      <w:tblPr>
        <w:tblW w:w="4501" w:type="dxa"/>
        <w:tblInd w:w="2584" w:type="dxa"/>
        <w:tblLook w:val="04A0" w:firstRow="1" w:lastRow="0" w:firstColumn="1" w:lastColumn="0" w:noHBand="0" w:noVBand="1"/>
      </w:tblPr>
      <w:tblGrid>
        <w:gridCol w:w="2233"/>
        <w:gridCol w:w="2268"/>
      </w:tblGrid>
      <w:tr w:rsidR="007B3093" w14:paraId="3C494273" w14:textId="77777777">
        <w:trPr>
          <w:trHeight w:val="300"/>
        </w:trPr>
        <w:tc>
          <w:tcPr>
            <w:tcW w:w="2233" w:type="dxa"/>
            <w:tcBorders>
              <w:top w:val="single" w:sz="4" w:space="0" w:color="auto"/>
              <w:left w:val="single" w:sz="4" w:space="0" w:color="auto"/>
              <w:bottom w:val="single" w:sz="4" w:space="0" w:color="auto"/>
              <w:right w:val="single" w:sz="4" w:space="0" w:color="auto"/>
            </w:tcBorders>
            <w:shd w:val="clear" w:color="auto" w:fill="2F5496" w:themeFill="accent5" w:themeFillShade="BF"/>
            <w:noWrap/>
            <w:vAlign w:val="bottom"/>
            <w:hideMark/>
          </w:tcPr>
          <w:p w14:paraId="1CDE91D3" w14:textId="77777777" w:rsidR="007B3093" w:rsidRDefault="00000000">
            <w:pPr>
              <w:spacing w:after="0" w:line="240" w:lineRule="auto"/>
              <w:rPr>
                <w:rFonts w:ascii="Calibri" w:eastAsia="Times New Roman" w:hAnsi="Calibri" w:cs="Calibri"/>
                <w:color w:val="FFFFFF" w:themeColor="background1"/>
                <w:lang w:val="en-US"/>
              </w:rPr>
            </w:pPr>
            <w:r>
              <w:rPr>
                <w:rFonts w:ascii="Calibri" w:eastAsia="Times New Roman" w:hAnsi="Calibri" w:cs="Calibri"/>
                <w:color w:val="FFFFFF" w:themeColor="background1"/>
                <w:lang w:val="en-US"/>
              </w:rPr>
              <w:t xml:space="preserve">Tasa de </w:t>
            </w:r>
            <w:proofErr w:type="spellStart"/>
            <w:r>
              <w:rPr>
                <w:rFonts w:ascii="Calibri" w:eastAsia="Times New Roman" w:hAnsi="Calibri" w:cs="Calibri"/>
                <w:color w:val="FFFFFF" w:themeColor="background1"/>
                <w:lang w:val="en-US"/>
              </w:rPr>
              <w:t>descuento</w:t>
            </w:r>
            <w:proofErr w:type="spellEnd"/>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18D141C"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12,00%</w:t>
            </w:r>
          </w:p>
        </w:tc>
      </w:tr>
      <w:tr w:rsidR="007B3093" w14:paraId="0BA26EF6" w14:textId="77777777">
        <w:trPr>
          <w:trHeight w:val="300"/>
        </w:trPr>
        <w:tc>
          <w:tcPr>
            <w:tcW w:w="2233" w:type="dxa"/>
            <w:tcBorders>
              <w:top w:val="nil"/>
              <w:left w:val="single" w:sz="4" w:space="0" w:color="auto"/>
              <w:bottom w:val="single" w:sz="4" w:space="0" w:color="auto"/>
              <w:right w:val="single" w:sz="4" w:space="0" w:color="auto"/>
            </w:tcBorders>
            <w:shd w:val="clear" w:color="auto" w:fill="2F5496" w:themeFill="accent5" w:themeFillShade="BF"/>
            <w:noWrap/>
            <w:vAlign w:val="bottom"/>
            <w:hideMark/>
          </w:tcPr>
          <w:p w14:paraId="61870C2B" w14:textId="77777777" w:rsidR="007B3093" w:rsidRDefault="00000000">
            <w:pPr>
              <w:spacing w:after="0" w:line="240" w:lineRule="auto"/>
              <w:rPr>
                <w:rFonts w:ascii="Calibri" w:eastAsia="Times New Roman" w:hAnsi="Calibri" w:cs="Calibri"/>
                <w:color w:val="FFFFFF" w:themeColor="background1"/>
                <w:lang w:val="en-US"/>
              </w:rPr>
            </w:pPr>
            <w:r>
              <w:rPr>
                <w:rFonts w:ascii="Calibri" w:eastAsia="Times New Roman" w:hAnsi="Calibri" w:cs="Calibri"/>
                <w:color w:val="FFFFFF" w:themeColor="background1"/>
                <w:lang w:val="en-US"/>
              </w:rPr>
              <w:t>VAN</w:t>
            </w:r>
          </w:p>
        </w:tc>
        <w:tc>
          <w:tcPr>
            <w:tcW w:w="2268" w:type="dxa"/>
            <w:tcBorders>
              <w:top w:val="nil"/>
              <w:left w:val="nil"/>
              <w:bottom w:val="single" w:sz="4" w:space="0" w:color="auto"/>
              <w:right w:val="single" w:sz="4" w:space="0" w:color="auto"/>
            </w:tcBorders>
            <w:shd w:val="clear" w:color="auto" w:fill="auto"/>
            <w:noWrap/>
            <w:vAlign w:val="center"/>
            <w:hideMark/>
          </w:tcPr>
          <w:p w14:paraId="14EAB806"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 xml:space="preserve"> NO ES RENTABLE </w:t>
            </w:r>
          </w:p>
        </w:tc>
      </w:tr>
      <w:tr w:rsidR="007B3093" w14:paraId="0FE16CA9" w14:textId="77777777">
        <w:trPr>
          <w:trHeight w:val="300"/>
        </w:trPr>
        <w:tc>
          <w:tcPr>
            <w:tcW w:w="2233" w:type="dxa"/>
            <w:tcBorders>
              <w:top w:val="nil"/>
              <w:left w:val="single" w:sz="4" w:space="0" w:color="auto"/>
              <w:bottom w:val="single" w:sz="4" w:space="0" w:color="auto"/>
              <w:right w:val="single" w:sz="4" w:space="0" w:color="auto"/>
            </w:tcBorders>
            <w:shd w:val="clear" w:color="auto" w:fill="2F5496" w:themeFill="accent5" w:themeFillShade="BF"/>
            <w:noWrap/>
            <w:vAlign w:val="bottom"/>
            <w:hideMark/>
          </w:tcPr>
          <w:p w14:paraId="7187905B" w14:textId="77777777" w:rsidR="007B3093" w:rsidRDefault="00000000">
            <w:pPr>
              <w:spacing w:after="0" w:line="240" w:lineRule="auto"/>
              <w:rPr>
                <w:rFonts w:ascii="Calibri" w:eastAsia="Times New Roman" w:hAnsi="Calibri" w:cs="Calibri"/>
                <w:color w:val="FFFFFF" w:themeColor="background1"/>
                <w:lang w:val="en-US"/>
              </w:rPr>
            </w:pPr>
            <w:r>
              <w:rPr>
                <w:rFonts w:ascii="Calibri" w:eastAsia="Times New Roman" w:hAnsi="Calibri" w:cs="Calibri"/>
                <w:color w:val="FFFFFF" w:themeColor="background1"/>
                <w:lang w:val="en-US"/>
              </w:rPr>
              <w:t>TIR</w:t>
            </w:r>
          </w:p>
        </w:tc>
        <w:tc>
          <w:tcPr>
            <w:tcW w:w="2268" w:type="dxa"/>
            <w:tcBorders>
              <w:top w:val="nil"/>
              <w:left w:val="nil"/>
              <w:bottom w:val="single" w:sz="4" w:space="0" w:color="auto"/>
              <w:right w:val="single" w:sz="4" w:space="0" w:color="auto"/>
            </w:tcBorders>
            <w:shd w:val="clear" w:color="auto" w:fill="auto"/>
            <w:noWrap/>
            <w:vAlign w:val="center"/>
            <w:hideMark/>
          </w:tcPr>
          <w:p w14:paraId="78B9EDB7"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NO ES VIABLE</w:t>
            </w:r>
          </w:p>
        </w:tc>
      </w:tr>
      <w:tr w:rsidR="007B3093" w14:paraId="59F8562F" w14:textId="77777777">
        <w:trPr>
          <w:trHeight w:val="300"/>
        </w:trPr>
        <w:tc>
          <w:tcPr>
            <w:tcW w:w="2233" w:type="dxa"/>
            <w:tcBorders>
              <w:top w:val="nil"/>
              <w:left w:val="single" w:sz="4" w:space="0" w:color="auto"/>
              <w:bottom w:val="single" w:sz="4" w:space="0" w:color="auto"/>
              <w:right w:val="single" w:sz="4" w:space="0" w:color="auto"/>
            </w:tcBorders>
            <w:shd w:val="clear" w:color="auto" w:fill="2F5496" w:themeFill="accent5" w:themeFillShade="BF"/>
            <w:noWrap/>
            <w:vAlign w:val="bottom"/>
            <w:hideMark/>
          </w:tcPr>
          <w:p w14:paraId="56124784" w14:textId="77777777" w:rsidR="007B3093" w:rsidRDefault="00000000">
            <w:pPr>
              <w:spacing w:after="0" w:line="240" w:lineRule="auto"/>
              <w:rPr>
                <w:rFonts w:ascii="Calibri" w:eastAsia="Times New Roman" w:hAnsi="Calibri" w:cs="Calibri"/>
                <w:color w:val="FFFFFF" w:themeColor="background1"/>
                <w:lang w:val="en-US"/>
              </w:rPr>
            </w:pPr>
            <w:r>
              <w:rPr>
                <w:rFonts w:ascii="Calibri" w:eastAsia="Times New Roman" w:hAnsi="Calibri" w:cs="Calibri"/>
                <w:color w:val="FFFFFF" w:themeColor="background1"/>
                <w:lang w:val="en-US"/>
              </w:rPr>
              <w:t>B/C</w:t>
            </w:r>
          </w:p>
        </w:tc>
        <w:tc>
          <w:tcPr>
            <w:tcW w:w="2268" w:type="dxa"/>
            <w:tcBorders>
              <w:top w:val="nil"/>
              <w:left w:val="nil"/>
              <w:bottom w:val="single" w:sz="4" w:space="0" w:color="auto"/>
              <w:right w:val="single" w:sz="4" w:space="0" w:color="auto"/>
            </w:tcBorders>
            <w:shd w:val="clear" w:color="auto" w:fill="auto"/>
            <w:noWrap/>
            <w:vAlign w:val="center"/>
            <w:hideMark/>
          </w:tcPr>
          <w:p w14:paraId="164E6EAB"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0,0000</w:t>
            </w:r>
          </w:p>
        </w:tc>
      </w:tr>
    </w:tbl>
    <w:p w14:paraId="270F2E87" w14:textId="77777777" w:rsidR="007B3093" w:rsidRDefault="007B3093">
      <w:pPr>
        <w:pStyle w:val="Ttulo2"/>
        <w:spacing w:before="240" w:line="360" w:lineRule="auto"/>
        <w:rPr>
          <w:rFonts w:asciiTheme="minorHAnsi" w:hAnsiTheme="minorHAnsi" w:cstheme="minorHAnsi"/>
          <w:b/>
          <w:color w:val="auto"/>
          <w:sz w:val="22"/>
          <w:szCs w:val="22"/>
        </w:rPr>
      </w:pPr>
    </w:p>
    <w:p w14:paraId="0C78C8A3" w14:textId="77777777" w:rsidR="007B3093" w:rsidRDefault="00000000">
      <w:pPr>
        <w:pStyle w:val="Ttulo2"/>
        <w:numPr>
          <w:ilvl w:val="1"/>
          <w:numId w:val="24"/>
        </w:numPr>
        <w:spacing w:before="240" w:line="360" w:lineRule="auto"/>
        <w:ind w:left="283" w:hanging="357"/>
        <w:rPr>
          <w:rFonts w:asciiTheme="minorHAnsi" w:hAnsiTheme="minorHAnsi" w:cstheme="minorHAnsi"/>
          <w:b/>
          <w:color w:val="auto"/>
          <w:sz w:val="22"/>
          <w:szCs w:val="22"/>
        </w:rPr>
      </w:pPr>
      <w:bookmarkStart w:id="77" w:name="_Toc195010088"/>
      <w:r>
        <w:rPr>
          <w:rFonts w:asciiTheme="minorHAnsi" w:hAnsiTheme="minorHAnsi" w:cstheme="minorHAnsi"/>
          <w:b/>
          <w:color w:val="auto"/>
          <w:sz w:val="22"/>
          <w:szCs w:val="22"/>
        </w:rPr>
        <w:t>Viabilidad económica</w:t>
      </w:r>
      <w:bookmarkEnd w:id="77"/>
    </w:p>
    <w:p w14:paraId="10B5D5A8" w14:textId="77777777" w:rsidR="007B3093" w:rsidRDefault="00000000">
      <w:pPr>
        <w:pStyle w:val="Ttulo2"/>
        <w:numPr>
          <w:ilvl w:val="2"/>
          <w:numId w:val="24"/>
        </w:numPr>
        <w:spacing w:before="0" w:line="360" w:lineRule="auto"/>
        <w:ind w:left="851"/>
        <w:rPr>
          <w:rFonts w:asciiTheme="minorHAnsi" w:hAnsiTheme="minorHAnsi" w:cstheme="minorHAnsi"/>
          <w:b/>
          <w:color w:val="auto"/>
          <w:sz w:val="22"/>
          <w:szCs w:val="22"/>
        </w:rPr>
      </w:pPr>
      <w:bookmarkStart w:id="78" w:name="_Toc159916420"/>
      <w:bookmarkStart w:id="79" w:name="_Toc195010089"/>
      <w:r>
        <w:rPr>
          <w:rFonts w:asciiTheme="minorHAnsi" w:hAnsiTheme="minorHAnsi" w:cstheme="minorHAnsi"/>
          <w:b/>
          <w:color w:val="auto"/>
          <w:sz w:val="22"/>
          <w:szCs w:val="22"/>
        </w:rPr>
        <w:t>Indicadores económicos</w:t>
      </w:r>
      <w:bookmarkEnd w:id="78"/>
      <w:bookmarkEnd w:id="79"/>
    </w:p>
    <w:p w14:paraId="2AD2499A" w14:textId="77777777" w:rsidR="007B3093" w:rsidRDefault="00000000">
      <w:pPr>
        <w:pStyle w:val="Prrafodelista"/>
        <w:spacing w:before="120" w:after="120" w:line="360" w:lineRule="auto"/>
        <w:ind w:left="142"/>
        <w:contextualSpacing w:val="0"/>
        <w:jc w:val="both"/>
        <w:rPr>
          <w:rFonts w:cstheme="minorHAnsi"/>
        </w:rPr>
      </w:pPr>
      <w:r>
        <w:rPr>
          <w:rFonts w:cstheme="minorHAnsi"/>
        </w:rPr>
        <w:t>El resumen del cálculo de los parámetros de la evaluación económica del proyecto, se presentan a continuación:</w:t>
      </w:r>
    </w:p>
    <w:p w14:paraId="605E5BEE" w14:textId="77777777" w:rsidR="007B3093" w:rsidRDefault="007B3093">
      <w:pPr>
        <w:pStyle w:val="Prrafodelista"/>
        <w:spacing w:before="120" w:after="120" w:line="360" w:lineRule="auto"/>
        <w:ind w:left="142"/>
        <w:contextualSpacing w:val="0"/>
        <w:jc w:val="both"/>
        <w:rPr>
          <w:rFonts w:cstheme="minorHAnsi"/>
        </w:rPr>
      </w:pPr>
    </w:p>
    <w:p w14:paraId="1EF9A223" w14:textId="77777777" w:rsidR="007B3093" w:rsidRDefault="00000000">
      <w:pPr>
        <w:spacing w:before="120" w:after="120" w:line="360" w:lineRule="auto"/>
        <w:jc w:val="both"/>
        <w:rPr>
          <w:rFonts w:cstheme="minorHAnsi"/>
          <w:b/>
        </w:rPr>
      </w:pPr>
      <w:r>
        <w:rPr>
          <w:rFonts w:cstheme="minorHAnsi"/>
          <w:b/>
        </w:rPr>
        <w:t xml:space="preserve">                                                  Tabla No. 26: Indicadores económicos</w:t>
      </w:r>
    </w:p>
    <w:tbl>
      <w:tblPr>
        <w:tblW w:w="4633" w:type="dxa"/>
        <w:tblInd w:w="2547" w:type="dxa"/>
        <w:tblCellMar>
          <w:left w:w="70" w:type="dxa"/>
          <w:right w:w="70" w:type="dxa"/>
        </w:tblCellMar>
        <w:tblLook w:val="04A0" w:firstRow="1" w:lastRow="0" w:firstColumn="1" w:lastColumn="0" w:noHBand="0" w:noVBand="1"/>
      </w:tblPr>
      <w:tblGrid>
        <w:gridCol w:w="2551"/>
        <w:gridCol w:w="2082"/>
      </w:tblGrid>
      <w:tr w:rsidR="007B3093" w14:paraId="7D9E4C40" w14:textId="77777777">
        <w:trPr>
          <w:trHeight w:val="288"/>
        </w:trPr>
        <w:tc>
          <w:tcPr>
            <w:tcW w:w="2551"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14:paraId="69CDE909" w14:textId="77777777" w:rsidR="007B3093" w:rsidRDefault="00000000">
            <w:pPr>
              <w:spacing w:after="0" w:line="240" w:lineRule="auto"/>
              <w:rPr>
                <w:rFonts w:ascii="Calibri" w:eastAsia="Times New Roman" w:hAnsi="Calibri" w:cs="Calibri"/>
                <w:color w:val="F2F2F2" w:themeColor="background1" w:themeShade="F2"/>
                <w:lang w:eastAsia="es-EC"/>
              </w:rPr>
            </w:pPr>
            <w:r>
              <w:rPr>
                <w:rFonts w:ascii="Calibri" w:eastAsia="Times New Roman" w:hAnsi="Calibri" w:cs="Calibri"/>
                <w:color w:val="F2F2F2" w:themeColor="background1" w:themeShade="F2"/>
                <w:lang w:eastAsia="es-EC"/>
              </w:rPr>
              <w:t>Tasa de descuento</w:t>
            </w:r>
          </w:p>
        </w:tc>
        <w:tc>
          <w:tcPr>
            <w:tcW w:w="2082" w:type="dxa"/>
            <w:tcBorders>
              <w:top w:val="single" w:sz="4" w:space="0" w:color="auto"/>
              <w:left w:val="nil"/>
              <w:bottom w:val="single" w:sz="4" w:space="0" w:color="auto"/>
              <w:right w:val="single" w:sz="4" w:space="0" w:color="auto"/>
            </w:tcBorders>
            <w:shd w:val="clear" w:color="auto" w:fill="auto"/>
            <w:noWrap/>
            <w:vAlign w:val="bottom"/>
            <w:hideMark/>
          </w:tcPr>
          <w:p w14:paraId="1B71F3AF" w14:textId="77777777" w:rsidR="007B3093" w:rsidRDefault="00000000">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12,00%</w:t>
            </w:r>
          </w:p>
        </w:tc>
      </w:tr>
      <w:tr w:rsidR="007B3093" w14:paraId="0EF17939" w14:textId="77777777">
        <w:trPr>
          <w:trHeight w:val="288"/>
        </w:trPr>
        <w:tc>
          <w:tcPr>
            <w:tcW w:w="2551"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3CE01E9F" w14:textId="77777777" w:rsidR="007B3093" w:rsidRDefault="00000000">
            <w:pPr>
              <w:spacing w:after="0" w:line="240" w:lineRule="auto"/>
              <w:rPr>
                <w:rFonts w:ascii="Calibri" w:eastAsia="Times New Roman" w:hAnsi="Calibri" w:cs="Calibri"/>
                <w:color w:val="F2F2F2" w:themeColor="background1" w:themeShade="F2"/>
                <w:lang w:eastAsia="es-EC"/>
              </w:rPr>
            </w:pPr>
            <w:r>
              <w:rPr>
                <w:rFonts w:ascii="Calibri" w:eastAsia="Times New Roman" w:hAnsi="Calibri" w:cs="Calibri"/>
                <w:color w:val="F2F2F2" w:themeColor="background1" w:themeShade="F2"/>
                <w:lang w:eastAsia="es-EC"/>
              </w:rPr>
              <w:t>VAN</w:t>
            </w:r>
          </w:p>
        </w:tc>
        <w:tc>
          <w:tcPr>
            <w:tcW w:w="2082" w:type="dxa"/>
            <w:tcBorders>
              <w:top w:val="nil"/>
              <w:left w:val="nil"/>
              <w:bottom w:val="single" w:sz="4" w:space="0" w:color="auto"/>
              <w:right w:val="single" w:sz="4" w:space="0" w:color="auto"/>
            </w:tcBorders>
            <w:shd w:val="clear" w:color="auto" w:fill="auto"/>
            <w:noWrap/>
            <w:vAlign w:val="center"/>
            <w:hideMark/>
          </w:tcPr>
          <w:p w14:paraId="7D039ED6"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 xml:space="preserve">            933.216,51 </w:t>
            </w:r>
          </w:p>
        </w:tc>
      </w:tr>
      <w:tr w:rsidR="007B3093" w14:paraId="3320F6C6" w14:textId="77777777">
        <w:trPr>
          <w:trHeight w:val="288"/>
        </w:trPr>
        <w:tc>
          <w:tcPr>
            <w:tcW w:w="2551"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60C42E63" w14:textId="77777777" w:rsidR="007B3093" w:rsidRDefault="00000000">
            <w:pPr>
              <w:spacing w:after="0" w:line="240" w:lineRule="auto"/>
              <w:rPr>
                <w:rFonts w:ascii="Calibri" w:eastAsia="Times New Roman" w:hAnsi="Calibri" w:cs="Calibri"/>
                <w:color w:val="F2F2F2" w:themeColor="background1" w:themeShade="F2"/>
                <w:lang w:eastAsia="es-EC"/>
              </w:rPr>
            </w:pPr>
            <w:r>
              <w:rPr>
                <w:rFonts w:ascii="Calibri" w:eastAsia="Times New Roman" w:hAnsi="Calibri" w:cs="Calibri"/>
                <w:color w:val="F2F2F2" w:themeColor="background1" w:themeShade="F2"/>
                <w:lang w:eastAsia="es-EC"/>
              </w:rPr>
              <w:t>TIR</w:t>
            </w:r>
          </w:p>
        </w:tc>
        <w:tc>
          <w:tcPr>
            <w:tcW w:w="2082" w:type="dxa"/>
            <w:tcBorders>
              <w:top w:val="nil"/>
              <w:left w:val="nil"/>
              <w:bottom w:val="single" w:sz="4" w:space="0" w:color="auto"/>
              <w:right w:val="single" w:sz="4" w:space="0" w:color="auto"/>
            </w:tcBorders>
            <w:shd w:val="clear" w:color="auto" w:fill="auto"/>
            <w:noWrap/>
            <w:vAlign w:val="center"/>
            <w:hideMark/>
          </w:tcPr>
          <w:p w14:paraId="61346C05" w14:textId="77777777" w:rsidR="007B3093" w:rsidRDefault="00000000">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17,20%</w:t>
            </w:r>
          </w:p>
        </w:tc>
      </w:tr>
      <w:tr w:rsidR="007B3093" w14:paraId="27F72182" w14:textId="77777777">
        <w:trPr>
          <w:trHeight w:val="288"/>
        </w:trPr>
        <w:tc>
          <w:tcPr>
            <w:tcW w:w="2551"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12A7E68B" w14:textId="77777777" w:rsidR="007B3093" w:rsidRDefault="00000000">
            <w:pPr>
              <w:spacing w:after="0" w:line="240" w:lineRule="auto"/>
              <w:rPr>
                <w:rFonts w:ascii="Calibri" w:eastAsia="Times New Roman" w:hAnsi="Calibri" w:cs="Calibri"/>
                <w:color w:val="F2F2F2" w:themeColor="background1" w:themeShade="F2"/>
                <w:lang w:eastAsia="es-EC"/>
              </w:rPr>
            </w:pPr>
            <w:r>
              <w:rPr>
                <w:rFonts w:ascii="Calibri" w:eastAsia="Times New Roman" w:hAnsi="Calibri" w:cs="Calibri"/>
                <w:color w:val="F2F2F2" w:themeColor="background1" w:themeShade="F2"/>
                <w:lang w:eastAsia="es-EC"/>
              </w:rPr>
              <w:t>B/C</w:t>
            </w:r>
          </w:p>
        </w:tc>
        <w:tc>
          <w:tcPr>
            <w:tcW w:w="2082" w:type="dxa"/>
            <w:tcBorders>
              <w:top w:val="nil"/>
              <w:left w:val="nil"/>
              <w:bottom w:val="single" w:sz="4" w:space="0" w:color="auto"/>
              <w:right w:val="single" w:sz="4" w:space="0" w:color="auto"/>
            </w:tcBorders>
            <w:shd w:val="clear" w:color="auto" w:fill="auto"/>
            <w:noWrap/>
            <w:vAlign w:val="center"/>
            <w:hideMark/>
          </w:tcPr>
          <w:p w14:paraId="4E442974" w14:textId="77777777" w:rsidR="007B3093" w:rsidRDefault="00000000">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1,16</w:t>
            </w:r>
          </w:p>
        </w:tc>
      </w:tr>
    </w:tbl>
    <w:p w14:paraId="4ECD2DF3" w14:textId="77777777" w:rsidR="007B3093" w:rsidRDefault="007B3093">
      <w:pPr>
        <w:spacing w:before="120" w:after="120" w:line="360" w:lineRule="auto"/>
        <w:jc w:val="both"/>
        <w:rPr>
          <w:rFonts w:cstheme="minorHAnsi"/>
        </w:rPr>
      </w:pPr>
    </w:p>
    <w:p w14:paraId="3068A62F"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Es importante señalar que existen beneficios económicos adicionales que genera la implementación del presente proyecto, como la reducción del Riesgo Fiscal generado por las demandas al Estado ecuatoriano, sin embargo, no han sido cuantificadas para mantener indicadores económicos razonables. </w:t>
      </w:r>
    </w:p>
    <w:p w14:paraId="39BC29EC" w14:textId="77777777" w:rsidR="007B3093" w:rsidRDefault="00000000">
      <w:pPr>
        <w:pStyle w:val="Prrafodelista"/>
        <w:spacing w:before="120" w:after="120" w:line="360" w:lineRule="auto"/>
        <w:ind w:left="142"/>
        <w:contextualSpacing w:val="0"/>
        <w:jc w:val="both"/>
        <w:rPr>
          <w:rFonts w:cstheme="minorHAnsi"/>
        </w:rPr>
      </w:pPr>
      <w:r>
        <w:rPr>
          <w:rFonts w:cstheme="minorHAnsi"/>
        </w:rPr>
        <w:t>Para obtener los costos evitados del proyecto se parte de las estadísticas históricas de cada proceso de la gestión que se muestran en el documento presentado para los años 2016, 2017 y 2018. De estos datos se obtuvieron los siguientes promedios ponderados:</w:t>
      </w:r>
    </w:p>
    <w:p w14:paraId="02A11C34" w14:textId="77777777" w:rsidR="007B3093" w:rsidRDefault="007B3093">
      <w:pPr>
        <w:pStyle w:val="Prrafodelista"/>
        <w:spacing w:before="120" w:after="120" w:line="360" w:lineRule="auto"/>
        <w:ind w:left="142"/>
        <w:contextualSpacing w:val="0"/>
        <w:jc w:val="both"/>
        <w:rPr>
          <w:rFonts w:cstheme="minorHAnsi"/>
        </w:rPr>
      </w:pPr>
    </w:p>
    <w:p w14:paraId="79C3A5B8" w14:textId="77777777" w:rsidR="007B3093" w:rsidRDefault="00000000">
      <w:pPr>
        <w:autoSpaceDE w:val="0"/>
        <w:autoSpaceDN w:val="0"/>
        <w:adjustRightInd w:val="0"/>
        <w:spacing w:after="0" w:line="360" w:lineRule="auto"/>
        <w:ind w:left="-502" w:right="-1"/>
        <w:jc w:val="center"/>
        <w:rPr>
          <w:rFonts w:cstheme="minorHAnsi"/>
          <w:b/>
        </w:rPr>
      </w:pPr>
      <w:r>
        <w:rPr>
          <w:rFonts w:cstheme="minorHAnsi"/>
          <w:b/>
        </w:rPr>
        <w:lastRenderedPageBreak/>
        <w:t>Tabla No. 27: Costos por hora promedio</w:t>
      </w:r>
    </w:p>
    <w:p w14:paraId="61B971D7" w14:textId="77777777" w:rsidR="007B3093" w:rsidRDefault="007B3093">
      <w:pPr>
        <w:autoSpaceDE w:val="0"/>
        <w:autoSpaceDN w:val="0"/>
        <w:adjustRightInd w:val="0"/>
        <w:spacing w:after="0" w:line="360" w:lineRule="auto"/>
        <w:ind w:left="-502" w:right="-1"/>
        <w:jc w:val="center"/>
        <w:rPr>
          <w:rFonts w:cstheme="minorHAnsi"/>
        </w:rPr>
      </w:pPr>
    </w:p>
    <w:tbl>
      <w:tblPr>
        <w:tblW w:w="3820" w:type="dxa"/>
        <w:jc w:val="center"/>
        <w:tblCellMar>
          <w:left w:w="70" w:type="dxa"/>
          <w:right w:w="70" w:type="dxa"/>
        </w:tblCellMar>
        <w:tblLook w:val="04A0" w:firstRow="1" w:lastRow="0" w:firstColumn="1" w:lastColumn="0" w:noHBand="0" w:noVBand="1"/>
      </w:tblPr>
      <w:tblGrid>
        <w:gridCol w:w="1380"/>
        <w:gridCol w:w="920"/>
        <w:gridCol w:w="1520"/>
      </w:tblGrid>
      <w:tr w:rsidR="007B3093" w14:paraId="618E0047" w14:textId="77777777">
        <w:trPr>
          <w:trHeight w:val="300"/>
          <w:jc w:val="center"/>
        </w:trPr>
        <w:tc>
          <w:tcPr>
            <w:tcW w:w="1380" w:type="dxa"/>
            <w:tcBorders>
              <w:top w:val="nil"/>
              <w:left w:val="nil"/>
              <w:bottom w:val="nil"/>
              <w:right w:val="nil"/>
            </w:tcBorders>
            <w:shd w:val="clear" w:color="auto" w:fill="auto"/>
            <w:noWrap/>
            <w:vAlign w:val="bottom"/>
            <w:hideMark/>
          </w:tcPr>
          <w:p w14:paraId="2251288A" w14:textId="77777777" w:rsidR="007B3093" w:rsidRDefault="007B3093">
            <w:pPr>
              <w:spacing w:after="0" w:line="240" w:lineRule="auto"/>
              <w:jc w:val="center"/>
              <w:rPr>
                <w:rFonts w:ascii="Times New Roman" w:eastAsia="Times New Roman" w:hAnsi="Times New Roman" w:cs="Times New Roman"/>
                <w:sz w:val="20"/>
                <w:szCs w:val="24"/>
                <w:lang w:eastAsia="es-EC"/>
              </w:rPr>
            </w:pPr>
          </w:p>
        </w:tc>
        <w:tc>
          <w:tcPr>
            <w:tcW w:w="92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E8CEB09" w14:textId="77777777" w:rsidR="007B3093" w:rsidRDefault="00000000">
            <w:pPr>
              <w:spacing w:after="0" w:line="240" w:lineRule="auto"/>
              <w:jc w:val="center"/>
              <w:rPr>
                <w:rFonts w:ascii="Calibri" w:eastAsia="Times New Roman" w:hAnsi="Calibri" w:cs="Calibri"/>
                <w:b/>
                <w:color w:val="FFFFFF" w:themeColor="background1"/>
                <w:sz w:val="20"/>
                <w:lang w:eastAsia="es-EC"/>
              </w:rPr>
            </w:pPr>
            <w:r>
              <w:rPr>
                <w:rFonts w:ascii="Calibri" w:eastAsia="Times New Roman" w:hAnsi="Calibri" w:cs="Calibri"/>
                <w:b/>
                <w:color w:val="FFFFFF" w:themeColor="background1"/>
                <w:sz w:val="20"/>
                <w:lang w:eastAsia="es-EC"/>
              </w:rPr>
              <w:t>Número</w:t>
            </w:r>
          </w:p>
        </w:tc>
        <w:tc>
          <w:tcPr>
            <w:tcW w:w="1520" w:type="dxa"/>
            <w:tcBorders>
              <w:top w:val="single" w:sz="4" w:space="0" w:color="auto"/>
              <w:left w:val="nil"/>
              <w:bottom w:val="single" w:sz="4" w:space="0" w:color="auto"/>
              <w:right w:val="single" w:sz="4" w:space="0" w:color="auto"/>
            </w:tcBorders>
            <w:shd w:val="clear" w:color="auto" w:fill="002060"/>
            <w:noWrap/>
            <w:vAlign w:val="bottom"/>
            <w:hideMark/>
          </w:tcPr>
          <w:p w14:paraId="1F2174E4" w14:textId="77777777" w:rsidR="007B3093" w:rsidRDefault="00000000">
            <w:pPr>
              <w:spacing w:after="0" w:line="240" w:lineRule="auto"/>
              <w:jc w:val="center"/>
              <w:rPr>
                <w:rFonts w:eastAsia="Times New Roman" w:cs="Arial"/>
                <w:b/>
                <w:color w:val="FFFFFF" w:themeColor="background1"/>
                <w:sz w:val="20"/>
                <w:szCs w:val="20"/>
                <w:lang w:eastAsia="es-EC"/>
              </w:rPr>
            </w:pPr>
            <w:r>
              <w:rPr>
                <w:rFonts w:eastAsia="Times New Roman" w:cs="Arial"/>
                <w:b/>
                <w:color w:val="FFFFFF" w:themeColor="background1"/>
                <w:sz w:val="20"/>
                <w:szCs w:val="20"/>
                <w:lang w:eastAsia="es-EC"/>
              </w:rPr>
              <w:t>Horas Promedio</w:t>
            </w:r>
          </w:p>
        </w:tc>
      </w:tr>
      <w:tr w:rsidR="007B3093" w14:paraId="75FADB69" w14:textId="77777777">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FAD9F80" w14:textId="77777777" w:rsidR="007B3093" w:rsidRDefault="00000000">
            <w:pPr>
              <w:spacing w:after="0" w:line="240" w:lineRule="auto"/>
              <w:jc w:val="center"/>
              <w:rPr>
                <w:rFonts w:ascii="Calibri" w:eastAsia="Times New Roman" w:hAnsi="Calibri" w:cs="Calibri"/>
                <w:b/>
                <w:color w:val="FFFFFF"/>
                <w:sz w:val="20"/>
                <w:lang w:eastAsia="es-EC"/>
              </w:rPr>
            </w:pPr>
            <w:r>
              <w:rPr>
                <w:rFonts w:ascii="Calibri" w:eastAsia="Times New Roman" w:hAnsi="Calibri" w:cs="Calibri"/>
                <w:b/>
                <w:color w:val="FFFFFF"/>
                <w:sz w:val="20"/>
                <w:lang w:eastAsia="es-EC"/>
              </w:rPr>
              <w:t>Hojas de Ruta</w:t>
            </w:r>
          </w:p>
        </w:tc>
        <w:tc>
          <w:tcPr>
            <w:tcW w:w="920" w:type="dxa"/>
            <w:tcBorders>
              <w:top w:val="nil"/>
              <w:left w:val="nil"/>
              <w:bottom w:val="single" w:sz="4" w:space="0" w:color="auto"/>
              <w:right w:val="single" w:sz="4" w:space="0" w:color="auto"/>
            </w:tcBorders>
            <w:shd w:val="clear" w:color="auto" w:fill="auto"/>
            <w:noWrap/>
            <w:vAlign w:val="bottom"/>
            <w:hideMark/>
          </w:tcPr>
          <w:p w14:paraId="62CCC711" w14:textId="77777777" w:rsidR="007B3093" w:rsidRDefault="00000000">
            <w:pPr>
              <w:spacing w:after="0" w:line="240" w:lineRule="auto"/>
              <w:jc w:val="center"/>
              <w:rPr>
                <w:rFonts w:ascii="Calibri" w:eastAsia="Times New Roman" w:hAnsi="Calibri" w:cs="Calibri"/>
                <w:color w:val="000000"/>
                <w:sz w:val="20"/>
                <w:lang w:eastAsia="es-EC"/>
              </w:rPr>
            </w:pPr>
            <w:r>
              <w:rPr>
                <w:rFonts w:ascii="Calibri" w:eastAsia="Times New Roman" w:hAnsi="Calibri" w:cs="Calibri"/>
                <w:color w:val="000000"/>
                <w:sz w:val="20"/>
                <w:lang w:eastAsia="es-EC"/>
              </w:rPr>
              <w:t>1.777</w:t>
            </w:r>
          </w:p>
        </w:tc>
        <w:tc>
          <w:tcPr>
            <w:tcW w:w="1520" w:type="dxa"/>
            <w:tcBorders>
              <w:top w:val="nil"/>
              <w:left w:val="nil"/>
              <w:bottom w:val="single" w:sz="4" w:space="0" w:color="auto"/>
              <w:right w:val="single" w:sz="4" w:space="0" w:color="auto"/>
            </w:tcBorders>
            <w:shd w:val="clear" w:color="auto" w:fill="auto"/>
            <w:noWrap/>
            <w:vAlign w:val="bottom"/>
            <w:hideMark/>
          </w:tcPr>
          <w:p w14:paraId="64FDC1A6" w14:textId="77777777" w:rsidR="007B3093" w:rsidRDefault="00000000">
            <w:pPr>
              <w:spacing w:after="0" w:line="240" w:lineRule="auto"/>
              <w:jc w:val="center"/>
              <w:rPr>
                <w:rFonts w:ascii="Calibri" w:eastAsia="Times New Roman" w:hAnsi="Calibri" w:cs="Calibri"/>
                <w:color w:val="000000"/>
                <w:sz w:val="20"/>
                <w:lang w:eastAsia="es-EC"/>
              </w:rPr>
            </w:pPr>
            <w:r>
              <w:rPr>
                <w:rFonts w:ascii="Calibri" w:eastAsia="Times New Roman" w:hAnsi="Calibri" w:cs="Calibri"/>
                <w:color w:val="000000"/>
                <w:sz w:val="20"/>
                <w:lang w:eastAsia="es-EC"/>
              </w:rPr>
              <w:t>15,40</w:t>
            </w:r>
          </w:p>
        </w:tc>
      </w:tr>
      <w:tr w:rsidR="007B3093" w14:paraId="35E434FB" w14:textId="77777777">
        <w:trPr>
          <w:trHeight w:val="300"/>
          <w:jc w:val="center"/>
        </w:trPr>
        <w:tc>
          <w:tcPr>
            <w:tcW w:w="1380" w:type="dxa"/>
            <w:tcBorders>
              <w:top w:val="nil"/>
              <w:left w:val="single" w:sz="4" w:space="0" w:color="auto"/>
              <w:bottom w:val="single" w:sz="4" w:space="0" w:color="auto"/>
              <w:right w:val="single" w:sz="4" w:space="0" w:color="auto"/>
            </w:tcBorders>
            <w:shd w:val="clear" w:color="auto" w:fill="002060"/>
            <w:noWrap/>
            <w:vAlign w:val="bottom"/>
            <w:hideMark/>
          </w:tcPr>
          <w:p w14:paraId="33C050BE" w14:textId="77777777" w:rsidR="007B3093" w:rsidRDefault="00000000">
            <w:pPr>
              <w:spacing w:after="0" w:line="240" w:lineRule="auto"/>
              <w:jc w:val="center"/>
              <w:rPr>
                <w:rFonts w:ascii="Calibri" w:eastAsia="Times New Roman" w:hAnsi="Calibri" w:cs="Calibri"/>
                <w:b/>
                <w:color w:val="FFFFFF"/>
                <w:sz w:val="20"/>
                <w:lang w:eastAsia="es-EC"/>
              </w:rPr>
            </w:pPr>
            <w:r>
              <w:rPr>
                <w:rFonts w:ascii="Calibri" w:eastAsia="Times New Roman" w:hAnsi="Calibri" w:cs="Calibri"/>
                <w:b/>
                <w:color w:val="FFFFFF"/>
                <w:sz w:val="20"/>
                <w:lang w:eastAsia="es-EC"/>
              </w:rPr>
              <w:t>Boletas</w:t>
            </w:r>
          </w:p>
        </w:tc>
        <w:tc>
          <w:tcPr>
            <w:tcW w:w="920" w:type="dxa"/>
            <w:tcBorders>
              <w:top w:val="nil"/>
              <w:left w:val="nil"/>
              <w:bottom w:val="single" w:sz="4" w:space="0" w:color="auto"/>
              <w:right w:val="single" w:sz="4" w:space="0" w:color="auto"/>
            </w:tcBorders>
            <w:shd w:val="clear" w:color="auto" w:fill="auto"/>
            <w:noWrap/>
            <w:vAlign w:val="bottom"/>
            <w:hideMark/>
          </w:tcPr>
          <w:p w14:paraId="73E65DC4" w14:textId="77777777" w:rsidR="007B3093" w:rsidRDefault="00000000">
            <w:pPr>
              <w:spacing w:after="0" w:line="240" w:lineRule="auto"/>
              <w:jc w:val="center"/>
              <w:rPr>
                <w:rFonts w:ascii="Calibri" w:eastAsia="Times New Roman" w:hAnsi="Calibri" w:cs="Calibri"/>
                <w:color w:val="000000"/>
                <w:sz w:val="20"/>
                <w:lang w:eastAsia="es-EC"/>
              </w:rPr>
            </w:pPr>
            <w:r>
              <w:rPr>
                <w:rFonts w:ascii="Calibri" w:eastAsia="Times New Roman" w:hAnsi="Calibri" w:cs="Calibri"/>
                <w:color w:val="000000"/>
                <w:sz w:val="20"/>
                <w:lang w:eastAsia="es-EC"/>
              </w:rPr>
              <w:t>65.755</w:t>
            </w:r>
          </w:p>
        </w:tc>
        <w:tc>
          <w:tcPr>
            <w:tcW w:w="1520" w:type="dxa"/>
            <w:tcBorders>
              <w:top w:val="nil"/>
              <w:left w:val="nil"/>
              <w:bottom w:val="single" w:sz="4" w:space="0" w:color="auto"/>
              <w:right w:val="single" w:sz="4" w:space="0" w:color="auto"/>
            </w:tcBorders>
            <w:shd w:val="clear" w:color="auto" w:fill="auto"/>
            <w:noWrap/>
            <w:vAlign w:val="bottom"/>
            <w:hideMark/>
          </w:tcPr>
          <w:p w14:paraId="67A812C0" w14:textId="77777777" w:rsidR="007B3093" w:rsidRDefault="00000000">
            <w:pPr>
              <w:spacing w:after="0" w:line="240" w:lineRule="auto"/>
              <w:jc w:val="center"/>
              <w:rPr>
                <w:rFonts w:ascii="Calibri" w:eastAsia="Times New Roman" w:hAnsi="Calibri" w:cs="Calibri"/>
                <w:color w:val="000000"/>
                <w:sz w:val="20"/>
                <w:lang w:eastAsia="es-EC"/>
              </w:rPr>
            </w:pPr>
            <w:r>
              <w:rPr>
                <w:rFonts w:ascii="Calibri" w:eastAsia="Times New Roman" w:hAnsi="Calibri" w:cs="Calibri"/>
                <w:color w:val="000000"/>
                <w:sz w:val="20"/>
                <w:lang w:eastAsia="es-EC"/>
              </w:rPr>
              <w:t>5,31</w:t>
            </w:r>
          </w:p>
        </w:tc>
      </w:tr>
      <w:tr w:rsidR="007B3093" w14:paraId="0235E411" w14:textId="77777777">
        <w:trPr>
          <w:trHeight w:val="300"/>
          <w:jc w:val="center"/>
        </w:trPr>
        <w:tc>
          <w:tcPr>
            <w:tcW w:w="1380" w:type="dxa"/>
            <w:tcBorders>
              <w:top w:val="nil"/>
              <w:left w:val="single" w:sz="4" w:space="0" w:color="auto"/>
              <w:bottom w:val="single" w:sz="4" w:space="0" w:color="auto"/>
              <w:right w:val="single" w:sz="4" w:space="0" w:color="auto"/>
            </w:tcBorders>
            <w:shd w:val="clear" w:color="auto" w:fill="002060"/>
            <w:noWrap/>
            <w:vAlign w:val="bottom"/>
            <w:hideMark/>
          </w:tcPr>
          <w:p w14:paraId="0ED143E0" w14:textId="77777777" w:rsidR="007B3093" w:rsidRDefault="00000000">
            <w:pPr>
              <w:spacing w:after="0" w:line="240" w:lineRule="auto"/>
              <w:jc w:val="center"/>
              <w:rPr>
                <w:rFonts w:ascii="Calibri" w:eastAsia="Times New Roman" w:hAnsi="Calibri" w:cs="Calibri"/>
                <w:b/>
                <w:color w:val="FFFFFF"/>
                <w:sz w:val="20"/>
                <w:lang w:eastAsia="es-EC"/>
              </w:rPr>
            </w:pPr>
            <w:r>
              <w:rPr>
                <w:rFonts w:ascii="Calibri" w:eastAsia="Times New Roman" w:hAnsi="Calibri" w:cs="Calibri"/>
                <w:b/>
                <w:color w:val="FFFFFF"/>
                <w:sz w:val="20"/>
                <w:lang w:eastAsia="es-EC"/>
              </w:rPr>
              <w:t>Citaciones</w:t>
            </w:r>
          </w:p>
        </w:tc>
        <w:tc>
          <w:tcPr>
            <w:tcW w:w="920" w:type="dxa"/>
            <w:tcBorders>
              <w:top w:val="nil"/>
              <w:left w:val="nil"/>
              <w:bottom w:val="single" w:sz="4" w:space="0" w:color="auto"/>
              <w:right w:val="single" w:sz="4" w:space="0" w:color="auto"/>
            </w:tcBorders>
            <w:shd w:val="clear" w:color="auto" w:fill="auto"/>
            <w:noWrap/>
            <w:vAlign w:val="bottom"/>
            <w:hideMark/>
          </w:tcPr>
          <w:p w14:paraId="0D258ED1" w14:textId="77777777" w:rsidR="007B3093" w:rsidRDefault="00000000">
            <w:pPr>
              <w:spacing w:after="0" w:line="240" w:lineRule="auto"/>
              <w:jc w:val="center"/>
              <w:rPr>
                <w:rFonts w:ascii="Calibri" w:eastAsia="Times New Roman" w:hAnsi="Calibri" w:cs="Calibri"/>
                <w:color w:val="000000"/>
                <w:sz w:val="20"/>
                <w:lang w:eastAsia="es-EC"/>
              </w:rPr>
            </w:pPr>
            <w:r>
              <w:rPr>
                <w:rFonts w:ascii="Calibri" w:eastAsia="Times New Roman" w:hAnsi="Calibri" w:cs="Calibri"/>
                <w:color w:val="000000"/>
                <w:sz w:val="20"/>
                <w:lang w:eastAsia="es-EC"/>
              </w:rPr>
              <w:t>4.133</w:t>
            </w:r>
          </w:p>
        </w:tc>
        <w:tc>
          <w:tcPr>
            <w:tcW w:w="1520" w:type="dxa"/>
            <w:tcBorders>
              <w:top w:val="nil"/>
              <w:left w:val="nil"/>
              <w:bottom w:val="single" w:sz="4" w:space="0" w:color="auto"/>
              <w:right w:val="single" w:sz="4" w:space="0" w:color="auto"/>
            </w:tcBorders>
            <w:shd w:val="clear" w:color="auto" w:fill="auto"/>
            <w:noWrap/>
            <w:vAlign w:val="bottom"/>
            <w:hideMark/>
          </w:tcPr>
          <w:p w14:paraId="74E4A25E" w14:textId="77777777" w:rsidR="007B3093" w:rsidRDefault="00000000">
            <w:pPr>
              <w:spacing w:after="0" w:line="240" w:lineRule="auto"/>
              <w:jc w:val="center"/>
              <w:rPr>
                <w:rFonts w:ascii="Calibri" w:eastAsia="Times New Roman" w:hAnsi="Calibri" w:cs="Calibri"/>
                <w:color w:val="000000"/>
                <w:sz w:val="20"/>
                <w:lang w:eastAsia="es-EC"/>
              </w:rPr>
            </w:pPr>
            <w:r>
              <w:rPr>
                <w:rFonts w:ascii="Calibri" w:eastAsia="Times New Roman" w:hAnsi="Calibri" w:cs="Calibri"/>
                <w:color w:val="000000"/>
                <w:sz w:val="20"/>
                <w:lang w:eastAsia="es-EC"/>
              </w:rPr>
              <w:t>18,66</w:t>
            </w:r>
          </w:p>
        </w:tc>
      </w:tr>
    </w:tbl>
    <w:p w14:paraId="687B13A6" w14:textId="77777777" w:rsidR="007B3093" w:rsidRDefault="00000000">
      <w:pPr>
        <w:spacing w:after="0" w:line="360" w:lineRule="auto"/>
        <w:contextualSpacing/>
        <w:jc w:val="center"/>
        <w:rPr>
          <w:rFonts w:cstheme="minorHAnsi"/>
          <w:b/>
        </w:rPr>
      </w:pPr>
      <w:r>
        <w:rPr>
          <w:rFonts w:cstheme="minorHAnsi"/>
          <w:b/>
          <w:sz w:val="20"/>
        </w:rPr>
        <w:t>Fuente y elaboración: Consultoría para el Fortalecimiento de la Gestión Institucional de la PGE.</w:t>
      </w:r>
    </w:p>
    <w:p w14:paraId="54ADBF57" w14:textId="77777777" w:rsidR="007B3093" w:rsidRDefault="007B3093">
      <w:pPr>
        <w:spacing w:after="0" w:line="360" w:lineRule="auto"/>
        <w:contextualSpacing/>
        <w:jc w:val="both"/>
        <w:rPr>
          <w:rFonts w:cstheme="minorHAnsi"/>
          <w:b/>
        </w:rPr>
      </w:pPr>
    </w:p>
    <w:p w14:paraId="28925D00" w14:textId="77777777" w:rsidR="007B3093" w:rsidRDefault="00000000">
      <w:pPr>
        <w:spacing w:after="0" w:line="360" w:lineRule="auto"/>
        <w:contextualSpacing/>
        <w:jc w:val="both"/>
        <w:rPr>
          <w:rFonts w:cstheme="minorHAnsi"/>
          <w:b/>
        </w:rPr>
      </w:pPr>
      <w:r>
        <w:rPr>
          <w:rFonts w:cstheme="minorHAnsi"/>
          <w:b/>
        </w:rPr>
        <w:t>Situación SIN PROYECTO</w:t>
      </w:r>
    </w:p>
    <w:p w14:paraId="12068E29" w14:textId="77777777" w:rsidR="007B3093" w:rsidRDefault="00000000">
      <w:pPr>
        <w:pStyle w:val="Prrafodelista"/>
        <w:spacing w:before="120" w:after="120" w:line="360" w:lineRule="auto"/>
        <w:ind w:left="142"/>
        <w:contextualSpacing w:val="0"/>
        <w:jc w:val="both"/>
        <w:rPr>
          <w:rFonts w:cstheme="minorHAnsi"/>
        </w:rPr>
      </w:pPr>
      <w:r>
        <w:rPr>
          <w:rFonts w:cstheme="minorHAnsi"/>
        </w:rPr>
        <w:t>Multiplicando el “número” de cada proceso por las “horas promedio” que toman, se obtiene el “tiempo total” en días que toma cada proceso interno tanto de la PGE.</w:t>
      </w:r>
    </w:p>
    <w:p w14:paraId="20888779" w14:textId="77777777" w:rsidR="007B3093" w:rsidRDefault="00000000">
      <w:pPr>
        <w:autoSpaceDE w:val="0"/>
        <w:autoSpaceDN w:val="0"/>
        <w:adjustRightInd w:val="0"/>
        <w:spacing w:after="0" w:line="360" w:lineRule="auto"/>
        <w:ind w:left="-502" w:right="-1"/>
        <w:jc w:val="center"/>
        <w:rPr>
          <w:rFonts w:cstheme="minorHAnsi"/>
        </w:rPr>
      </w:pPr>
      <w:r>
        <w:rPr>
          <w:rFonts w:cstheme="minorHAnsi"/>
          <w:b/>
        </w:rPr>
        <w:t>Tabla No. 28: Costo Sin Proyecto</w:t>
      </w:r>
    </w:p>
    <w:tbl>
      <w:tblPr>
        <w:tblW w:w="8273" w:type="dxa"/>
        <w:tblInd w:w="-10" w:type="dxa"/>
        <w:tblCellMar>
          <w:left w:w="70" w:type="dxa"/>
          <w:right w:w="70" w:type="dxa"/>
        </w:tblCellMar>
        <w:tblLook w:val="04A0" w:firstRow="1" w:lastRow="0" w:firstColumn="1" w:lastColumn="0" w:noHBand="0" w:noVBand="1"/>
      </w:tblPr>
      <w:tblGrid>
        <w:gridCol w:w="1200"/>
        <w:gridCol w:w="1200"/>
        <w:gridCol w:w="1200"/>
        <w:gridCol w:w="1362"/>
        <w:gridCol w:w="1468"/>
        <w:gridCol w:w="1843"/>
      </w:tblGrid>
      <w:tr w:rsidR="007B3093" w14:paraId="3F33D570" w14:textId="77777777">
        <w:trPr>
          <w:trHeight w:val="31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C1F8DC" w14:textId="77777777" w:rsidR="007B3093" w:rsidRDefault="00000000">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 </w:t>
            </w:r>
          </w:p>
        </w:tc>
        <w:tc>
          <w:tcPr>
            <w:tcW w:w="1200" w:type="dxa"/>
            <w:tcBorders>
              <w:top w:val="single" w:sz="8" w:space="0" w:color="auto"/>
              <w:left w:val="nil"/>
              <w:bottom w:val="single" w:sz="8" w:space="0" w:color="auto"/>
              <w:right w:val="single" w:sz="8" w:space="0" w:color="auto"/>
            </w:tcBorders>
            <w:shd w:val="clear" w:color="auto" w:fill="002060"/>
            <w:noWrap/>
            <w:vAlign w:val="center"/>
            <w:hideMark/>
          </w:tcPr>
          <w:p w14:paraId="1C74E9D7"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 xml:space="preserve">Número </w:t>
            </w:r>
          </w:p>
        </w:tc>
        <w:tc>
          <w:tcPr>
            <w:tcW w:w="1200" w:type="dxa"/>
            <w:tcBorders>
              <w:top w:val="single" w:sz="8" w:space="0" w:color="auto"/>
              <w:left w:val="nil"/>
              <w:bottom w:val="single" w:sz="8" w:space="0" w:color="auto"/>
              <w:right w:val="single" w:sz="8" w:space="0" w:color="auto"/>
            </w:tcBorders>
            <w:shd w:val="clear" w:color="auto" w:fill="002060"/>
            <w:noWrap/>
            <w:vAlign w:val="center"/>
            <w:hideMark/>
          </w:tcPr>
          <w:p w14:paraId="4C3B8F62"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Horas Promedio</w:t>
            </w:r>
          </w:p>
        </w:tc>
        <w:tc>
          <w:tcPr>
            <w:tcW w:w="1362" w:type="dxa"/>
            <w:tcBorders>
              <w:top w:val="single" w:sz="8" w:space="0" w:color="auto"/>
              <w:left w:val="nil"/>
              <w:bottom w:val="single" w:sz="8" w:space="0" w:color="auto"/>
              <w:right w:val="single" w:sz="8" w:space="0" w:color="auto"/>
            </w:tcBorders>
            <w:shd w:val="clear" w:color="auto" w:fill="002060"/>
            <w:noWrap/>
            <w:vAlign w:val="center"/>
            <w:hideMark/>
          </w:tcPr>
          <w:p w14:paraId="23F877DF"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Tiempo total (días)</w:t>
            </w:r>
          </w:p>
        </w:tc>
        <w:tc>
          <w:tcPr>
            <w:tcW w:w="1468" w:type="dxa"/>
            <w:tcBorders>
              <w:top w:val="single" w:sz="8" w:space="0" w:color="auto"/>
              <w:left w:val="nil"/>
              <w:bottom w:val="single" w:sz="8" w:space="0" w:color="auto"/>
              <w:right w:val="single" w:sz="8" w:space="0" w:color="auto"/>
            </w:tcBorders>
            <w:shd w:val="clear" w:color="auto" w:fill="002060"/>
            <w:noWrap/>
            <w:vAlign w:val="center"/>
            <w:hideMark/>
          </w:tcPr>
          <w:p w14:paraId="0E1B749D"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Costo por Hora (USD)</w:t>
            </w:r>
          </w:p>
        </w:tc>
        <w:tc>
          <w:tcPr>
            <w:tcW w:w="1843" w:type="dxa"/>
            <w:tcBorders>
              <w:top w:val="single" w:sz="8" w:space="0" w:color="auto"/>
              <w:left w:val="nil"/>
              <w:bottom w:val="single" w:sz="8" w:space="0" w:color="auto"/>
              <w:right w:val="single" w:sz="8" w:space="0" w:color="auto"/>
            </w:tcBorders>
            <w:shd w:val="clear" w:color="auto" w:fill="002060"/>
            <w:noWrap/>
            <w:vAlign w:val="center"/>
            <w:hideMark/>
          </w:tcPr>
          <w:p w14:paraId="4E557344"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Costo Total (USD)</w:t>
            </w:r>
          </w:p>
        </w:tc>
      </w:tr>
      <w:tr w:rsidR="007B3093" w14:paraId="3CCFCCB3" w14:textId="77777777">
        <w:trPr>
          <w:trHeight w:val="315"/>
        </w:trPr>
        <w:tc>
          <w:tcPr>
            <w:tcW w:w="1200" w:type="dxa"/>
            <w:tcBorders>
              <w:top w:val="nil"/>
              <w:left w:val="single" w:sz="8" w:space="0" w:color="auto"/>
              <w:bottom w:val="single" w:sz="8" w:space="0" w:color="auto"/>
              <w:right w:val="single" w:sz="8" w:space="0" w:color="auto"/>
            </w:tcBorders>
            <w:shd w:val="clear" w:color="auto" w:fill="002060"/>
            <w:noWrap/>
            <w:vAlign w:val="center"/>
            <w:hideMark/>
          </w:tcPr>
          <w:p w14:paraId="42900C71"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Hojas de Ruta</w:t>
            </w:r>
          </w:p>
        </w:tc>
        <w:tc>
          <w:tcPr>
            <w:tcW w:w="1200" w:type="dxa"/>
            <w:tcBorders>
              <w:top w:val="nil"/>
              <w:left w:val="nil"/>
              <w:bottom w:val="single" w:sz="8" w:space="0" w:color="auto"/>
              <w:right w:val="single" w:sz="8" w:space="0" w:color="auto"/>
            </w:tcBorders>
            <w:shd w:val="clear" w:color="auto" w:fill="auto"/>
            <w:noWrap/>
            <w:vAlign w:val="center"/>
            <w:hideMark/>
          </w:tcPr>
          <w:p w14:paraId="2B3A3454"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1.777</w:t>
            </w:r>
          </w:p>
        </w:tc>
        <w:tc>
          <w:tcPr>
            <w:tcW w:w="1200" w:type="dxa"/>
            <w:tcBorders>
              <w:top w:val="nil"/>
              <w:left w:val="nil"/>
              <w:bottom w:val="single" w:sz="8" w:space="0" w:color="auto"/>
              <w:right w:val="single" w:sz="8" w:space="0" w:color="auto"/>
            </w:tcBorders>
            <w:shd w:val="clear" w:color="auto" w:fill="auto"/>
            <w:noWrap/>
            <w:vAlign w:val="center"/>
            <w:hideMark/>
          </w:tcPr>
          <w:p w14:paraId="72F635DB"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15,4</w:t>
            </w:r>
          </w:p>
        </w:tc>
        <w:tc>
          <w:tcPr>
            <w:tcW w:w="1362" w:type="dxa"/>
            <w:tcBorders>
              <w:top w:val="nil"/>
              <w:left w:val="nil"/>
              <w:bottom w:val="single" w:sz="8" w:space="0" w:color="auto"/>
              <w:right w:val="single" w:sz="8" w:space="0" w:color="auto"/>
            </w:tcBorders>
            <w:shd w:val="clear" w:color="auto" w:fill="auto"/>
            <w:noWrap/>
            <w:vAlign w:val="center"/>
            <w:hideMark/>
          </w:tcPr>
          <w:p w14:paraId="6A7D0D5D"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27.365,80</w:t>
            </w:r>
          </w:p>
        </w:tc>
        <w:tc>
          <w:tcPr>
            <w:tcW w:w="1468" w:type="dxa"/>
            <w:tcBorders>
              <w:top w:val="nil"/>
              <w:left w:val="nil"/>
              <w:bottom w:val="single" w:sz="8" w:space="0" w:color="auto"/>
              <w:right w:val="single" w:sz="8" w:space="0" w:color="auto"/>
            </w:tcBorders>
            <w:shd w:val="clear" w:color="auto" w:fill="auto"/>
            <w:noWrap/>
            <w:vAlign w:val="center"/>
            <w:hideMark/>
          </w:tcPr>
          <w:p w14:paraId="5A769DE6"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40,4</w:t>
            </w:r>
          </w:p>
        </w:tc>
        <w:tc>
          <w:tcPr>
            <w:tcW w:w="1843" w:type="dxa"/>
            <w:tcBorders>
              <w:top w:val="nil"/>
              <w:left w:val="nil"/>
              <w:bottom w:val="single" w:sz="8" w:space="0" w:color="auto"/>
              <w:right w:val="single" w:sz="8" w:space="0" w:color="auto"/>
            </w:tcBorders>
            <w:shd w:val="clear" w:color="auto" w:fill="auto"/>
            <w:noWrap/>
            <w:vAlign w:val="center"/>
            <w:hideMark/>
          </w:tcPr>
          <w:p w14:paraId="139456BA"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1.105.578,32</w:t>
            </w:r>
          </w:p>
        </w:tc>
      </w:tr>
      <w:tr w:rsidR="007B3093" w14:paraId="573843BE" w14:textId="77777777">
        <w:trPr>
          <w:trHeight w:val="315"/>
        </w:trPr>
        <w:tc>
          <w:tcPr>
            <w:tcW w:w="1200" w:type="dxa"/>
            <w:tcBorders>
              <w:top w:val="nil"/>
              <w:left w:val="single" w:sz="8" w:space="0" w:color="auto"/>
              <w:bottom w:val="single" w:sz="8" w:space="0" w:color="auto"/>
              <w:right w:val="single" w:sz="8" w:space="0" w:color="auto"/>
            </w:tcBorders>
            <w:shd w:val="clear" w:color="auto" w:fill="002060"/>
            <w:noWrap/>
            <w:vAlign w:val="center"/>
            <w:hideMark/>
          </w:tcPr>
          <w:p w14:paraId="0AECD289"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 xml:space="preserve">Boletas </w:t>
            </w:r>
          </w:p>
        </w:tc>
        <w:tc>
          <w:tcPr>
            <w:tcW w:w="1200" w:type="dxa"/>
            <w:tcBorders>
              <w:top w:val="nil"/>
              <w:left w:val="nil"/>
              <w:bottom w:val="single" w:sz="8" w:space="0" w:color="auto"/>
              <w:right w:val="single" w:sz="8" w:space="0" w:color="auto"/>
            </w:tcBorders>
            <w:shd w:val="clear" w:color="auto" w:fill="auto"/>
            <w:noWrap/>
            <w:vAlign w:val="center"/>
            <w:hideMark/>
          </w:tcPr>
          <w:p w14:paraId="3A558DA3"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65.755</w:t>
            </w:r>
          </w:p>
        </w:tc>
        <w:tc>
          <w:tcPr>
            <w:tcW w:w="1200" w:type="dxa"/>
            <w:tcBorders>
              <w:top w:val="nil"/>
              <w:left w:val="nil"/>
              <w:bottom w:val="single" w:sz="8" w:space="0" w:color="auto"/>
              <w:right w:val="single" w:sz="8" w:space="0" w:color="auto"/>
            </w:tcBorders>
            <w:shd w:val="clear" w:color="auto" w:fill="auto"/>
            <w:noWrap/>
            <w:vAlign w:val="center"/>
            <w:hideMark/>
          </w:tcPr>
          <w:p w14:paraId="7F278512"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5,31</w:t>
            </w:r>
          </w:p>
        </w:tc>
        <w:tc>
          <w:tcPr>
            <w:tcW w:w="1362" w:type="dxa"/>
            <w:tcBorders>
              <w:top w:val="nil"/>
              <w:left w:val="nil"/>
              <w:bottom w:val="single" w:sz="8" w:space="0" w:color="auto"/>
              <w:right w:val="single" w:sz="8" w:space="0" w:color="auto"/>
            </w:tcBorders>
            <w:shd w:val="clear" w:color="auto" w:fill="auto"/>
            <w:noWrap/>
            <w:vAlign w:val="center"/>
            <w:hideMark/>
          </w:tcPr>
          <w:p w14:paraId="2A290218"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349.159,05</w:t>
            </w:r>
          </w:p>
        </w:tc>
        <w:tc>
          <w:tcPr>
            <w:tcW w:w="1468" w:type="dxa"/>
            <w:tcBorders>
              <w:top w:val="nil"/>
              <w:left w:val="nil"/>
              <w:bottom w:val="single" w:sz="8" w:space="0" w:color="auto"/>
              <w:right w:val="single" w:sz="8" w:space="0" w:color="auto"/>
            </w:tcBorders>
            <w:shd w:val="clear" w:color="auto" w:fill="auto"/>
            <w:noWrap/>
            <w:vAlign w:val="center"/>
            <w:hideMark/>
          </w:tcPr>
          <w:p w14:paraId="0242249F"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40,4</w:t>
            </w:r>
          </w:p>
        </w:tc>
        <w:tc>
          <w:tcPr>
            <w:tcW w:w="1843" w:type="dxa"/>
            <w:tcBorders>
              <w:top w:val="nil"/>
              <w:left w:val="nil"/>
              <w:bottom w:val="single" w:sz="8" w:space="0" w:color="auto"/>
              <w:right w:val="single" w:sz="8" w:space="0" w:color="auto"/>
            </w:tcBorders>
            <w:shd w:val="clear" w:color="auto" w:fill="auto"/>
            <w:noWrap/>
            <w:vAlign w:val="center"/>
            <w:hideMark/>
          </w:tcPr>
          <w:p w14:paraId="3E838954"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14.106.025,62</w:t>
            </w:r>
          </w:p>
        </w:tc>
      </w:tr>
      <w:tr w:rsidR="007B3093" w14:paraId="0027C388" w14:textId="77777777">
        <w:trPr>
          <w:trHeight w:val="315"/>
        </w:trPr>
        <w:tc>
          <w:tcPr>
            <w:tcW w:w="1200" w:type="dxa"/>
            <w:tcBorders>
              <w:top w:val="nil"/>
              <w:left w:val="single" w:sz="8" w:space="0" w:color="auto"/>
              <w:bottom w:val="single" w:sz="8" w:space="0" w:color="auto"/>
              <w:right w:val="single" w:sz="8" w:space="0" w:color="auto"/>
            </w:tcBorders>
            <w:shd w:val="clear" w:color="auto" w:fill="002060"/>
            <w:noWrap/>
            <w:vAlign w:val="center"/>
            <w:hideMark/>
          </w:tcPr>
          <w:p w14:paraId="248BB3E8"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Citaciones</w:t>
            </w:r>
          </w:p>
        </w:tc>
        <w:tc>
          <w:tcPr>
            <w:tcW w:w="1200" w:type="dxa"/>
            <w:tcBorders>
              <w:top w:val="nil"/>
              <w:left w:val="nil"/>
              <w:bottom w:val="single" w:sz="8" w:space="0" w:color="auto"/>
              <w:right w:val="single" w:sz="8" w:space="0" w:color="auto"/>
            </w:tcBorders>
            <w:shd w:val="clear" w:color="auto" w:fill="auto"/>
            <w:noWrap/>
            <w:vAlign w:val="center"/>
            <w:hideMark/>
          </w:tcPr>
          <w:p w14:paraId="1E8183A1"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4.133</w:t>
            </w:r>
          </w:p>
        </w:tc>
        <w:tc>
          <w:tcPr>
            <w:tcW w:w="1200" w:type="dxa"/>
            <w:tcBorders>
              <w:top w:val="nil"/>
              <w:left w:val="nil"/>
              <w:bottom w:val="single" w:sz="8" w:space="0" w:color="auto"/>
              <w:right w:val="single" w:sz="8" w:space="0" w:color="auto"/>
            </w:tcBorders>
            <w:shd w:val="clear" w:color="auto" w:fill="auto"/>
            <w:noWrap/>
            <w:vAlign w:val="center"/>
            <w:hideMark/>
          </w:tcPr>
          <w:p w14:paraId="69A381BD"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18,66</w:t>
            </w:r>
          </w:p>
        </w:tc>
        <w:tc>
          <w:tcPr>
            <w:tcW w:w="1362" w:type="dxa"/>
            <w:tcBorders>
              <w:top w:val="nil"/>
              <w:left w:val="nil"/>
              <w:bottom w:val="single" w:sz="8" w:space="0" w:color="auto"/>
              <w:right w:val="single" w:sz="8" w:space="0" w:color="auto"/>
            </w:tcBorders>
            <w:shd w:val="clear" w:color="auto" w:fill="auto"/>
            <w:noWrap/>
            <w:vAlign w:val="center"/>
            <w:hideMark/>
          </w:tcPr>
          <w:p w14:paraId="40B53016"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77.121,78</w:t>
            </w:r>
          </w:p>
        </w:tc>
        <w:tc>
          <w:tcPr>
            <w:tcW w:w="1468" w:type="dxa"/>
            <w:tcBorders>
              <w:top w:val="nil"/>
              <w:left w:val="nil"/>
              <w:bottom w:val="single" w:sz="8" w:space="0" w:color="auto"/>
              <w:right w:val="single" w:sz="8" w:space="0" w:color="auto"/>
            </w:tcBorders>
            <w:shd w:val="clear" w:color="auto" w:fill="auto"/>
            <w:noWrap/>
            <w:vAlign w:val="center"/>
            <w:hideMark/>
          </w:tcPr>
          <w:p w14:paraId="0202A293"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40,4</w:t>
            </w:r>
          </w:p>
        </w:tc>
        <w:tc>
          <w:tcPr>
            <w:tcW w:w="1843" w:type="dxa"/>
            <w:tcBorders>
              <w:top w:val="nil"/>
              <w:left w:val="nil"/>
              <w:bottom w:val="single" w:sz="8" w:space="0" w:color="auto"/>
              <w:right w:val="single" w:sz="8" w:space="0" w:color="auto"/>
            </w:tcBorders>
            <w:shd w:val="clear" w:color="auto" w:fill="auto"/>
            <w:noWrap/>
            <w:vAlign w:val="center"/>
            <w:hideMark/>
          </w:tcPr>
          <w:p w14:paraId="3A238811"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3.115.719,91</w:t>
            </w:r>
          </w:p>
        </w:tc>
      </w:tr>
      <w:tr w:rsidR="007B3093" w14:paraId="5DE89017" w14:textId="77777777">
        <w:trPr>
          <w:trHeight w:val="315"/>
        </w:trPr>
        <w:tc>
          <w:tcPr>
            <w:tcW w:w="6430" w:type="dxa"/>
            <w:gridSpan w:val="5"/>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1084EA3D"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Total</w:t>
            </w:r>
          </w:p>
        </w:tc>
        <w:tc>
          <w:tcPr>
            <w:tcW w:w="1843" w:type="dxa"/>
            <w:tcBorders>
              <w:top w:val="nil"/>
              <w:left w:val="nil"/>
              <w:bottom w:val="single" w:sz="8" w:space="0" w:color="auto"/>
              <w:right w:val="single" w:sz="8" w:space="0" w:color="auto"/>
            </w:tcBorders>
            <w:shd w:val="clear" w:color="auto" w:fill="auto"/>
            <w:noWrap/>
            <w:vAlign w:val="center"/>
            <w:hideMark/>
          </w:tcPr>
          <w:p w14:paraId="561AD19E"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18.327.323,85</w:t>
            </w:r>
          </w:p>
        </w:tc>
      </w:tr>
    </w:tbl>
    <w:p w14:paraId="3DECB1C6" w14:textId="77777777" w:rsidR="007B3093" w:rsidRDefault="00000000">
      <w:pPr>
        <w:spacing w:after="0" w:line="360" w:lineRule="auto"/>
        <w:contextualSpacing/>
        <w:jc w:val="center"/>
        <w:rPr>
          <w:rFonts w:cstheme="minorHAnsi"/>
          <w:b/>
        </w:rPr>
      </w:pPr>
      <w:r>
        <w:rPr>
          <w:rFonts w:cstheme="minorHAnsi"/>
          <w:b/>
          <w:sz w:val="20"/>
        </w:rPr>
        <w:t>Fuente y elaboración: Consultoría para el Fortalecimiento de la Gestión Institucional de la PGE.</w:t>
      </w:r>
    </w:p>
    <w:p w14:paraId="3C6CD697" w14:textId="77777777" w:rsidR="007B3093" w:rsidRDefault="007B3093">
      <w:pPr>
        <w:pStyle w:val="Prrafodelista"/>
        <w:spacing w:before="120" w:after="120" w:line="360" w:lineRule="auto"/>
        <w:ind w:left="142"/>
        <w:contextualSpacing w:val="0"/>
        <w:jc w:val="both"/>
        <w:rPr>
          <w:rFonts w:cstheme="minorHAnsi"/>
        </w:rPr>
      </w:pPr>
    </w:p>
    <w:p w14:paraId="36713AA5" w14:textId="77777777" w:rsidR="007B3093" w:rsidRDefault="00000000">
      <w:pPr>
        <w:pStyle w:val="Prrafodelista"/>
        <w:spacing w:before="120" w:after="120" w:line="360" w:lineRule="auto"/>
        <w:ind w:left="142"/>
        <w:contextualSpacing w:val="0"/>
        <w:jc w:val="both"/>
        <w:rPr>
          <w:rFonts w:cstheme="minorHAnsi"/>
        </w:rPr>
      </w:pPr>
      <w:r>
        <w:rPr>
          <w:rFonts w:cstheme="minorHAnsi"/>
        </w:rPr>
        <w:t>El Costo en USD por hora se tomó del trabajo realizado por la Ex SENPLADES dentro de la evaluación económica que realizó para su proyecto “Fortalecimiento del Sistema de Planificación Nacional Mediante la Automatización de los Procesos Sustantivos de la Cadena de Valor de la Ex SENPLADES”; donde se estimó el costo de hora promedio del trabajo del talento humano que utilizan sus sistemas institucionales fuera de dicha entidad, tomando como referencia el costo de un  funcionario de la función ejecutiva perteneciente a la categoría “SP5”, obteniendo como resultado un “Costo promedio hora de trabajo” de USD 5,05. Este valor ha sido multiplicado por las 8 horas para obtener el valor de USD 40,40 que se utilizan como costo de un día de trabajo.</w:t>
      </w:r>
    </w:p>
    <w:p w14:paraId="30E392FA" w14:textId="77777777" w:rsidR="007B3093" w:rsidRDefault="00000000">
      <w:pPr>
        <w:pStyle w:val="Prrafodelista"/>
        <w:spacing w:before="120" w:after="120" w:line="360" w:lineRule="auto"/>
        <w:ind w:left="142"/>
        <w:contextualSpacing w:val="0"/>
        <w:jc w:val="both"/>
        <w:rPr>
          <w:rFonts w:cstheme="minorHAnsi"/>
        </w:rPr>
      </w:pPr>
      <w:r>
        <w:rPr>
          <w:rFonts w:cstheme="minorHAnsi"/>
        </w:rPr>
        <w:t>Al multiplicar el costo de cada hora por las horas de cada proceso interno se obtuvieron USD 18.327.323,85 que corresponden al costo total de la gestión interna SIN PROYECTO.</w:t>
      </w:r>
    </w:p>
    <w:p w14:paraId="258A3BCA" w14:textId="77777777" w:rsidR="007B3093" w:rsidRDefault="007B3093">
      <w:pPr>
        <w:spacing w:after="0" w:line="360" w:lineRule="auto"/>
        <w:contextualSpacing/>
        <w:jc w:val="both"/>
        <w:rPr>
          <w:rFonts w:cstheme="minorHAnsi"/>
          <w:b/>
        </w:rPr>
      </w:pPr>
    </w:p>
    <w:p w14:paraId="43248C59" w14:textId="77777777" w:rsidR="007B3093" w:rsidRDefault="00000000">
      <w:pPr>
        <w:spacing w:after="0" w:line="360" w:lineRule="auto"/>
        <w:contextualSpacing/>
        <w:jc w:val="both"/>
        <w:rPr>
          <w:rFonts w:cstheme="minorHAnsi"/>
          <w:b/>
        </w:rPr>
      </w:pPr>
      <w:r>
        <w:rPr>
          <w:rFonts w:cstheme="minorHAnsi"/>
          <w:b/>
        </w:rPr>
        <w:t>Situación CON PROYECTO</w:t>
      </w:r>
    </w:p>
    <w:p w14:paraId="6C29159C" w14:textId="77777777" w:rsidR="007B3093" w:rsidRDefault="00000000">
      <w:pPr>
        <w:pStyle w:val="Prrafodelista"/>
        <w:spacing w:before="120" w:after="120" w:line="360" w:lineRule="auto"/>
        <w:ind w:left="142"/>
        <w:contextualSpacing w:val="0"/>
        <w:jc w:val="both"/>
        <w:rPr>
          <w:rFonts w:cstheme="minorHAnsi"/>
        </w:rPr>
      </w:pPr>
      <w:r>
        <w:rPr>
          <w:rFonts w:cstheme="minorHAnsi"/>
        </w:rPr>
        <w:lastRenderedPageBreak/>
        <w:t>Para estimar los costos evitados del proyecto, se estableció como un supuesto “conservador” que su ejecución logrará reducir un “10%” del tiempo total de cada proceso de la gestión interna.</w:t>
      </w:r>
    </w:p>
    <w:p w14:paraId="7F2EF55C" w14:textId="77777777" w:rsidR="007B3093" w:rsidRDefault="00000000">
      <w:pPr>
        <w:autoSpaceDE w:val="0"/>
        <w:autoSpaceDN w:val="0"/>
        <w:adjustRightInd w:val="0"/>
        <w:spacing w:after="0" w:line="360" w:lineRule="auto"/>
        <w:ind w:left="-502" w:right="-1"/>
        <w:jc w:val="center"/>
        <w:rPr>
          <w:rFonts w:cstheme="minorHAnsi"/>
          <w:b/>
        </w:rPr>
      </w:pPr>
      <w:r>
        <w:rPr>
          <w:rFonts w:cstheme="minorHAnsi"/>
          <w:b/>
        </w:rPr>
        <w:t>Tabla No. 29: Costos con Proyecto</w:t>
      </w:r>
    </w:p>
    <w:tbl>
      <w:tblPr>
        <w:tblW w:w="5900" w:type="dxa"/>
        <w:jc w:val="center"/>
        <w:tblCellMar>
          <w:left w:w="70" w:type="dxa"/>
          <w:right w:w="70" w:type="dxa"/>
        </w:tblCellMar>
        <w:tblLook w:val="04A0" w:firstRow="1" w:lastRow="0" w:firstColumn="1" w:lastColumn="0" w:noHBand="0" w:noVBand="1"/>
      </w:tblPr>
      <w:tblGrid>
        <w:gridCol w:w="1200"/>
        <w:gridCol w:w="1200"/>
        <w:gridCol w:w="1480"/>
        <w:gridCol w:w="2020"/>
      </w:tblGrid>
      <w:tr w:rsidR="007B3093" w14:paraId="1017DC49" w14:textId="77777777">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002060"/>
            <w:noWrap/>
            <w:vAlign w:val="bottom"/>
            <w:hideMark/>
          </w:tcPr>
          <w:p w14:paraId="4787B5A5" w14:textId="77777777" w:rsidR="007B3093" w:rsidRDefault="00000000">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 </w:t>
            </w:r>
          </w:p>
        </w:tc>
        <w:tc>
          <w:tcPr>
            <w:tcW w:w="1200" w:type="dxa"/>
            <w:tcBorders>
              <w:top w:val="single" w:sz="8" w:space="0" w:color="auto"/>
              <w:left w:val="nil"/>
              <w:bottom w:val="single" w:sz="8" w:space="0" w:color="auto"/>
              <w:right w:val="single" w:sz="8" w:space="0" w:color="auto"/>
            </w:tcBorders>
            <w:shd w:val="clear" w:color="auto" w:fill="002060"/>
            <w:noWrap/>
            <w:vAlign w:val="center"/>
            <w:hideMark/>
          </w:tcPr>
          <w:p w14:paraId="3C505215"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Tiempo Total (h)</w:t>
            </w:r>
          </w:p>
        </w:tc>
        <w:tc>
          <w:tcPr>
            <w:tcW w:w="1480" w:type="dxa"/>
            <w:tcBorders>
              <w:top w:val="single" w:sz="8" w:space="0" w:color="auto"/>
              <w:left w:val="nil"/>
              <w:bottom w:val="single" w:sz="8" w:space="0" w:color="auto"/>
              <w:right w:val="single" w:sz="8" w:space="0" w:color="auto"/>
            </w:tcBorders>
            <w:shd w:val="clear" w:color="auto" w:fill="002060"/>
            <w:noWrap/>
            <w:vAlign w:val="center"/>
            <w:hideMark/>
          </w:tcPr>
          <w:p w14:paraId="7069D2FB"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Costo por Hora</w:t>
            </w:r>
          </w:p>
        </w:tc>
        <w:tc>
          <w:tcPr>
            <w:tcW w:w="2020" w:type="dxa"/>
            <w:tcBorders>
              <w:top w:val="single" w:sz="8" w:space="0" w:color="auto"/>
              <w:left w:val="nil"/>
              <w:bottom w:val="single" w:sz="8" w:space="0" w:color="auto"/>
              <w:right w:val="single" w:sz="8" w:space="0" w:color="auto"/>
            </w:tcBorders>
            <w:shd w:val="clear" w:color="auto" w:fill="002060"/>
            <w:noWrap/>
            <w:vAlign w:val="center"/>
            <w:hideMark/>
          </w:tcPr>
          <w:p w14:paraId="26CFE1D8"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Costo Total (USD)</w:t>
            </w:r>
          </w:p>
        </w:tc>
      </w:tr>
      <w:tr w:rsidR="007B3093" w14:paraId="1F3D326F" w14:textId="77777777">
        <w:trPr>
          <w:trHeight w:val="315"/>
          <w:jc w:val="center"/>
        </w:trPr>
        <w:tc>
          <w:tcPr>
            <w:tcW w:w="1200" w:type="dxa"/>
            <w:tcBorders>
              <w:top w:val="nil"/>
              <w:left w:val="single" w:sz="8" w:space="0" w:color="auto"/>
              <w:bottom w:val="single" w:sz="8" w:space="0" w:color="auto"/>
              <w:right w:val="single" w:sz="8" w:space="0" w:color="auto"/>
            </w:tcBorders>
            <w:shd w:val="clear" w:color="auto" w:fill="002060"/>
            <w:noWrap/>
            <w:vAlign w:val="center"/>
            <w:hideMark/>
          </w:tcPr>
          <w:p w14:paraId="7E6A9490"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Hojas de Ruta</w:t>
            </w:r>
          </w:p>
        </w:tc>
        <w:tc>
          <w:tcPr>
            <w:tcW w:w="1200" w:type="dxa"/>
            <w:tcBorders>
              <w:top w:val="nil"/>
              <w:left w:val="nil"/>
              <w:bottom w:val="single" w:sz="8" w:space="0" w:color="auto"/>
              <w:right w:val="single" w:sz="8" w:space="0" w:color="auto"/>
            </w:tcBorders>
            <w:shd w:val="clear" w:color="auto" w:fill="auto"/>
            <w:noWrap/>
            <w:vAlign w:val="center"/>
            <w:hideMark/>
          </w:tcPr>
          <w:p w14:paraId="59D2536B"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24.629</w:t>
            </w:r>
          </w:p>
        </w:tc>
        <w:tc>
          <w:tcPr>
            <w:tcW w:w="1480" w:type="dxa"/>
            <w:tcBorders>
              <w:top w:val="nil"/>
              <w:left w:val="nil"/>
              <w:bottom w:val="single" w:sz="8" w:space="0" w:color="auto"/>
              <w:right w:val="single" w:sz="8" w:space="0" w:color="auto"/>
            </w:tcBorders>
            <w:shd w:val="clear" w:color="auto" w:fill="auto"/>
            <w:noWrap/>
            <w:vAlign w:val="center"/>
            <w:hideMark/>
          </w:tcPr>
          <w:p w14:paraId="74D71A7E"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40,4</w:t>
            </w:r>
          </w:p>
        </w:tc>
        <w:tc>
          <w:tcPr>
            <w:tcW w:w="2020" w:type="dxa"/>
            <w:tcBorders>
              <w:top w:val="nil"/>
              <w:left w:val="nil"/>
              <w:bottom w:val="single" w:sz="8" w:space="0" w:color="auto"/>
              <w:right w:val="single" w:sz="8" w:space="0" w:color="auto"/>
            </w:tcBorders>
            <w:shd w:val="clear" w:color="auto" w:fill="auto"/>
            <w:noWrap/>
            <w:vAlign w:val="center"/>
            <w:hideMark/>
          </w:tcPr>
          <w:p w14:paraId="7B203FD1"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995.020,49</w:t>
            </w:r>
          </w:p>
        </w:tc>
      </w:tr>
      <w:tr w:rsidR="007B3093" w14:paraId="11B7CF4C" w14:textId="77777777">
        <w:trPr>
          <w:trHeight w:val="315"/>
          <w:jc w:val="center"/>
        </w:trPr>
        <w:tc>
          <w:tcPr>
            <w:tcW w:w="1200" w:type="dxa"/>
            <w:tcBorders>
              <w:top w:val="nil"/>
              <w:left w:val="single" w:sz="8" w:space="0" w:color="auto"/>
              <w:bottom w:val="single" w:sz="8" w:space="0" w:color="auto"/>
              <w:right w:val="single" w:sz="8" w:space="0" w:color="auto"/>
            </w:tcBorders>
            <w:shd w:val="clear" w:color="auto" w:fill="002060"/>
            <w:noWrap/>
            <w:vAlign w:val="center"/>
            <w:hideMark/>
          </w:tcPr>
          <w:p w14:paraId="09C48965"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 xml:space="preserve">Boletas </w:t>
            </w:r>
          </w:p>
        </w:tc>
        <w:tc>
          <w:tcPr>
            <w:tcW w:w="1200" w:type="dxa"/>
            <w:tcBorders>
              <w:top w:val="nil"/>
              <w:left w:val="nil"/>
              <w:bottom w:val="single" w:sz="8" w:space="0" w:color="auto"/>
              <w:right w:val="single" w:sz="8" w:space="0" w:color="auto"/>
            </w:tcBorders>
            <w:shd w:val="clear" w:color="auto" w:fill="auto"/>
            <w:noWrap/>
            <w:vAlign w:val="center"/>
            <w:hideMark/>
          </w:tcPr>
          <w:p w14:paraId="53D79C97"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314.243</w:t>
            </w:r>
          </w:p>
        </w:tc>
        <w:tc>
          <w:tcPr>
            <w:tcW w:w="1480" w:type="dxa"/>
            <w:tcBorders>
              <w:top w:val="nil"/>
              <w:left w:val="nil"/>
              <w:bottom w:val="single" w:sz="8" w:space="0" w:color="auto"/>
              <w:right w:val="single" w:sz="8" w:space="0" w:color="auto"/>
            </w:tcBorders>
            <w:shd w:val="clear" w:color="auto" w:fill="auto"/>
            <w:noWrap/>
            <w:vAlign w:val="center"/>
            <w:hideMark/>
          </w:tcPr>
          <w:p w14:paraId="119F2FD7"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40,4</w:t>
            </w:r>
          </w:p>
        </w:tc>
        <w:tc>
          <w:tcPr>
            <w:tcW w:w="2020" w:type="dxa"/>
            <w:tcBorders>
              <w:top w:val="nil"/>
              <w:left w:val="nil"/>
              <w:bottom w:val="single" w:sz="8" w:space="0" w:color="auto"/>
              <w:right w:val="single" w:sz="8" w:space="0" w:color="auto"/>
            </w:tcBorders>
            <w:shd w:val="clear" w:color="auto" w:fill="auto"/>
            <w:noWrap/>
            <w:vAlign w:val="center"/>
            <w:hideMark/>
          </w:tcPr>
          <w:p w14:paraId="22FAFC8F"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12.695.423,06</w:t>
            </w:r>
          </w:p>
        </w:tc>
      </w:tr>
      <w:tr w:rsidR="007B3093" w14:paraId="0967B0A1" w14:textId="77777777">
        <w:trPr>
          <w:trHeight w:val="315"/>
          <w:jc w:val="center"/>
        </w:trPr>
        <w:tc>
          <w:tcPr>
            <w:tcW w:w="1200" w:type="dxa"/>
            <w:tcBorders>
              <w:top w:val="nil"/>
              <w:left w:val="single" w:sz="8" w:space="0" w:color="auto"/>
              <w:bottom w:val="single" w:sz="8" w:space="0" w:color="auto"/>
              <w:right w:val="single" w:sz="8" w:space="0" w:color="auto"/>
            </w:tcBorders>
            <w:shd w:val="clear" w:color="auto" w:fill="002060"/>
            <w:noWrap/>
            <w:vAlign w:val="center"/>
            <w:hideMark/>
          </w:tcPr>
          <w:p w14:paraId="539845D0"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Citaciones</w:t>
            </w:r>
          </w:p>
        </w:tc>
        <w:tc>
          <w:tcPr>
            <w:tcW w:w="1200" w:type="dxa"/>
            <w:tcBorders>
              <w:top w:val="nil"/>
              <w:left w:val="nil"/>
              <w:bottom w:val="single" w:sz="8" w:space="0" w:color="auto"/>
              <w:right w:val="single" w:sz="8" w:space="0" w:color="auto"/>
            </w:tcBorders>
            <w:shd w:val="clear" w:color="auto" w:fill="auto"/>
            <w:noWrap/>
            <w:vAlign w:val="center"/>
            <w:hideMark/>
          </w:tcPr>
          <w:p w14:paraId="13BB270A"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69.410</w:t>
            </w:r>
          </w:p>
        </w:tc>
        <w:tc>
          <w:tcPr>
            <w:tcW w:w="1480" w:type="dxa"/>
            <w:tcBorders>
              <w:top w:val="nil"/>
              <w:left w:val="nil"/>
              <w:bottom w:val="single" w:sz="8" w:space="0" w:color="auto"/>
              <w:right w:val="single" w:sz="8" w:space="0" w:color="auto"/>
            </w:tcBorders>
            <w:shd w:val="clear" w:color="auto" w:fill="auto"/>
            <w:noWrap/>
            <w:vAlign w:val="center"/>
            <w:hideMark/>
          </w:tcPr>
          <w:p w14:paraId="0DD56262"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40,4</w:t>
            </w:r>
          </w:p>
        </w:tc>
        <w:tc>
          <w:tcPr>
            <w:tcW w:w="2020" w:type="dxa"/>
            <w:tcBorders>
              <w:top w:val="nil"/>
              <w:left w:val="nil"/>
              <w:bottom w:val="single" w:sz="8" w:space="0" w:color="auto"/>
              <w:right w:val="single" w:sz="8" w:space="0" w:color="auto"/>
            </w:tcBorders>
            <w:shd w:val="clear" w:color="auto" w:fill="auto"/>
            <w:noWrap/>
            <w:vAlign w:val="center"/>
            <w:hideMark/>
          </w:tcPr>
          <w:p w14:paraId="4E2C0279" w14:textId="77777777" w:rsidR="007B3093" w:rsidRDefault="00000000">
            <w:pPr>
              <w:spacing w:after="0" w:line="240" w:lineRule="auto"/>
              <w:jc w:val="right"/>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2.804.147,92</w:t>
            </w:r>
          </w:p>
        </w:tc>
      </w:tr>
      <w:tr w:rsidR="007B3093" w14:paraId="0ECD8A99" w14:textId="77777777">
        <w:trPr>
          <w:trHeight w:val="315"/>
          <w:jc w:val="center"/>
        </w:trPr>
        <w:tc>
          <w:tcPr>
            <w:tcW w:w="3880" w:type="dxa"/>
            <w:gridSpan w:val="3"/>
            <w:tcBorders>
              <w:top w:val="nil"/>
              <w:left w:val="single" w:sz="8" w:space="0" w:color="auto"/>
              <w:bottom w:val="single" w:sz="8" w:space="0" w:color="auto"/>
              <w:right w:val="nil"/>
            </w:tcBorders>
            <w:shd w:val="clear" w:color="000000" w:fill="002060"/>
            <w:noWrap/>
            <w:vAlign w:val="center"/>
            <w:hideMark/>
          </w:tcPr>
          <w:p w14:paraId="69EFCDB4" w14:textId="77777777" w:rsidR="007B3093" w:rsidRDefault="00000000">
            <w:pPr>
              <w:spacing w:after="0" w:line="240" w:lineRule="auto"/>
              <w:jc w:val="center"/>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Total</w:t>
            </w:r>
          </w:p>
        </w:tc>
        <w:tc>
          <w:tcPr>
            <w:tcW w:w="2020" w:type="dxa"/>
            <w:tcBorders>
              <w:top w:val="nil"/>
              <w:left w:val="single" w:sz="8" w:space="0" w:color="auto"/>
              <w:bottom w:val="single" w:sz="8" w:space="0" w:color="auto"/>
              <w:right w:val="single" w:sz="8" w:space="0" w:color="auto"/>
            </w:tcBorders>
            <w:shd w:val="clear" w:color="000000" w:fill="002060"/>
            <w:noWrap/>
            <w:vAlign w:val="center"/>
            <w:hideMark/>
          </w:tcPr>
          <w:p w14:paraId="2FB35B97" w14:textId="77777777" w:rsidR="007B3093" w:rsidRDefault="00000000">
            <w:pPr>
              <w:spacing w:after="0" w:line="240" w:lineRule="auto"/>
              <w:jc w:val="right"/>
              <w:rPr>
                <w:rFonts w:ascii="Calibri" w:eastAsia="Times New Roman" w:hAnsi="Calibri" w:cs="Times New Roman"/>
                <w:color w:val="FFFFFF"/>
                <w:sz w:val="18"/>
                <w:szCs w:val="18"/>
                <w:lang w:eastAsia="es-EC"/>
              </w:rPr>
            </w:pPr>
            <w:r>
              <w:rPr>
                <w:rFonts w:ascii="Calibri" w:eastAsia="Times New Roman" w:hAnsi="Calibri" w:cs="Times New Roman"/>
                <w:color w:val="FFFFFF"/>
                <w:sz w:val="18"/>
                <w:szCs w:val="18"/>
                <w:lang w:eastAsia="es-EC"/>
              </w:rPr>
              <w:t>16.494.591,47</w:t>
            </w:r>
          </w:p>
        </w:tc>
      </w:tr>
    </w:tbl>
    <w:p w14:paraId="7E4AC1C8" w14:textId="77777777" w:rsidR="007B3093" w:rsidRDefault="007B3093">
      <w:pPr>
        <w:spacing w:after="0" w:line="360" w:lineRule="auto"/>
        <w:contextualSpacing/>
        <w:jc w:val="center"/>
        <w:rPr>
          <w:rFonts w:cstheme="minorHAnsi"/>
        </w:rPr>
      </w:pPr>
    </w:p>
    <w:p w14:paraId="14F90A53" w14:textId="77777777" w:rsidR="007B3093" w:rsidRDefault="00000000">
      <w:pPr>
        <w:pStyle w:val="Prrafodelista"/>
        <w:spacing w:before="120" w:after="120" w:line="360" w:lineRule="auto"/>
        <w:ind w:left="142" w:firstLine="425"/>
        <w:contextualSpacing w:val="0"/>
        <w:jc w:val="both"/>
        <w:rPr>
          <w:rFonts w:cstheme="minorHAnsi"/>
        </w:rPr>
      </w:pPr>
      <w:r>
        <w:rPr>
          <w:rFonts w:cstheme="minorHAnsi"/>
        </w:rPr>
        <w:t>Utilizando el mismo costo por hora, se obtienen los USD 16.494.591,47 que corresponden al costo total de la gestión de interna en la situación CON PROYECTO.</w:t>
      </w:r>
    </w:p>
    <w:tbl>
      <w:tblPr>
        <w:tblW w:w="4732" w:type="dxa"/>
        <w:jc w:val="center"/>
        <w:tblCellMar>
          <w:left w:w="70" w:type="dxa"/>
          <w:right w:w="70" w:type="dxa"/>
        </w:tblCellMar>
        <w:tblLook w:val="04A0" w:firstRow="1" w:lastRow="0" w:firstColumn="1" w:lastColumn="0" w:noHBand="0" w:noVBand="1"/>
      </w:tblPr>
      <w:tblGrid>
        <w:gridCol w:w="3289"/>
        <w:gridCol w:w="1443"/>
      </w:tblGrid>
      <w:tr w:rsidR="007B3093" w14:paraId="1ED0B390" w14:textId="77777777">
        <w:trPr>
          <w:trHeight w:val="272"/>
          <w:jc w:val="center"/>
        </w:trPr>
        <w:tc>
          <w:tcPr>
            <w:tcW w:w="3289"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10DBE96" w14:textId="77777777" w:rsidR="007B3093" w:rsidRDefault="00000000">
            <w:pPr>
              <w:spacing w:after="0" w:line="240" w:lineRule="auto"/>
              <w:rPr>
                <w:rFonts w:ascii="Calibri" w:eastAsia="Times New Roman" w:hAnsi="Calibri" w:cs="Times New Roman"/>
                <w:color w:val="FFFFFF" w:themeColor="background1"/>
                <w:lang w:eastAsia="es-EC"/>
              </w:rPr>
            </w:pPr>
            <w:r>
              <w:rPr>
                <w:rFonts w:ascii="Calibri" w:eastAsia="Times New Roman" w:hAnsi="Calibri" w:cs="Times New Roman"/>
                <w:color w:val="FFFFFF" w:themeColor="background1"/>
                <w:lang w:eastAsia="es-EC"/>
              </w:rPr>
              <w:t>Costo Total SIN PROYECTO (USD)</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54F50" w14:textId="77777777" w:rsidR="007B3093" w:rsidRDefault="00000000">
            <w:pPr>
              <w:spacing w:after="0" w:line="240" w:lineRule="auto"/>
              <w:jc w:val="right"/>
              <w:rPr>
                <w:rFonts w:ascii="Calibri" w:eastAsia="Times New Roman" w:hAnsi="Calibri" w:cs="Times New Roman"/>
                <w:color w:val="000000"/>
                <w:lang w:eastAsia="es-EC"/>
              </w:rPr>
            </w:pPr>
            <w:r>
              <w:rPr>
                <w:rFonts w:ascii="Calibri" w:eastAsia="Times New Roman" w:hAnsi="Calibri" w:cs="Times New Roman"/>
                <w:color w:val="000000"/>
                <w:lang w:eastAsia="es-EC"/>
              </w:rPr>
              <w:t>18.327.323,85</w:t>
            </w:r>
          </w:p>
        </w:tc>
      </w:tr>
      <w:tr w:rsidR="007B3093" w14:paraId="7165FFBD" w14:textId="77777777">
        <w:trPr>
          <w:trHeight w:val="272"/>
          <w:jc w:val="center"/>
        </w:trPr>
        <w:tc>
          <w:tcPr>
            <w:tcW w:w="3289" w:type="dxa"/>
            <w:tcBorders>
              <w:top w:val="single" w:sz="4" w:space="0" w:color="auto"/>
              <w:left w:val="nil"/>
              <w:bottom w:val="single" w:sz="4" w:space="0" w:color="auto"/>
              <w:right w:val="nil"/>
            </w:tcBorders>
            <w:shd w:val="clear" w:color="auto" w:fill="auto"/>
            <w:noWrap/>
            <w:vAlign w:val="bottom"/>
            <w:hideMark/>
          </w:tcPr>
          <w:p w14:paraId="47856CC2" w14:textId="77777777" w:rsidR="007B3093" w:rsidRDefault="007B3093">
            <w:pPr>
              <w:spacing w:after="0" w:line="240" w:lineRule="auto"/>
              <w:jc w:val="right"/>
              <w:rPr>
                <w:rFonts w:ascii="Calibri" w:eastAsia="Times New Roman" w:hAnsi="Calibri" w:cs="Times New Roman"/>
                <w:color w:val="000000"/>
                <w:lang w:eastAsia="es-EC"/>
              </w:rPr>
            </w:pPr>
          </w:p>
        </w:tc>
        <w:tc>
          <w:tcPr>
            <w:tcW w:w="1443" w:type="dxa"/>
            <w:tcBorders>
              <w:top w:val="single" w:sz="4" w:space="0" w:color="auto"/>
              <w:left w:val="nil"/>
              <w:bottom w:val="single" w:sz="4" w:space="0" w:color="auto"/>
              <w:right w:val="nil"/>
            </w:tcBorders>
            <w:shd w:val="clear" w:color="auto" w:fill="auto"/>
            <w:noWrap/>
            <w:vAlign w:val="bottom"/>
            <w:hideMark/>
          </w:tcPr>
          <w:p w14:paraId="64AA3953" w14:textId="77777777" w:rsidR="007B3093" w:rsidRDefault="007B3093">
            <w:pPr>
              <w:spacing w:after="0" w:line="240" w:lineRule="auto"/>
              <w:rPr>
                <w:rFonts w:ascii="Times New Roman" w:eastAsia="Times New Roman" w:hAnsi="Times New Roman" w:cs="Times New Roman"/>
                <w:sz w:val="20"/>
                <w:szCs w:val="20"/>
                <w:lang w:eastAsia="es-EC"/>
              </w:rPr>
            </w:pPr>
          </w:p>
        </w:tc>
      </w:tr>
      <w:tr w:rsidR="007B3093" w14:paraId="70B6C8A9" w14:textId="77777777">
        <w:trPr>
          <w:trHeight w:val="272"/>
          <w:jc w:val="center"/>
        </w:trPr>
        <w:tc>
          <w:tcPr>
            <w:tcW w:w="3289"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7110E6A6" w14:textId="77777777" w:rsidR="007B3093" w:rsidRDefault="00000000">
            <w:pPr>
              <w:spacing w:after="0" w:line="240" w:lineRule="auto"/>
              <w:rPr>
                <w:rFonts w:ascii="Calibri" w:eastAsia="Times New Roman" w:hAnsi="Calibri" w:cs="Times New Roman"/>
                <w:color w:val="FFFFFF" w:themeColor="background1"/>
                <w:lang w:eastAsia="es-EC"/>
              </w:rPr>
            </w:pPr>
            <w:r>
              <w:rPr>
                <w:rFonts w:ascii="Calibri" w:eastAsia="Times New Roman" w:hAnsi="Calibri" w:cs="Times New Roman"/>
                <w:color w:val="FFFFFF" w:themeColor="background1"/>
                <w:lang w:eastAsia="es-EC"/>
              </w:rPr>
              <w:t>Costo Total CON PROYECTO (USD)</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D6B36" w14:textId="77777777" w:rsidR="007B3093" w:rsidRDefault="00000000">
            <w:pPr>
              <w:spacing w:after="0" w:line="240" w:lineRule="auto"/>
              <w:jc w:val="right"/>
              <w:rPr>
                <w:rFonts w:ascii="Calibri" w:eastAsia="Times New Roman" w:hAnsi="Calibri" w:cs="Times New Roman"/>
                <w:color w:val="000000"/>
                <w:lang w:eastAsia="es-EC"/>
              </w:rPr>
            </w:pPr>
            <w:r>
              <w:rPr>
                <w:rFonts w:ascii="Calibri" w:eastAsia="Times New Roman" w:hAnsi="Calibri" w:cs="Times New Roman"/>
                <w:color w:val="000000"/>
                <w:lang w:eastAsia="es-EC"/>
              </w:rPr>
              <w:t>16.494.591,47</w:t>
            </w:r>
          </w:p>
        </w:tc>
      </w:tr>
      <w:tr w:rsidR="007B3093" w14:paraId="520EE08A" w14:textId="77777777">
        <w:trPr>
          <w:trHeight w:val="272"/>
          <w:jc w:val="center"/>
        </w:trPr>
        <w:tc>
          <w:tcPr>
            <w:tcW w:w="3289" w:type="dxa"/>
            <w:tcBorders>
              <w:top w:val="single" w:sz="4" w:space="0" w:color="auto"/>
              <w:left w:val="nil"/>
              <w:bottom w:val="single" w:sz="4" w:space="0" w:color="auto"/>
              <w:right w:val="nil"/>
            </w:tcBorders>
            <w:shd w:val="clear" w:color="auto" w:fill="auto"/>
            <w:noWrap/>
            <w:vAlign w:val="bottom"/>
            <w:hideMark/>
          </w:tcPr>
          <w:p w14:paraId="2F3CF7A1" w14:textId="77777777" w:rsidR="007B3093" w:rsidRDefault="007B3093">
            <w:pPr>
              <w:spacing w:after="0" w:line="240" w:lineRule="auto"/>
              <w:jc w:val="right"/>
              <w:rPr>
                <w:rFonts w:ascii="Calibri" w:eastAsia="Times New Roman" w:hAnsi="Calibri" w:cs="Times New Roman"/>
                <w:color w:val="000000"/>
                <w:lang w:eastAsia="es-EC"/>
              </w:rPr>
            </w:pPr>
          </w:p>
        </w:tc>
        <w:tc>
          <w:tcPr>
            <w:tcW w:w="1443" w:type="dxa"/>
            <w:tcBorders>
              <w:top w:val="single" w:sz="4" w:space="0" w:color="auto"/>
              <w:left w:val="nil"/>
              <w:bottom w:val="single" w:sz="4" w:space="0" w:color="auto"/>
              <w:right w:val="nil"/>
            </w:tcBorders>
            <w:shd w:val="clear" w:color="auto" w:fill="auto"/>
            <w:noWrap/>
            <w:vAlign w:val="bottom"/>
            <w:hideMark/>
          </w:tcPr>
          <w:p w14:paraId="50F49542" w14:textId="77777777" w:rsidR="007B3093" w:rsidRDefault="007B3093">
            <w:pPr>
              <w:spacing w:after="0" w:line="240" w:lineRule="auto"/>
              <w:rPr>
                <w:rFonts w:ascii="Times New Roman" w:eastAsia="Times New Roman" w:hAnsi="Times New Roman" w:cs="Times New Roman"/>
                <w:sz w:val="20"/>
                <w:szCs w:val="20"/>
                <w:lang w:eastAsia="es-EC"/>
              </w:rPr>
            </w:pPr>
          </w:p>
        </w:tc>
      </w:tr>
      <w:tr w:rsidR="007B3093" w14:paraId="4CA91258" w14:textId="77777777">
        <w:trPr>
          <w:trHeight w:val="272"/>
          <w:jc w:val="center"/>
        </w:trPr>
        <w:tc>
          <w:tcPr>
            <w:tcW w:w="3289"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FC8E6A0" w14:textId="77777777" w:rsidR="007B3093" w:rsidRDefault="00000000">
            <w:pPr>
              <w:spacing w:after="0" w:line="240" w:lineRule="auto"/>
              <w:rPr>
                <w:rFonts w:ascii="Calibri" w:eastAsia="Times New Roman" w:hAnsi="Calibri" w:cs="Times New Roman"/>
                <w:color w:val="FFFFFF" w:themeColor="background1"/>
                <w:lang w:eastAsia="es-EC"/>
              </w:rPr>
            </w:pPr>
            <w:r>
              <w:rPr>
                <w:rFonts w:ascii="Calibri" w:eastAsia="Times New Roman" w:hAnsi="Calibri" w:cs="Times New Roman"/>
                <w:color w:val="FFFFFF" w:themeColor="background1"/>
                <w:lang w:eastAsia="es-EC"/>
              </w:rPr>
              <w:t>Costo Evitado Anual</w:t>
            </w: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44F74" w14:textId="77777777" w:rsidR="007B3093" w:rsidRDefault="00000000">
            <w:pPr>
              <w:spacing w:after="0" w:line="240" w:lineRule="auto"/>
              <w:jc w:val="right"/>
              <w:rPr>
                <w:rFonts w:ascii="Calibri" w:eastAsia="Times New Roman" w:hAnsi="Calibri" w:cs="Times New Roman"/>
                <w:color w:val="000000"/>
                <w:lang w:eastAsia="es-EC"/>
              </w:rPr>
            </w:pPr>
            <w:r>
              <w:rPr>
                <w:rFonts w:ascii="Calibri" w:eastAsia="Times New Roman" w:hAnsi="Calibri" w:cs="Times New Roman"/>
                <w:color w:val="000000"/>
                <w:lang w:eastAsia="es-EC"/>
              </w:rPr>
              <w:t>1.832.732,39</w:t>
            </w:r>
          </w:p>
        </w:tc>
      </w:tr>
    </w:tbl>
    <w:p w14:paraId="0D31A7E4" w14:textId="77777777" w:rsidR="007B3093" w:rsidRDefault="007B3093">
      <w:pPr>
        <w:pStyle w:val="Prrafodelista"/>
        <w:spacing w:before="120" w:after="120" w:line="360" w:lineRule="auto"/>
        <w:ind w:left="142" w:firstLine="425"/>
        <w:contextualSpacing w:val="0"/>
        <w:jc w:val="both"/>
        <w:rPr>
          <w:rFonts w:cstheme="minorHAnsi"/>
        </w:rPr>
      </w:pPr>
    </w:p>
    <w:p w14:paraId="45029B36" w14:textId="77777777" w:rsidR="007B3093" w:rsidRDefault="00000000">
      <w:pPr>
        <w:pStyle w:val="Prrafodelista"/>
        <w:spacing w:before="120" w:after="120" w:line="360" w:lineRule="auto"/>
        <w:ind w:left="142" w:firstLine="425"/>
        <w:contextualSpacing w:val="0"/>
        <w:jc w:val="both"/>
        <w:rPr>
          <w:rFonts w:cstheme="minorHAnsi"/>
        </w:rPr>
      </w:pPr>
      <w:r>
        <w:rPr>
          <w:rFonts w:cstheme="minorHAnsi"/>
        </w:rPr>
        <w:t>De la diferencia entre el costo total de la gestión de interna SIN PROYECTO y CON PROYECTO, resultan los costos evitados por USD 1.832.732,39.</w:t>
      </w:r>
    </w:p>
    <w:p w14:paraId="1009481A" w14:textId="77777777" w:rsidR="007B3093" w:rsidRDefault="00000000">
      <w:pPr>
        <w:pStyle w:val="Prrafodelista"/>
        <w:spacing w:before="120" w:after="120" w:line="360" w:lineRule="auto"/>
        <w:ind w:left="142" w:firstLine="425"/>
        <w:jc w:val="both"/>
        <w:rPr>
          <w:rFonts w:cstheme="minorHAnsi"/>
        </w:rPr>
      </w:pPr>
      <w:r>
        <w:rPr>
          <w:rFonts w:cstheme="minorHAnsi"/>
        </w:rPr>
        <w:t xml:space="preserve">En un escenario conservador, se estima que los ahorros generados inician en el año 2025, con la implementación del proyecto, con sólo un 33% de ahorro total previsto para ese año, un 66% en el 2026 y </w:t>
      </w:r>
      <w:proofErr w:type="gramStart"/>
      <w:r>
        <w:rPr>
          <w:rFonts w:cstheme="minorHAnsi"/>
        </w:rPr>
        <w:t>2027;  luego</w:t>
      </w:r>
      <w:proofErr w:type="gramEnd"/>
      <w:r>
        <w:rPr>
          <w:rFonts w:cstheme="minorHAnsi"/>
        </w:rPr>
        <w:t xml:space="preserve"> se presentará el ahorro completo de USD 1,83 millones, como se presentan en la siguiente tabla:</w:t>
      </w:r>
    </w:p>
    <w:p w14:paraId="4F1FCCFC" w14:textId="77777777" w:rsidR="007B3093" w:rsidRDefault="00000000">
      <w:pPr>
        <w:autoSpaceDE w:val="0"/>
        <w:autoSpaceDN w:val="0"/>
        <w:adjustRightInd w:val="0"/>
        <w:spacing w:after="0" w:line="360" w:lineRule="auto"/>
        <w:ind w:left="-502" w:right="-1"/>
        <w:jc w:val="center"/>
        <w:rPr>
          <w:rFonts w:cstheme="minorHAnsi"/>
          <w:b/>
        </w:rPr>
      </w:pPr>
      <w:r>
        <w:rPr>
          <w:rFonts w:cstheme="minorHAnsi"/>
          <w:b/>
        </w:rPr>
        <w:t>Tabla No. 30: Ahorros en forma incremental</w:t>
      </w:r>
    </w:p>
    <w:tbl>
      <w:tblPr>
        <w:tblW w:w="4702" w:type="dxa"/>
        <w:tblInd w:w="1894" w:type="dxa"/>
        <w:tblLook w:val="04A0" w:firstRow="1" w:lastRow="0" w:firstColumn="1" w:lastColumn="0" w:noHBand="0" w:noVBand="1"/>
      </w:tblPr>
      <w:tblGrid>
        <w:gridCol w:w="2412"/>
        <w:gridCol w:w="2210"/>
        <w:gridCol w:w="80"/>
      </w:tblGrid>
      <w:tr w:rsidR="007B3093" w14:paraId="5606D0DB" w14:textId="77777777">
        <w:trPr>
          <w:trHeight w:val="285"/>
          <w:tblHeader/>
        </w:trPr>
        <w:tc>
          <w:tcPr>
            <w:tcW w:w="2412" w:type="dxa"/>
            <w:tcBorders>
              <w:top w:val="single" w:sz="4" w:space="0" w:color="auto"/>
              <w:left w:val="single" w:sz="4" w:space="0" w:color="auto"/>
              <w:bottom w:val="single" w:sz="4" w:space="0" w:color="auto"/>
              <w:right w:val="single" w:sz="4" w:space="0" w:color="auto"/>
            </w:tcBorders>
            <w:shd w:val="clear" w:color="000000" w:fill="244062"/>
            <w:noWrap/>
            <w:vAlign w:val="bottom"/>
            <w:hideMark/>
          </w:tcPr>
          <w:p w14:paraId="1207BA96" w14:textId="77777777" w:rsidR="007B3093" w:rsidRDefault="00000000">
            <w:pPr>
              <w:spacing w:after="0" w:line="240" w:lineRule="auto"/>
              <w:jc w:val="center"/>
              <w:rPr>
                <w:rFonts w:ascii="Calibri" w:eastAsia="Times New Roman" w:hAnsi="Calibri" w:cs="Calibri"/>
                <w:b/>
                <w:bCs/>
                <w:color w:val="FFFFFF"/>
                <w:sz w:val="20"/>
                <w:szCs w:val="20"/>
                <w:lang w:val="en-US"/>
              </w:rPr>
            </w:pPr>
            <w:proofErr w:type="spellStart"/>
            <w:r>
              <w:rPr>
                <w:rFonts w:ascii="Calibri" w:eastAsia="Times New Roman" w:hAnsi="Calibri" w:cs="Calibri"/>
                <w:b/>
                <w:bCs/>
                <w:color w:val="FFFFFF"/>
                <w:sz w:val="20"/>
                <w:szCs w:val="20"/>
                <w:lang w:val="en-US"/>
              </w:rPr>
              <w:t>Años</w:t>
            </w:r>
            <w:proofErr w:type="spellEnd"/>
          </w:p>
        </w:tc>
        <w:tc>
          <w:tcPr>
            <w:tcW w:w="2290" w:type="dxa"/>
            <w:gridSpan w:val="2"/>
            <w:tcBorders>
              <w:top w:val="single" w:sz="4" w:space="0" w:color="auto"/>
              <w:left w:val="nil"/>
              <w:bottom w:val="single" w:sz="4" w:space="0" w:color="auto"/>
              <w:right w:val="single" w:sz="4" w:space="0" w:color="auto"/>
            </w:tcBorders>
            <w:shd w:val="clear" w:color="000000" w:fill="244062"/>
            <w:noWrap/>
            <w:vAlign w:val="bottom"/>
            <w:hideMark/>
          </w:tcPr>
          <w:p w14:paraId="4D8DDA91" w14:textId="77777777" w:rsidR="007B3093" w:rsidRDefault="00000000">
            <w:pPr>
              <w:spacing w:after="0" w:line="240" w:lineRule="auto"/>
              <w:jc w:val="center"/>
              <w:rPr>
                <w:rFonts w:ascii="Calibri" w:eastAsia="Times New Roman" w:hAnsi="Calibri" w:cs="Calibri"/>
                <w:b/>
                <w:bCs/>
                <w:color w:val="FFFFFF"/>
                <w:sz w:val="20"/>
                <w:szCs w:val="20"/>
                <w:lang w:val="en-US"/>
              </w:rPr>
            </w:pPr>
            <w:proofErr w:type="spellStart"/>
            <w:r>
              <w:rPr>
                <w:rFonts w:ascii="Calibri" w:eastAsia="Times New Roman" w:hAnsi="Calibri" w:cs="Calibri"/>
                <w:b/>
                <w:bCs/>
                <w:color w:val="FFFFFF"/>
                <w:sz w:val="20"/>
                <w:szCs w:val="20"/>
                <w:lang w:val="en-US"/>
              </w:rPr>
              <w:t>Beneficios</w:t>
            </w:r>
            <w:proofErr w:type="spellEnd"/>
          </w:p>
        </w:tc>
      </w:tr>
      <w:tr w:rsidR="007B3093" w14:paraId="65557828"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5E8735C7"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2022</w:t>
            </w:r>
          </w:p>
        </w:tc>
        <w:tc>
          <w:tcPr>
            <w:tcW w:w="2210" w:type="dxa"/>
            <w:tcBorders>
              <w:top w:val="nil"/>
              <w:left w:val="nil"/>
              <w:bottom w:val="single" w:sz="4" w:space="0" w:color="auto"/>
              <w:right w:val="single" w:sz="4" w:space="0" w:color="auto"/>
            </w:tcBorders>
            <w:shd w:val="clear" w:color="auto" w:fill="auto"/>
            <w:noWrap/>
            <w:vAlign w:val="bottom"/>
            <w:hideMark/>
          </w:tcPr>
          <w:p w14:paraId="0426F36E"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0</w:t>
            </w:r>
          </w:p>
        </w:tc>
      </w:tr>
      <w:tr w:rsidR="007B3093" w14:paraId="3F8B4074"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1AEF9563"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2023</w:t>
            </w:r>
          </w:p>
        </w:tc>
        <w:tc>
          <w:tcPr>
            <w:tcW w:w="2210" w:type="dxa"/>
            <w:tcBorders>
              <w:top w:val="nil"/>
              <w:left w:val="nil"/>
              <w:bottom w:val="single" w:sz="4" w:space="0" w:color="auto"/>
              <w:right w:val="single" w:sz="4" w:space="0" w:color="auto"/>
            </w:tcBorders>
            <w:shd w:val="clear" w:color="auto" w:fill="auto"/>
            <w:noWrap/>
            <w:vAlign w:val="bottom"/>
            <w:hideMark/>
          </w:tcPr>
          <w:p w14:paraId="7442BE4B"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0</w:t>
            </w:r>
          </w:p>
        </w:tc>
      </w:tr>
      <w:tr w:rsidR="007B3093" w14:paraId="46BA46A0"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5C3469B2"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2024</w:t>
            </w:r>
          </w:p>
        </w:tc>
        <w:tc>
          <w:tcPr>
            <w:tcW w:w="2210" w:type="dxa"/>
            <w:tcBorders>
              <w:top w:val="nil"/>
              <w:left w:val="nil"/>
              <w:bottom w:val="single" w:sz="4" w:space="0" w:color="auto"/>
              <w:right w:val="single" w:sz="4" w:space="0" w:color="auto"/>
            </w:tcBorders>
            <w:shd w:val="clear" w:color="auto" w:fill="auto"/>
            <w:noWrap/>
            <w:vAlign w:val="bottom"/>
            <w:hideMark/>
          </w:tcPr>
          <w:p w14:paraId="61C7BD69"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0</w:t>
            </w:r>
          </w:p>
        </w:tc>
      </w:tr>
      <w:tr w:rsidR="007B3093" w14:paraId="43214B47"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73344E06"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2025</w:t>
            </w:r>
          </w:p>
        </w:tc>
        <w:tc>
          <w:tcPr>
            <w:tcW w:w="2210" w:type="dxa"/>
            <w:tcBorders>
              <w:top w:val="nil"/>
              <w:left w:val="nil"/>
              <w:bottom w:val="single" w:sz="4" w:space="0" w:color="auto"/>
              <w:right w:val="single" w:sz="4" w:space="0" w:color="auto"/>
            </w:tcBorders>
            <w:shd w:val="clear" w:color="auto" w:fill="auto"/>
            <w:noWrap/>
            <w:vAlign w:val="bottom"/>
            <w:hideMark/>
          </w:tcPr>
          <w:p w14:paraId="38A23D95"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    610.910,18 </w:t>
            </w:r>
          </w:p>
        </w:tc>
      </w:tr>
      <w:tr w:rsidR="007B3093" w14:paraId="7DACCEE2"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6F51CDF0"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2026</w:t>
            </w:r>
          </w:p>
        </w:tc>
        <w:tc>
          <w:tcPr>
            <w:tcW w:w="2210" w:type="dxa"/>
            <w:tcBorders>
              <w:top w:val="nil"/>
              <w:left w:val="nil"/>
              <w:bottom w:val="single" w:sz="4" w:space="0" w:color="auto"/>
              <w:right w:val="single" w:sz="4" w:space="0" w:color="auto"/>
            </w:tcBorders>
            <w:shd w:val="clear" w:color="auto" w:fill="auto"/>
            <w:noWrap/>
            <w:vAlign w:val="bottom"/>
            <w:hideMark/>
          </w:tcPr>
          <w:p w14:paraId="305666A7"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  1.221.822,20 </w:t>
            </w:r>
          </w:p>
        </w:tc>
      </w:tr>
      <w:tr w:rsidR="007B3093" w14:paraId="223D3E93"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6989B979"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2027</w:t>
            </w:r>
          </w:p>
        </w:tc>
        <w:tc>
          <w:tcPr>
            <w:tcW w:w="2210" w:type="dxa"/>
            <w:tcBorders>
              <w:top w:val="nil"/>
              <w:left w:val="nil"/>
              <w:bottom w:val="single" w:sz="4" w:space="0" w:color="auto"/>
              <w:right w:val="single" w:sz="4" w:space="0" w:color="auto"/>
            </w:tcBorders>
            <w:shd w:val="clear" w:color="auto" w:fill="auto"/>
            <w:noWrap/>
            <w:vAlign w:val="bottom"/>
            <w:hideMark/>
          </w:tcPr>
          <w:p w14:paraId="639D3D15"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   1.221.822,20 </w:t>
            </w:r>
          </w:p>
        </w:tc>
      </w:tr>
      <w:tr w:rsidR="007B3093" w14:paraId="10D531C3"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22964F1E"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2028</w:t>
            </w:r>
          </w:p>
        </w:tc>
        <w:tc>
          <w:tcPr>
            <w:tcW w:w="2210" w:type="dxa"/>
            <w:tcBorders>
              <w:top w:val="nil"/>
              <w:left w:val="nil"/>
              <w:bottom w:val="single" w:sz="4" w:space="0" w:color="auto"/>
              <w:right w:val="single" w:sz="4" w:space="0" w:color="auto"/>
            </w:tcBorders>
            <w:shd w:val="clear" w:color="auto" w:fill="auto"/>
            <w:noWrap/>
            <w:vAlign w:val="bottom"/>
            <w:hideMark/>
          </w:tcPr>
          <w:p w14:paraId="7B65F0D6"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   1.832.732,39 </w:t>
            </w:r>
          </w:p>
        </w:tc>
      </w:tr>
      <w:tr w:rsidR="007B3093" w14:paraId="1E35536C"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5DE2CE98"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2029</w:t>
            </w:r>
          </w:p>
        </w:tc>
        <w:tc>
          <w:tcPr>
            <w:tcW w:w="2210" w:type="dxa"/>
            <w:tcBorders>
              <w:top w:val="nil"/>
              <w:left w:val="nil"/>
              <w:bottom w:val="single" w:sz="4" w:space="0" w:color="auto"/>
              <w:right w:val="single" w:sz="4" w:space="0" w:color="auto"/>
            </w:tcBorders>
            <w:shd w:val="clear" w:color="auto" w:fill="auto"/>
            <w:noWrap/>
            <w:vAlign w:val="bottom"/>
            <w:hideMark/>
          </w:tcPr>
          <w:p w14:paraId="611C855E"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   1.832.732,39 </w:t>
            </w:r>
          </w:p>
        </w:tc>
      </w:tr>
      <w:tr w:rsidR="007B3093" w14:paraId="1FD93A80"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7ECE1BC4"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2030</w:t>
            </w:r>
          </w:p>
        </w:tc>
        <w:tc>
          <w:tcPr>
            <w:tcW w:w="2210" w:type="dxa"/>
            <w:tcBorders>
              <w:top w:val="nil"/>
              <w:left w:val="nil"/>
              <w:bottom w:val="single" w:sz="4" w:space="0" w:color="auto"/>
              <w:right w:val="single" w:sz="4" w:space="0" w:color="auto"/>
            </w:tcBorders>
            <w:shd w:val="clear" w:color="auto" w:fill="auto"/>
            <w:noWrap/>
            <w:vAlign w:val="bottom"/>
            <w:hideMark/>
          </w:tcPr>
          <w:p w14:paraId="440C1D9F"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   1.832.732,39 </w:t>
            </w:r>
          </w:p>
        </w:tc>
      </w:tr>
      <w:tr w:rsidR="007B3093" w14:paraId="0C81E73B"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6BA5FCE4"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2031</w:t>
            </w:r>
          </w:p>
        </w:tc>
        <w:tc>
          <w:tcPr>
            <w:tcW w:w="2210" w:type="dxa"/>
            <w:tcBorders>
              <w:top w:val="nil"/>
              <w:left w:val="nil"/>
              <w:bottom w:val="single" w:sz="4" w:space="0" w:color="auto"/>
              <w:right w:val="single" w:sz="4" w:space="0" w:color="auto"/>
            </w:tcBorders>
            <w:shd w:val="clear" w:color="auto" w:fill="auto"/>
            <w:noWrap/>
            <w:vAlign w:val="bottom"/>
            <w:hideMark/>
          </w:tcPr>
          <w:p w14:paraId="59E3A01A"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   1.832.732,39 </w:t>
            </w:r>
          </w:p>
        </w:tc>
      </w:tr>
      <w:tr w:rsidR="007B3093" w14:paraId="5DEBD598"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6E90777B"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lastRenderedPageBreak/>
              <w:t>2032</w:t>
            </w:r>
          </w:p>
        </w:tc>
        <w:tc>
          <w:tcPr>
            <w:tcW w:w="2210" w:type="dxa"/>
            <w:tcBorders>
              <w:top w:val="nil"/>
              <w:left w:val="nil"/>
              <w:bottom w:val="single" w:sz="4" w:space="0" w:color="auto"/>
              <w:right w:val="single" w:sz="4" w:space="0" w:color="auto"/>
            </w:tcBorders>
            <w:shd w:val="clear" w:color="auto" w:fill="auto"/>
            <w:noWrap/>
            <w:vAlign w:val="bottom"/>
            <w:hideMark/>
          </w:tcPr>
          <w:p w14:paraId="37449A9A"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   1.832.732,39 </w:t>
            </w:r>
          </w:p>
        </w:tc>
      </w:tr>
      <w:tr w:rsidR="007B3093" w14:paraId="10BE06F4" w14:textId="77777777">
        <w:trPr>
          <w:gridAfter w:val="1"/>
          <w:wAfter w:w="80" w:type="dxa"/>
          <w:trHeight w:val="285"/>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3B6E0548" w14:textId="77777777" w:rsidR="007B3093" w:rsidRDefault="00000000">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2033</w:t>
            </w:r>
          </w:p>
        </w:tc>
        <w:tc>
          <w:tcPr>
            <w:tcW w:w="2210" w:type="dxa"/>
            <w:tcBorders>
              <w:top w:val="nil"/>
              <w:left w:val="nil"/>
              <w:bottom w:val="single" w:sz="4" w:space="0" w:color="auto"/>
              <w:right w:val="single" w:sz="4" w:space="0" w:color="auto"/>
            </w:tcBorders>
            <w:shd w:val="clear" w:color="auto" w:fill="auto"/>
            <w:noWrap/>
            <w:vAlign w:val="bottom"/>
            <w:hideMark/>
          </w:tcPr>
          <w:p w14:paraId="06CD6590" w14:textId="77777777" w:rsidR="007B3093" w:rsidRDefault="0000000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   1.832.732,39 </w:t>
            </w:r>
          </w:p>
        </w:tc>
      </w:tr>
    </w:tbl>
    <w:p w14:paraId="651D769C" w14:textId="77777777" w:rsidR="007B3093" w:rsidRDefault="007B3093">
      <w:pPr>
        <w:autoSpaceDE w:val="0"/>
        <w:autoSpaceDN w:val="0"/>
        <w:adjustRightInd w:val="0"/>
        <w:spacing w:after="0" w:line="360" w:lineRule="auto"/>
        <w:ind w:left="-502" w:right="-1"/>
        <w:jc w:val="center"/>
        <w:rPr>
          <w:rFonts w:cstheme="minorHAnsi"/>
          <w:b/>
        </w:rPr>
      </w:pPr>
    </w:p>
    <w:p w14:paraId="365C32D0" w14:textId="77777777" w:rsidR="007B3093" w:rsidRDefault="007B3093"/>
    <w:p w14:paraId="0A161DDF" w14:textId="77777777" w:rsidR="007B3093" w:rsidRDefault="00000000">
      <w:pPr>
        <w:pStyle w:val="Ttulo2"/>
        <w:numPr>
          <w:ilvl w:val="2"/>
          <w:numId w:val="24"/>
        </w:numPr>
        <w:spacing w:before="0" w:line="360" w:lineRule="auto"/>
        <w:ind w:left="851"/>
        <w:rPr>
          <w:rFonts w:asciiTheme="minorHAnsi" w:hAnsiTheme="minorHAnsi" w:cstheme="minorHAnsi"/>
          <w:b/>
          <w:color w:val="auto"/>
          <w:sz w:val="22"/>
          <w:szCs w:val="22"/>
        </w:rPr>
      </w:pPr>
      <w:bookmarkStart w:id="80" w:name="_Toc195010090"/>
      <w:r>
        <w:rPr>
          <w:rFonts w:asciiTheme="minorHAnsi" w:hAnsiTheme="minorHAnsi" w:cstheme="minorHAnsi"/>
          <w:b/>
          <w:color w:val="auto"/>
          <w:sz w:val="22"/>
          <w:szCs w:val="22"/>
        </w:rPr>
        <w:t>Metodologías utilizadas para el cálculo de la inversión total, costos de operación y mantenimiento, ingresos y beneficios.</w:t>
      </w:r>
      <w:bookmarkEnd w:id="80"/>
    </w:p>
    <w:p w14:paraId="0D84B25B" w14:textId="77777777" w:rsidR="007B3093" w:rsidRDefault="00000000">
      <w:pPr>
        <w:pStyle w:val="Prrafodelista"/>
        <w:spacing w:before="120" w:after="120" w:line="360" w:lineRule="auto"/>
        <w:ind w:left="142"/>
        <w:contextualSpacing w:val="0"/>
        <w:jc w:val="both"/>
        <w:rPr>
          <w:rFonts w:cstheme="minorHAnsi"/>
          <w:color w:val="000000"/>
          <w:lang w:eastAsia="es-EC"/>
        </w:rPr>
      </w:pPr>
      <w:r>
        <w:rPr>
          <w:rFonts w:cstheme="minorHAnsi"/>
          <w:b/>
        </w:rPr>
        <w:t xml:space="preserve">Inversión Total: </w:t>
      </w:r>
      <w:r>
        <w:rPr>
          <w:rFonts w:cstheme="minorHAnsi"/>
        </w:rPr>
        <w:t>como se estableció en</w:t>
      </w:r>
      <w:r>
        <w:rPr>
          <w:rFonts w:cstheme="minorHAnsi"/>
          <w:b/>
        </w:rPr>
        <w:t xml:space="preserve"> </w:t>
      </w:r>
      <w:r>
        <w:rPr>
          <w:rFonts w:cstheme="minorHAnsi"/>
          <w:color w:val="000000"/>
          <w:lang w:eastAsia="es-EC"/>
        </w:rPr>
        <w:t>el apartado anterior, para cuantificar la inversión total del proyecto se han tomado en cuenta las consultorías, evaluaciones y estudios, que permitirán en primer lugar distinguir los elementos necesarios para establecer la estrategia institucional, para inmediatamente pasar a derivar de esta, el modelo de gestión que establezca la norma que deberán seguir muchos de los siguientes productos del proyecto.</w:t>
      </w:r>
    </w:p>
    <w:p w14:paraId="36BB0555" w14:textId="77777777" w:rsidR="007B3093" w:rsidRDefault="00000000">
      <w:pPr>
        <w:pStyle w:val="Prrafodelista"/>
        <w:spacing w:before="120" w:after="120" w:line="360" w:lineRule="auto"/>
        <w:ind w:left="142"/>
        <w:contextualSpacing w:val="0"/>
        <w:jc w:val="both"/>
        <w:rPr>
          <w:rFonts w:cstheme="minorHAnsi"/>
          <w:color w:val="000000"/>
          <w:lang w:eastAsia="es-EC"/>
        </w:rPr>
      </w:pPr>
      <w:r>
        <w:rPr>
          <w:rFonts w:cstheme="minorHAnsi"/>
          <w:color w:val="000000"/>
          <w:lang w:eastAsia="es-EC"/>
        </w:rPr>
        <w:t>Una vez establecido el modelo de gestión, se podrá distribuir los montos que han sido asignados para cubrir los requerimientos de tecnología y comunicación, equipamiento, y readecuación de las oficinas regionales y provinciales.</w:t>
      </w:r>
    </w:p>
    <w:p w14:paraId="3FC8512A" w14:textId="77777777" w:rsidR="007B3093" w:rsidRDefault="00000000">
      <w:pPr>
        <w:pStyle w:val="Prrafodelista"/>
        <w:spacing w:before="120" w:after="120" w:line="360" w:lineRule="auto"/>
        <w:ind w:left="142"/>
        <w:contextualSpacing w:val="0"/>
        <w:jc w:val="both"/>
        <w:rPr>
          <w:rFonts w:cstheme="minorHAnsi"/>
          <w:color w:val="000000"/>
          <w:lang w:eastAsia="es-EC"/>
        </w:rPr>
      </w:pPr>
      <w:r>
        <w:rPr>
          <w:rFonts w:cstheme="minorHAnsi"/>
          <w:color w:val="000000"/>
          <w:lang w:eastAsia="es-EC"/>
        </w:rPr>
        <w:t>De forma paralela se realizan consultorías y estudios complementarios como son los destinados a establecer las posibilidades de sustentabilidad financiera institucional, el manejo de los pasivos contingentes derivados de los litigios internacionales del Estado y la gestión de cambio de la cultura institucional.</w:t>
      </w:r>
    </w:p>
    <w:p w14:paraId="02DE9672" w14:textId="77777777" w:rsidR="007B3093" w:rsidRDefault="007B3093">
      <w:pPr>
        <w:spacing w:after="0" w:line="360" w:lineRule="auto"/>
        <w:ind w:firstLine="142"/>
        <w:contextualSpacing/>
        <w:jc w:val="both"/>
        <w:rPr>
          <w:rFonts w:cstheme="minorHAnsi"/>
          <w:b/>
        </w:rPr>
      </w:pPr>
    </w:p>
    <w:p w14:paraId="303E5341" w14:textId="77777777" w:rsidR="007B3093" w:rsidRDefault="00000000">
      <w:pPr>
        <w:spacing w:after="0" w:line="360" w:lineRule="auto"/>
        <w:ind w:firstLine="142"/>
        <w:contextualSpacing/>
        <w:jc w:val="both"/>
        <w:rPr>
          <w:rFonts w:cstheme="minorHAnsi"/>
          <w:b/>
        </w:rPr>
      </w:pPr>
      <w:r>
        <w:rPr>
          <w:rFonts w:cstheme="minorHAnsi"/>
          <w:b/>
        </w:rPr>
        <w:t>Costos de operación y mantenimiento.</w:t>
      </w:r>
    </w:p>
    <w:p w14:paraId="620CB529" w14:textId="77777777" w:rsidR="007B3093" w:rsidRDefault="00000000">
      <w:pPr>
        <w:pStyle w:val="Prrafodelista"/>
        <w:spacing w:before="120" w:after="120" w:line="360" w:lineRule="auto"/>
        <w:ind w:left="142"/>
        <w:contextualSpacing w:val="0"/>
        <w:jc w:val="both"/>
        <w:rPr>
          <w:rFonts w:cstheme="minorHAnsi"/>
          <w:bCs/>
          <w:color w:val="000000"/>
          <w:lang w:eastAsia="es-EC"/>
        </w:rPr>
      </w:pPr>
      <w:r>
        <w:rPr>
          <w:rFonts w:cstheme="minorHAnsi"/>
          <w:bCs/>
          <w:color w:val="000000"/>
          <w:lang w:eastAsia="es-EC"/>
        </w:rPr>
        <w:t xml:space="preserve">En el periodo de </w:t>
      </w:r>
      <w:r>
        <w:rPr>
          <w:rFonts w:cstheme="minorHAnsi"/>
          <w:color w:val="000000"/>
          <w:lang w:eastAsia="es-EC"/>
        </w:rPr>
        <w:t>ejecución</w:t>
      </w:r>
      <w:r>
        <w:rPr>
          <w:rFonts w:cstheme="minorHAnsi"/>
          <w:bCs/>
          <w:color w:val="000000"/>
          <w:lang w:eastAsia="es-EC"/>
        </w:rPr>
        <w:t xml:space="preserve"> del proyecto los costos de operación se derivan de los pagos al costo de mantenimiento del hardware, software y bienes a ser adquiridos (1% anual en función de los costos de hardware, software y bienes, adquiridos cada año), estimados en USD 27.400 para los años 2026 y 2027, en lo posterior se estima en USD 227,400.</w:t>
      </w:r>
    </w:p>
    <w:p w14:paraId="1C8EE0DB" w14:textId="77777777" w:rsidR="007B3093" w:rsidRDefault="00000000">
      <w:pPr>
        <w:pStyle w:val="Prrafodelista"/>
        <w:spacing w:before="120" w:after="120" w:line="360" w:lineRule="auto"/>
        <w:ind w:left="142"/>
        <w:contextualSpacing w:val="0"/>
        <w:jc w:val="both"/>
        <w:rPr>
          <w:rFonts w:cstheme="minorHAnsi"/>
          <w:color w:val="000000"/>
          <w:lang w:eastAsia="es-EC"/>
        </w:rPr>
      </w:pPr>
      <w:r>
        <w:rPr>
          <w:rFonts w:cstheme="minorHAnsi"/>
          <w:color w:val="000000"/>
          <w:lang w:eastAsia="es-EC"/>
        </w:rPr>
        <w:t>Para realizar las tareas antes señaladas, el equipo de coordinación del proyecto ha sido conformado por especialistas contratados y por funcionarios de la institución. Este equipo tendrá la responsabilidad de velar por la eficiente ejecución de los contenidos del proyecto, coordinando los contenidos técnicos con las debidas unidades agregadores de valor, las adquisiciones con la Coordinación Nacional Administrativa Financiera y Tecnologías de la Información, y las decisiones estratégicas con las autoridades institucionales.</w:t>
      </w:r>
    </w:p>
    <w:p w14:paraId="3054E7CF" w14:textId="77777777" w:rsidR="007B3093" w:rsidRDefault="007B3093">
      <w:pPr>
        <w:spacing w:after="0" w:line="360" w:lineRule="auto"/>
        <w:ind w:firstLine="142"/>
        <w:contextualSpacing/>
        <w:jc w:val="both"/>
        <w:rPr>
          <w:rFonts w:cstheme="minorHAnsi"/>
          <w:b/>
        </w:rPr>
      </w:pPr>
    </w:p>
    <w:p w14:paraId="444DB728" w14:textId="77777777" w:rsidR="007B3093" w:rsidRDefault="00000000">
      <w:pPr>
        <w:spacing w:after="0" w:line="360" w:lineRule="auto"/>
        <w:ind w:firstLine="142"/>
        <w:contextualSpacing/>
        <w:jc w:val="both"/>
        <w:rPr>
          <w:rFonts w:cstheme="minorHAnsi"/>
          <w:b/>
        </w:rPr>
      </w:pPr>
      <w:r>
        <w:rPr>
          <w:rFonts w:cstheme="minorHAnsi"/>
          <w:b/>
        </w:rPr>
        <w:lastRenderedPageBreak/>
        <w:t>Beneficios</w:t>
      </w:r>
    </w:p>
    <w:p w14:paraId="747853E4"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Para justificar económicamente este proyecto se procederá a estimar parte de los beneficios que genera el proyecto, para lo </w:t>
      </w:r>
      <w:r>
        <w:rPr>
          <w:rFonts w:cstheme="minorHAnsi"/>
          <w:color w:val="000000"/>
          <w:lang w:eastAsia="es-EC"/>
        </w:rPr>
        <w:t>cual</w:t>
      </w:r>
      <w:r>
        <w:rPr>
          <w:rFonts w:cstheme="minorHAnsi"/>
        </w:rPr>
        <w:t>, al tratarse de un proyecto de fortalecimiento institucional, se ha considerado como fuente de generación de los beneficios económicos, el ahorro que surge a partir de la mejora en la eficiencia que la institución ganará, una vez se vayan ejecutando los componentes que se incluyen en el proyecto.</w:t>
      </w:r>
    </w:p>
    <w:p w14:paraId="47375447"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En general se puede afirmar que la Procuraduría General del Estado es una entidad cuya acción se desarrolla en el ámbito judicial. Si bien </w:t>
      </w:r>
      <w:proofErr w:type="gramStart"/>
      <w:r>
        <w:rPr>
          <w:rFonts w:cstheme="minorHAnsi"/>
        </w:rPr>
        <w:t>de acuerdo al</w:t>
      </w:r>
      <w:proofErr w:type="gramEnd"/>
      <w:r>
        <w:rPr>
          <w:rFonts w:cstheme="minorHAnsi"/>
        </w:rPr>
        <w:t xml:space="preserve"> marco legal ecuatoriano no pertenece al sector justicia, ni se encuentra bajo el Consejo de la Judicatura, las acciones que desarrolla se encuentran relacionadas al quehacer jurídico y defensa del Estado. Por esta razón se ha procedido a buscar en la bibliografía, la experiencia internacional respecto de la eficiencia de las instituciones cuya gestión se incluye en la esfera de la justicia.</w:t>
      </w:r>
    </w:p>
    <w:p w14:paraId="30A90AC6" w14:textId="77777777" w:rsidR="007B3093" w:rsidRDefault="00000000">
      <w:pPr>
        <w:pStyle w:val="Prrafodelista"/>
        <w:spacing w:before="120" w:after="120" w:line="360" w:lineRule="auto"/>
        <w:ind w:left="142"/>
        <w:contextualSpacing w:val="0"/>
        <w:jc w:val="both"/>
        <w:rPr>
          <w:rFonts w:cstheme="minorHAnsi"/>
        </w:rPr>
      </w:pPr>
      <w:r>
        <w:rPr>
          <w:rFonts w:cstheme="minorHAnsi"/>
        </w:rPr>
        <w:t>El papel de la Procuraduría General del Estado en el sistema jurídico, tanto en el campo estatal, como general y su fortalecimiento institucional, tendrán fundamental importancia si se tiene en cuenta que dicho sistema jurídico afecta principalmente a la imagen del Estado dentro el país y fuera de nuestras fronteras, y adicionalmente a variables fundamentales para el crecimiento económico, puesto que inciden de manera directa en los costes de producción y transacción, la inversión y las mejoras tecnológicas, y de forma indirecta en todas las demás dimensiones del crecimiento económico y la seguridad jurídica; suministrando un marco regulador en el que operan las personas, instituciones y empresas, generando la estabilidad, previsibilidad, y seguridad, que son centrales en la formación de las expectativas de los inversionistas</w:t>
      </w:r>
      <w:r>
        <w:rPr>
          <w:rStyle w:val="Refdenotaalpie"/>
          <w:rFonts w:cstheme="minorHAnsi"/>
        </w:rPr>
        <w:footnoteReference w:id="23"/>
      </w:r>
      <w:r>
        <w:rPr>
          <w:rFonts w:cstheme="minorHAnsi"/>
        </w:rPr>
        <w:t xml:space="preserve">.    </w:t>
      </w:r>
    </w:p>
    <w:p w14:paraId="600F25BE" w14:textId="77777777" w:rsidR="007B3093" w:rsidRDefault="00000000">
      <w:pPr>
        <w:pStyle w:val="Prrafodelista"/>
        <w:spacing w:before="120" w:after="120" w:line="360" w:lineRule="auto"/>
        <w:ind w:left="142" w:firstLine="425"/>
        <w:contextualSpacing w:val="0"/>
        <w:jc w:val="both"/>
        <w:rPr>
          <w:rFonts w:cstheme="minorHAnsi"/>
        </w:rPr>
      </w:pPr>
      <w:proofErr w:type="gramStart"/>
      <w:r>
        <w:rPr>
          <w:rFonts w:cstheme="minorHAnsi"/>
        </w:rPr>
        <w:t>De acuerdo a</w:t>
      </w:r>
      <w:proofErr w:type="gramEnd"/>
      <w:r>
        <w:rPr>
          <w:rFonts w:cstheme="minorHAnsi"/>
        </w:rPr>
        <w:t xml:space="preserve"> la bibliografía, de la experiencia internacional se han podido develar las fuentes de ineficiencia de la justicia como organización pública, mismos que son similares a los que se presentan en otros sectores como por ejemplo la salud, la educación, el trasporte, etc.; de estas fuentes se han seleccionado las siguientes, pues reflejan la situación específica de </w:t>
      </w:r>
      <w:proofErr w:type="gramStart"/>
      <w:r>
        <w:rPr>
          <w:rFonts w:cstheme="minorHAnsi"/>
        </w:rPr>
        <w:t>la  Procuraduría</w:t>
      </w:r>
      <w:proofErr w:type="gramEnd"/>
      <w:r>
        <w:rPr>
          <w:rFonts w:cstheme="minorHAnsi"/>
        </w:rPr>
        <w:t xml:space="preserve"> General del Estado</w:t>
      </w:r>
      <w:r>
        <w:rPr>
          <w:rStyle w:val="Refdenotaalpie"/>
          <w:rFonts w:cstheme="minorHAnsi"/>
        </w:rPr>
        <w:t xml:space="preserve"> </w:t>
      </w:r>
      <w:r>
        <w:rPr>
          <w:rStyle w:val="Refdenotaalpie"/>
          <w:rFonts w:cstheme="minorHAnsi"/>
        </w:rPr>
        <w:footnoteReference w:id="24"/>
      </w:r>
      <w:r>
        <w:rPr>
          <w:rFonts w:cstheme="minorHAnsi"/>
        </w:rPr>
        <w:t>:</w:t>
      </w:r>
    </w:p>
    <w:p w14:paraId="4027E5BB" w14:textId="77777777" w:rsidR="007B3093" w:rsidRDefault="00000000">
      <w:pPr>
        <w:pStyle w:val="Prrafodelista"/>
        <w:numPr>
          <w:ilvl w:val="0"/>
          <w:numId w:val="29"/>
        </w:numPr>
        <w:spacing w:after="0" w:line="360" w:lineRule="auto"/>
        <w:jc w:val="both"/>
        <w:rPr>
          <w:rFonts w:cstheme="minorHAnsi"/>
        </w:rPr>
      </w:pPr>
      <w:r>
        <w:rPr>
          <w:rFonts w:cstheme="minorHAnsi"/>
        </w:rPr>
        <w:lastRenderedPageBreak/>
        <w:t>Mejoras que son “bienes públicos”</w:t>
      </w:r>
      <w:r>
        <w:rPr>
          <w:rStyle w:val="Refdenotaalpie"/>
          <w:rFonts w:cstheme="minorHAnsi"/>
        </w:rPr>
        <w:footnoteReference w:id="25"/>
      </w:r>
      <w:r>
        <w:rPr>
          <w:rFonts w:cstheme="minorHAnsi"/>
        </w:rPr>
        <w:t>: la ineficiencia en este tipo de servicios se desprende del hecho que al tratarse de “bienes públicos”, su mejora no se presenta en ausencia de acción colectiva.</w:t>
      </w:r>
    </w:p>
    <w:p w14:paraId="55A50C80" w14:textId="77777777" w:rsidR="007B3093" w:rsidRDefault="00000000">
      <w:pPr>
        <w:pStyle w:val="Prrafodelista"/>
        <w:numPr>
          <w:ilvl w:val="0"/>
          <w:numId w:val="29"/>
        </w:numPr>
        <w:spacing w:after="0" w:line="360" w:lineRule="auto"/>
        <w:jc w:val="both"/>
        <w:rPr>
          <w:rFonts w:cstheme="minorHAnsi"/>
        </w:rPr>
      </w:pPr>
      <w:r>
        <w:rPr>
          <w:rFonts w:cstheme="minorHAnsi"/>
        </w:rPr>
        <w:t>Ausencia de competencia: las instituciones en este ámbito no tienen competencia y operan en “mercados cautivos” donde no hay necesidad de competir por clientes.</w:t>
      </w:r>
    </w:p>
    <w:p w14:paraId="37DD74F9" w14:textId="77777777" w:rsidR="007B3093" w:rsidRDefault="00000000">
      <w:pPr>
        <w:pStyle w:val="Prrafodelista"/>
        <w:numPr>
          <w:ilvl w:val="0"/>
          <w:numId w:val="29"/>
        </w:numPr>
        <w:spacing w:after="0" w:line="360" w:lineRule="auto"/>
        <w:jc w:val="both"/>
        <w:rPr>
          <w:rFonts w:cstheme="minorHAnsi"/>
        </w:rPr>
      </w:pPr>
      <w:r>
        <w:rPr>
          <w:rFonts w:cstheme="minorHAnsi"/>
        </w:rPr>
        <w:t xml:space="preserve">Falta de profesionalización de la gestión: no existen incentivos para implementar esquemas de mejora continua. </w:t>
      </w:r>
    </w:p>
    <w:p w14:paraId="45DD5291" w14:textId="77777777" w:rsidR="007B3093" w:rsidRDefault="00000000">
      <w:pPr>
        <w:pStyle w:val="Prrafodelista"/>
        <w:numPr>
          <w:ilvl w:val="0"/>
          <w:numId w:val="29"/>
        </w:numPr>
        <w:spacing w:after="0" w:line="360" w:lineRule="auto"/>
        <w:jc w:val="both"/>
        <w:rPr>
          <w:rFonts w:cstheme="minorHAnsi"/>
        </w:rPr>
      </w:pPr>
      <w:r>
        <w:rPr>
          <w:rFonts w:cstheme="minorHAnsi"/>
        </w:rPr>
        <w:t xml:space="preserve">Falta de objetivos precisos: raramente se establecen objetivos precisos y por el contrario no se plantea la necesidad de </w:t>
      </w:r>
      <w:proofErr w:type="gramStart"/>
      <w:r>
        <w:rPr>
          <w:rFonts w:cstheme="minorHAnsi"/>
        </w:rPr>
        <w:t>los mismos</w:t>
      </w:r>
      <w:proofErr w:type="gramEnd"/>
      <w:r>
        <w:rPr>
          <w:rFonts w:cstheme="minorHAnsi"/>
        </w:rPr>
        <w:t>.</w:t>
      </w:r>
    </w:p>
    <w:p w14:paraId="56B563E9" w14:textId="77777777" w:rsidR="007B3093" w:rsidRDefault="00000000">
      <w:pPr>
        <w:pStyle w:val="Prrafodelista"/>
        <w:spacing w:before="120" w:after="120" w:line="360" w:lineRule="auto"/>
        <w:ind w:left="142" w:firstLine="425"/>
        <w:contextualSpacing w:val="0"/>
        <w:jc w:val="both"/>
        <w:rPr>
          <w:rFonts w:cstheme="minorHAnsi"/>
        </w:rPr>
      </w:pPr>
      <w:r>
        <w:rPr>
          <w:rFonts w:cstheme="minorHAnsi"/>
        </w:rPr>
        <w:t>Teniendo en cuenta estas problemáticas, cabe distinguir como uno de los mayores problemas que generan la “dilación” de los procesos jurídicos que se transforman en mayores costos, en general para el caso de la Procuraduría General del Estado para la gestión del sector público, por lo que la bibliografía referida en esta sección ha establecido como soluciones a esta dilación, las siguientes</w:t>
      </w:r>
      <w:r>
        <w:rPr>
          <w:rStyle w:val="Refdenotaalpie"/>
          <w:rFonts w:cstheme="minorHAnsi"/>
        </w:rPr>
        <w:footnoteReference w:id="26"/>
      </w:r>
      <w:r>
        <w:rPr>
          <w:rFonts w:cstheme="minorHAnsi"/>
        </w:rPr>
        <w:t>:</w:t>
      </w:r>
    </w:p>
    <w:p w14:paraId="07C6B651" w14:textId="77777777" w:rsidR="007B3093" w:rsidRDefault="00000000">
      <w:pPr>
        <w:pStyle w:val="Prrafodelista"/>
        <w:numPr>
          <w:ilvl w:val="0"/>
          <w:numId w:val="30"/>
        </w:numPr>
        <w:spacing w:after="0" w:line="360" w:lineRule="auto"/>
        <w:jc w:val="both"/>
        <w:rPr>
          <w:rFonts w:cstheme="minorHAnsi"/>
        </w:rPr>
      </w:pPr>
      <w:r>
        <w:rPr>
          <w:rFonts w:cstheme="minorHAnsi"/>
        </w:rPr>
        <w:t>La dilación es resultado de un exceso de demanda, por lo que el problema disminuye al reducir la cantidad de casos que llegan a los tribunales cuando no se debieron generar.</w:t>
      </w:r>
    </w:p>
    <w:p w14:paraId="6D4CFEA4" w14:textId="77777777" w:rsidR="007B3093" w:rsidRDefault="00000000">
      <w:pPr>
        <w:pStyle w:val="Prrafodelista"/>
        <w:numPr>
          <w:ilvl w:val="0"/>
          <w:numId w:val="30"/>
        </w:numPr>
        <w:spacing w:after="0" w:line="360" w:lineRule="auto"/>
        <w:jc w:val="both"/>
        <w:rPr>
          <w:rFonts w:cstheme="minorHAnsi"/>
        </w:rPr>
      </w:pPr>
      <w:r>
        <w:rPr>
          <w:rFonts w:cstheme="minorHAnsi"/>
        </w:rPr>
        <w:t>Por el lado de la oferta, mediante la mejora de la gestión o aumentando los medios disponibles.</w:t>
      </w:r>
    </w:p>
    <w:p w14:paraId="3DD1C2C7" w14:textId="77777777" w:rsidR="007B3093" w:rsidRDefault="00000000">
      <w:pPr>
        <w:pStyle w:val="Prrafodelista"/>
        <w:spacing w:before="120" w:after="120" w:line="360" w:lineRule="auto"/>
        <w:ind w:left="142" w:firstLine="425"/>
        <w:contextualSpacing w:val="0"/>
        <w:jc w:val="both"/>
        <w:rPr>
          <w:rFonts w:cstheme="minorHAnsi"/>
        </w:rPr>
      </w:pPr>
      <w:r>
        <w:rPr>
          <w:rFonts w:cstheme="minorHAnsi"/>
        </w:rPr>
        <w:t xml:space="preserve">Los dos puntos anteriores guardan relación con los contenidos del proyecto, donde por el lado de la demanda se atiende la generación de trámites judiciales del sector público mediante el cambio por una visión proactiva, que pretende atacar el problema en las instituciones públicas (donde se genera), realizando acciones de asesoraría, capacitación y acompañamiento; y, por el lado de la oferta, en primer lugar aumentado la eficiencia de la gestión mediante la conjunción de una variedad de elementos, y en segundo lugar, incrementando la cobertura de la Procuraduría General del Estado, en el territorio (si se ajusta a la visión estratégica y a las directrices del gobierno nacional respecto a la asignación de recursos para este efecto). </w:t>
      </w:r>
    </w:p>
    <w:p w14:paraId="332A2708" w14:textId="77777777" w:rsidR="007B3093" w:rsidRDefault="00000000">
      <w:pPr>
        <w:pStyle w:val="Prrafodelista"/>
        <w:spacing w:before="120" w:after="120" w:line="360" w:lineRule="auto"/>
        <w:ind w:left="142" w:firstLine="425"/>
        <w:contextualSpacing w:val="0"/>
        <w:jc w:val="both"/>
        <w:rPr>
          <w:rFonts w:cstheme="minorHAnsi"/>
        </w:rPr>
      </w:pPr>
      <w:r>
        <w:rPr>
          <w:rFonts w:cstheme="minorHAnsi"/>
        </w:rPr>
        <w:t xml:space="preserve">Así, </w:t>
      </w:r>
      <w:proofErr w:type="gramStart"/>
      <w:r>
        <w:rPr>
          <w:rFonts w:cstheme="minorHAnsi"/>
        </w:rPr>
        <w:t>de acuerdo a</w:t>
      </w:r>
      <w:proofErr w:type="gramEnd"/>
      <w:r>
        <w:rPr>
          <w:rFonts w:cstheme="minorHAnsi"/>
        </w:rPr>
        <w:t xml:space="preserve"> lo establecido en esta sección, lo que se pretende es establecer el efecto económico del “Proyecto de Fortalecimiento Institucional de la Procuraduría General del </w:t>
      </w:r>
      <w:r>
        <w:rPr>
          <w:rFonts w:cstheme="minorHAnsi"/>
        </w:rPr>
        <w:lastRenderedPageBreak/>
        <w:t xml:space="preserve">Estado”, es decir, de la disminución de la dilación (duración en tiempo) de los procesos judiciales representan para el Estado, que conlleva una reducción en su costo. </w:t>
      </w:r>
    </w:p>
    <w:p w14:paraId="73283678" w14:textId="77777777" w:rsidR="007B3093" w:rsidRDefault="007B3093">
      <w:pPr>
        <w:pStyle w:val="Prrafodelista"/>
        <w:spacing w:before="120" w:after="120" w:line="360" w:lineRule="auto"/>
        <w:ind w:left="142" w:firstLine="425"/>
        <w:contextualSpacing w:val="0"/>
        <w:jc w:val="both"/>
        <w:rPr>
          <w:rFonts w:cstheme="minorHAnsi"/>
        </w:rPr>
      </w:pPr>
    </w:p>
    <w:p w14:paraId="68BE8E41" w14:textId="77777777" w:rsidR="007B3093" w:rsidRDefault="00000000">
      <w:pPr>
        <w:pStyle w:val="Ttulo2"/>
        <w:numPr>
          <w:ilvl w:val="2"/>
          <w:numId w:val="24"/>
        </w:numPr>
        <w:spacing w:before="0" w:line="360" w:lineRule="auto"/>
        <w:ind w:left="851"/>
        <w:jc w:val="both"/>
        <w:rPr>
          <w:rFonts w:asciiTheme="minorHAnsi" w:hAnsiTheme="minorHAnsi" w:cstheme="minorHAnsi"/>
          <w:b/>
          <w:color w:val="auto"/>
          <w:sz w:val="22"/>
          <w:szCs w:val="22"/>
        </w:rPr>
      </w:pPr>
      <w:bookmarkStart w:id="81" w:name="_Toc195010091"/>
      <w:r>
        <w:rPr>
          <w:rFonts w:asciiTheme="minorHAnsi" w:hAnsiTheme="minorHAnsi" w:cstheme="minorHAnsi"/>
          <w:b/>
          <w:color w:val="auto"/>
          <w:sz w:val="22"/>
          <w:szCs w:val="22"/>
        </w:rPr>
        <w:t>Identificación y valoración de la inversión total, costos de operación y mantenimiento, ingresos y beneficios.</w:t>
      </w:r>
      <w:bookmarkEnd w:id="81"/>
    </w:p>
    <w:p w14:paraId="71644CC5" w14:textId="77777777" w:rsidR="007B3093" w:rsidRDefault="007B3093">
      <w:pPr>
        <w:spacing w:after="0" w:line="360" w:lineRule="auto"/>
        <w:contextualSpacing/>
        <w:jc w:val="both"/>
        <w:rPr>
          <w:rFonts w:cstheme="minorHAnsi"/>
          <w:b/>
        </w:rPr>
      </w:pPr>
    </w:p>
    <w:p w14:paraId="2FE216C1" w14:textId="77777777" w:rsidR="007B3093" w:rsidRDefault="00000000">
      <w:pPr>
        <w:spacing w:after="0" w:line="360" w:lineRule="auto"/>
        <w:contextualSpacing/>
        <w:jc w:val="both"/>
        <w:rPr>
          <w:rFonts w:cstheme="minorHAnsi"/>
          <w:b/>
        </w:rPr>
      </w:pPr>
      <w:r>
        <w:rPr>
          <w:rFonts w:cstheme="minorHAnsi"/>
          <w:b/>
        </w:rPr>
        <w:t>Inversión Total</w:t>
      </w:r>
    </w:p>
    <w:p w14:paraId="0F8FC741" w14:textId="77777777" w:rsidR="007B3093" w:rsidRDefault="00000000">
      <w:pPr>
        <w:spacing w:after="0" w:line="360" w:lineRule="auto"/>
        <w:contextualSpacing/>
        <w:jc w:val="center"/>
        <w:rPr>
          <w:rFonts w:cstheme="minorHAnsi"/>
          <w:b/>
          <w:bCs/>
          <w:lang w:eastAsia="es-EC"/>
        </w:rPr>
      </w:pPr>
      <w:r>
        <w:rPr>
          <w:rFonts w:cstheme="minorHAnsi"/>
          <w:b/>
          <w:bCs/>
          <w:lang w:eastAsia="es-EC"/>
        </w:rPr>
        <w:t>Tabla 31: Inversión del proyecto</w:t>
      </w:r>
    </w:p>
    <w:tbl>
      <w:tblPr>
        <w:tblW w:w="5477" w:type="pct"/>
        <w:tblInd w:w="-289" w:type="dxa"/>
        <w:tblCellMar>
          <w:left w:w="70" w:type="dxa"/>
          <w:right w:w="70" w:type="dxa"/>
        </w:tblCellMar>
        <w:tblLook w:val="04A0" w:firstRow="1" w:lastRow="0" w:firstColumn="1" w:lastColumn="0" w:noHBand="0" w:noVBand="1"/>
      </w:tblPr>
      <w:tblGrid>
        <w:gridCol w:w="2045"/>
        <w:gridCol w:w="893"/>
        <w:gridCol w:w="893"/>
        <w:gridCol w:w="1023"/>
        <w:gridCol w:w="895"/>
        <w:gridCol w:w="893"/>
        <w:gridCol w:w="783"/>
        <w:gridCol w:w="899"/>
        <w:gridCol w:w="980"/>
      </w:tblGrid>
      <w:tr w:rsidR="007B3093" w14:paraId="064D7580" w14:textId="77777777">
        <w:trPr>
          <w:trHeight w:val="223"/>
        </w:trPr>
        <w:tc>
          <w:tcPr>
            <w:tcW w:w="1100" w:type="pct"/>
            <w:vMerge w:val="restart"/>
            <w:tcBorders>
              <w:top w:val="single" w:sz="4" w:space="0" w:color="auto"/>
              <w:left w:val="single" w:sz="4" w:space="0" w:color="auto"/>
              <w:bottom w:val="single" w:sz="4" w:space="0" w:color="000000"/>
              <w:right w:val="single" w:sz="4" w:space="0" w:color="000000"/>
            </w:tcBorders>
            <w:shd w:val="clear" w:color="000000" w:fill="153D64"/>
            <w:noWrap/>
            <w:vAlign w:val="center"/>
            <w:hideMark/>
          </w:tcPr>
          <w:p w14:paraId="19DBB3A0"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COMPONENTES</w:t>
            </w:r>
          </w:p>
        </w:tc>
        <w:tc>
          <w:tcPr>
            <w:tcW w:w="481" w:type="pct"/>
            <w:tcBorders>
              <w:top w:val="single" w:sz="4" w:space="0" w:color="auto"/>
              <w:left w:val="nil"/>
              <w:bottom w:val="single" w:sz="4" w:space="0" w:color="auto"/>
              <w:right w:val="single" w:sz="4" w:space="0" w:color="auto"/>
            </w:tcBorders>
            <w:shd w:val="clear" w:color="000000" w:fill="153D64"/>
            <w:noWrap/>
            <w:vAlign w:val="center"/>
            <w:hideMark/>
          </w:tcPr>
          <w:p w14:paraId="1C86BEA5"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2019</w:t>
            </w:r>
          </w:p>
        </w:tc>
        <w:tc>
          <w:tcPr>
            <w:tcW w:w="481" w:type="pct"/>
            <w:tcBorders>
              <w:top w:val="single" w:sz="4" w:space="0" w:color="auto"/>
              <w:left w:val="nil"/>
              <w:bottom w:val="single" w:sz="4" w:space="0" w:color="auto"/>
              <w:right w:val="single" w:sz="4" w:space="0" w:color="auto"/>
            </w:tcBorders>
            <w:shd w:val="clear" w:color="000000" w:fill="153D64"/>
            <w:noWrap/>
            <w:vAlign w:val="center"/>
            <w:hideMark/>
          </w:tcPr>
          <w:p w14:paraId="784C7849"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2020</w:t>
            </w:r>
          </w:p>
        </w:tc>
        <w:tc>
          <w:tcPr>
            <w:tcW w:w="551" w:type="pct"/>
            <w:tcBorders>
              <w:top w:val="single" w:sz="4" w:space="0" w:color="auto"/>
              <w:left w:val="nil"/>
              <w:bottom w:val="single" w:sz="4" w:space="0" w:color="auto"/>
              <w:right w:val="single" w:sz="4" w:space="0" w:color="auto"/>
            </w:tcBorders>
            <w:shd w:val="clear" w:color="000000" w:fill="153D64"/>
            <w:noWrap/>
            <w:vAlign w:val="center"/>
            <w:hideMark/>
          </w:tcPr>
          <w:p w14:paraId="28AF7923"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2021</w:t>
            </w:r>
          </w:p>
        </w:tc>
        <w:tc>
          <w:tcPr>
            <w:tcW w:w="482" w:type="pct"/>
            <w:tcBorders>
              <w:top w:val="single" w:sz="4" w:space="0" w:color="auto"/>
              <w:left w:val="nil"/>
              <w:bottom w:val="single" w:sz="4" w:space="0" w:color="auto"/>
              <w:right w:val="single" w:sz="4" w:space="0" w:color="auto"/>
            </w:tcBorders>
            <w:shd w:val="clear" w:color="000000" w:fill="153D64"/>
            <w:noWrap/>
            <w:vAlign w:val="center"/>
            <w:hideMark/>
          </w:tcPr>
          <w:p w14:paraId="6EC70DDA"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2022</w:t>
            </w:r>
          </w:p>
        </w:tc>
        <w:tc>
          <w:tcPr>
            <w:tcW w:w="481" w:type="pct"/>
            <w:tcBorders>
              <w:top w:val="single" w:sz="4" w:space="0" w:color="auto"/>
              <w:left w:val="nil"/>
              <w:bottom w:val="single" w:sz="4" w:space="0" w:color="auto"/>
              <w:right w:val="single" w:sz="4" w:space="0" w:color="auto"/>
            </w:tcBorders>
            <w:shd w:val="clear" w:color="000000" w:fill="153D64"/>
            <w:noWrap/>
            <w:vAlign w:val="center"/>
            <w:hideMark/>
          </w:tcPr>
          <w:p w14:paraId="656B51BD"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2023</w:t>
            </w:r>
          </w:p>
        </w:tc>
        <w:tc>
          <w:tcPr>
            <w:tcW w:w="413" w:type="pct"/>
            <w:tcBorders>
              <w:top w:val="single" w:sz="4" w:space="0" w:color="auto"/>
              <w:left w:val="nil"/>
              <w:bottom w:val="single" w:sz="4" w:space="0" w:color="auto"/>
              <w:right w:val="single" w:sz="4" w:space="0" w:color="auto"/>
            </w:tcBorders>
            <w:shd w:val="clear" w:color="000000" w:fill="153D64"/>
            <w:noWrap/>
            <w:vAlign w:val="center"/>
            <w:hideMark/>
          </w:tcPr>
          <w:p w14:paraId="612BAF14"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2024</w:t>
            </w:r>
          </w:p>
        </w:tc>
        <w:tc>
          <w:tcPr>
            <w:tcW w:w="484" w:type="pct"/>
            <w:tcBorders>
              <w:top w:val="single" w:sz="4" w:space="0" w:color="auto"/>
              <w:left w:val="nil"/>
              <w:bottom w:val="single" w:sz="4" w:space="0" w:color="auto"/>
              <w:right w:val="single" w:sz="4" w:space="0" w:color="auto"/>
            </w:tcBorders>
            <w:shd w:val="clear" w:color="000000" w:fill="153D64"/>
            <w:noWrap/>
            <w:vAlign w:val="center"/>
            <w:hideMark/>
          </w:tcPr>
          <w:p w14:paraId="63E86FED"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2025</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153D64"/>
            <w:noWrap/>
            <w:vAlign w:val="center"/>
            <w:hideMark/>
          </w:tcPr>
          <w:p w14:paraId="671AB2E2"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TOTAL</w:t>
            </w:r>
          </w:p>
        </w:tc>
      </w:tr>
      <w:tr w:rsidR="007B3093" w14:paraId="526ACFA8" w14:textId="77777777">
        <w:trPr>
          <w:trHeight w:val="297"/>
        </w:trPr>
        <w:tc>
          <w:tcPr>
            <w:tcW w:w="1100" w:type="pct"/>
            <w:vMerge/>
            <w:tcBorders>
              <w:top w:val="single" w:sz="4" w:space="0" w:color="auto"/>
              <w:left w:val="single" w:sz="4" w:space="0" w:color="auto"/>
              <w:bottom w:val="single" w:sz="4" w:space="0" w:color="000000"/>
              <w:right w:val="single" w:sz="4" w:space="0" w:color="000000"/>
            </w:tcBorders>
            <w:vAlign w:val="center"/>
            <w:hideMark/>
          </w:tcPr>
          <w:p w14:paraId="64A16A77" w14:textId="77777777" w:rsidR="007B3093" w:rsidRDefault="007B3093">
            <w:pPr>
              <w:spacing w:after="0" w:line="240" w:lineRule="auto"/>
              <w:rPr>
                <w:rFonts w:ascii="Aptos Narrow" w:eastAsia="Times New Roman" w:hAnsi="Aptos Narrow" w:cs="Times New Roman"/>
                <w:b/>
                <w:bCs/>
                <w:color w:val="FFFFFF"/>
                <w:sz w:val="14"/>
                <w:szCs w:val="14"/>
                <w:lang w:eastAsia="es-EC"/>
              </w:rPr>
            </w:pPr>
          </w:p>
        </w:tc>
        <w:tc>
          <w:tcPr>
            <w:tcW w:w="481" w:type="pct"/>
            <w:tcBorders>
              <w:top w:val="nil"/>
              <w:left w:val="nil"/>
              <w:bottom w:val="single" w:sz="4" w:space="0" w:color="auto"/>
              <w:right w:val="single" w:sz="4" w:space="0" w:color="auto"/>
            </w:tcBorders>
            <w:shd w:val="clear" w:color="000000" w:fill="153D64"/>
            <w:vAlign w:val="center"/>
            <w:hideMark/>
          </w:tcPr>
          <w:p w14:paraId="1F7E5590"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Fiscal</w:t>
            </w:r>
          </w:p>
        </w:tc>
        <w:tc>
          <w:tcPr>
            <w:tcW w:w="481" w:type="pct"/>
            <w:tcBorders>
              <w:top w:val="nil"/>
              <w:left w:val="nil"/>
              <w:bottom w:val="single" w:sz="4" w:space="0" w:color="auto"/>
              <w:right w:val="single" w:sz="4" w:space="0" w:color="auto"/>
            </w:tcBorders>
            <w:shd w:val="clear" w:color="000000" w:fill="153D64"/>
            <w:vAlign w:val="center"/>
            <w:hideMark/>
          </w:tcPr>
          <w:p w14:paraId="4CA5323B"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BID</w:t>
            </w:r>
          </w:p>
        </w:tc>
        <w:tc>
          <w:tcPr>
            <w:tcW w:w="551" w:type="pct"/>
            <w:tcBorders>
              <w:top w:val="nil"/>
              <w:left w:val="nil"/>
              <w:bottom w:val="single" w:sz="4" w:space="0" w:color="auto"/>
              <w:right w:val="single" w:sz="4" w:space="0" w:color="auto"/>
            </w:tcBorders>
            <w:shd w:val="clear" w:color="000000" w:fill="153D64"/>
            <w:vAlign w:val="center"/>
            <w:hideMark/>
          </w:tcPr>
          <w:p w14:paraId="7884CEC2"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BID</w:t>
            </w:r>
          </w:p>
        </w:tc>
        <w:tc>
          <w:tcPr>
            <w:tcW w:w="482" w:type="pct"/>
            <w:tcBorders>
              <w:top w:val="nil"/>
              <w:left w:val="nil"/>
              <w:bottom w:val="single" w:sz="4" w:space="0" w:color="auto"/>
              <w:right w:val="single" w:sz="4" w:space="0" w:color="auto"/>
            </w:tcBorders>
            <w:shd w:val="clear" w:color="000000" w:fill="153D64"/>
            <w:vAlign w:val="center"/>
            <w:hideMark/>
          </w:tcPr>
          <w:p w14:paraId="19FCD3B4"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BID</w:t>
            </w:r>
          </w:p>
        </w:tc>
        <w:tc>
          <w:tcPr>
            <w:tcW w:w="481" w:type="pct"/>
            <w:tcBorders>
              <w:top w:val="nil"/>
              <w:left w:val="nil"/>
              <w:bottom w:val="single" w:sz="4" w:space="0" w:color="auto"/>
              <w:right w:val="single" w:sz="4" w:space="0" w:color="auto"/>
            </w:tcBorders>
            <w:shd w:val="clear" w:color="000000" w:fill="153D64"/>
            <w:vAlign w:val="center"/>
            <w:hideMark/>
          </w:tcPr>
          <w:p w14:paraId="1352512C"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BID</w:t>
            </w:r>
          </w:p>
        </w:tc>
        <w:tc>
          <w:tcPr>
            <w:tcW w:w="413" w:type="pct"/>
            <w:tcBorders>
              <w:top w:val="nil"/>
              <w:left w:val="nil"/>
              <w:bottom w:val="single" w:sz="4" w:space="0" w:color="auto"/>
              <w:right w:val="single" w:sz="4" w:space="0" w:color="auto"/>
            </w:tcBorders>
            <w:shd w:val="clear" w:color="000000" w:fill="153D64"/>
            <w:vAlign w:val="center"/>
            <w:hideMark/>
          </w:tcPr>
          <w:p w14:paraId="5800C1FA"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BID</w:t>
            </w:r>
          </w:p>
        </w:tc>
        <w:tc>
          <w:tcPr>
            <w:tcW w:w="484" w:type="pct"/>
            <w:tcBorders>
              <w:top w:val="nil"/>
              <w:left w:val="nil"/>
              <w:bottom w:val="single" w:sz="4" w:space="0" w:color="auto"/>
              <w:right w:val="single" w:sz="4" w:space="0" w:color="auto"/>
            </w:tcBorders>
            <w:shd w:val="clear" w:color="000000" w:fill="153D64"/>
            <w:vAlign w:val="center"/>
            <w:hideMark/>
          </w:tcPr>
          <w:p w14:paraId="301E681E" w14:textId="77777777" w:rsidR="007B3093" w:rsidRDefault="00000000">
            <w:pPr>
              <w:spacing w:after="0" w:line="240" w:lineRule="auto"/>
              <w:jc w:val="center"/>
              <w:rPr>
                <w:rFonts w:ascii="Aptos Narrow" w:eastAsia="Times New Roman" w:hAnsi="Aptos Narrow" w:cs="Times New Roman"/>
                <w:b/>
                <w:bCs/>
                <w:color w:val="FFFFFF"/>
                <w:sz w:val="14"/>
                <w:szCs w:val="14"/>
                <w:lang w:eastAsia="es-EC"/>
              </w:rPr>
            </w:pPr>
            <w:r>
              <w:rPr>
                <w:rFonts w:ascii="Aptos Narrow" w:eastAsia="Times New Roman" w:hAnsi="Aptos Narrow" w:cs="Times New Roman"/>
                <w:b/>
                <w:bCs/>
                <w:color w:val="FFFFFF"/>
                <w:sz w:val="14"/>
                <w:szCs w:val="14"/>
                <w:lang w:eastAsia="es-EC"/>
              </w:rPr>
              <w:t>BID</w:t>
            </w: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198D07A4" w14:textId="77777777" w:rsidR="007B3093" w:rsidRDefault="007B3093">
            <w:pPr>
              <w:spacing w:after="0" w:line="240" w:lineRule="auto"/>
              <w:rPr>
                <w:rFonts w:ascii="Aptos Narrow" w:eastAsia="Times New Roman" w:hAnsi="Aptos Narrow" w:cs="Times New Roman"/>
                <w:b/>
                <w:bCs/>
                <w:color w:val="FFFFFF"/>
                <w:sz w:val="14"/>
                <w:szCs w:val="14"/>
                <w:lang w:eastAsia="es-EC"/>
              </w:rPr>
            </w:pPr>
          </w:p>
        </w:tc>
      </w:tr>
      <w:tr w:rsidR="007B3093" w14:paraId="63BE7C40" w14:textId="77777777">
        <w:trPr>
          <w:trHeight w:val="484"/>
        </w:trPr>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D38E5" w14:textId="77777777" w:rsidR="007B3093" w:rsidRDefault="00000000">
            <w:pPr>
              <w:spacing w:after="0" w:line="240" w:lineRule="auto"/>
              <w:rPr>
                <w:rFonts w:ascii="Aptos Narrow" w:eastAsia="Times New Roman" w:hAnsi="Aptos Narrow" w:cs="Times New Roman"/>
                <w:color w:val="000000"/>
                <w:sz w:val="14"/>
                <w:szCs w:val="14"/>
                <w:lang w:eastAsia="es-EC"/>
              </w:rPr>
            </w:pPr>
            <w:r>
              <w:rPr>
                <w:rFonts w:ascii="Aptos Narrow" w:eastAsia="Times New Roman" w:hAnsi="Aptos Narrow" w:cs="Times New Roman"/>
                <w:color w:val="000000"/>
                <w:sz w:val="14"/>
                <w:szCs w:val="14"/>
                <w:lang w:eastAsia="es-EC"/>
              </w:rPr>
              <w:t>COMPONENTE 1. - Diseñar e implementar el modelo de gestión de la PGE.</w:t>
            </w:r>
          </w:p>
        </w:tc>
        <w:tc>
          <w:tcPr>
            <w:tcW w:w="481" w:type="pct"/>
            <w:tcBorders>
              <w:top w:val="nil"/>
              <w:left w:val="nil"/>
              <w:bottom w:val="single" w:sz="4" w:space="0" w:color="auto"/>
              <w:right w:val="single" w:sz="4" w:space="0" w:color="auto"/>
            </w:tcBorders>
            <w:shd w:val="clear" w:color="auto" w:fill="auto"/>
            <w:noWrap/>
            <w:vAlign w:val="center"/>
            <w:hideMark/>
          </w:tcPr>
          <w:p w14:paraId="1E6C935E"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14.774,58</w:t>
            </w:r>
          </w:p>
        </w:tc>
        <w:tc>
          <w:tcPr>
            <w:tcW w:w="481" w:type="pct"/>
            <w:tcBorders>
              <w:top w:val="nil"/>
              <w:left w:val="nil"/>
              <w:bottom w:val="single" w:sz="4" w:space="0" w:color="auto"/>
              <w:right w:val="single" w:sz="4" w:space="0" w:color="auto"/>
            </w:tcBorders>
            <w:shd w:val="clear" w:color="auto" w:fill="auto"/>
            <w:noWrap/>
            <w:vAlign w:val="center"/>
            <w:hideMark/>
          </w:tcPr>
          <w:p w14:paraId="465E3F63"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172.559,11</w:t>
            </w:r>
          </w:p>
        </w:tc>
        <w:tc>
          <w:tcPr>
            <w:tcW w:w="551" w:type="pct"/>
            <w:tcBorders>
              <w:top w:val="nil"/>
              <w:left w:val="nil"/>
              <w:bottom w:val="single" w:sz="4" w:space="0" w:color="auto"/>
              <w:right w:val="single" w:sz="4" w:space="0" w:color="auto"/>
            </w:tcBorders>
            <w:shd w:val="clear" w:color="auto" w:fill="auto"/>
            <w:noWrap/>
            <w:vAlign w:val="center"/>
            <w:hideMark/>
          </w:tcPr>
          <w:p w14:paraId="28B28252"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510.764,28</w:t>
            </w:r>
          </w:p>
        </w:tc>
        <w:tc>
          <w:tcPr>
            <w:tcW w:w="482" w:type="pct"/>
            <w:tcBorders>
              <w:top w:val="nil"/>
              <w:left w:val="nil"/>
              <w:bottom w:val="single" w:sz="4" w:space="0" w:color="auto"/>
              <w:right w:val="single" w:sz="4" w:space="0" w:color="auto"/>
            </w:tcBorders>
            <w:shd w:val="clear" w:color="auto" w:fill="auto"/>
            <w:noWrap/>
            <w:vAlign w:val="center"/>
            <w:hideMark/>
          </w:tcPr>
          <w:p w14:paraId="633E56F5"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603.735,72</w:t>
            </w:r>
          </w:p>
        </w:tc>
        <w:tc>
          <w:tcPr>
            <w:tcW w:w="481" w:type="pct"/>
            <w:tcBorders>
              <w:top w:val="nil"/>
              <w:left w:val="nil"/>
              <w:bottom w:val="single" w:sz="4" w:space="0" w:color="auto"/>
              <w:right w:val="single" w:sz="4" w:space="0" w:color="auto"/>
            </w:tcBorders>
            <w:shd w:val="clear" w:color="auto" w:fill="auto"/>
            <w:noWrap/>
            <w:vAlign w:val="center"/>
            <w:hideMark/>
          </w:tcPr>
          <w:p w14:paraId="699AE6AB"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449.341,39</w:t>
            </w:r>
          </w:p>
        </w:tc>
        <w:tc>
          <w:tcPr>
            <w:tcW w:w="413" w:type="pct"/>
            <w:tcBorders>
              <w:top w:val="nil"/>
              <w:left w:val="nil"/>
              <w:bottom w:val="single" w:sz="4" w:space="0" w:color="auto"/>
              <w:right w:val="single" w:sz="4" w:space="0" w:color="auto"/>
            </w:tcBorders>
            <w:shd w:val="clear" w:color="auto" w:fill="auto"/>
            <w:noWrap/>
            <w:vAlign w:val="center"/>
            <w:hideMark/>
          </w:tcPr>
          <w:p w14:paraId="76901D03"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297.701,90</w:t>
            </w:r>
          </w:p>
        </w:tc>
        <w:tc>
          <w:tcPr>
            <w:tcW w:w="484" w:type="pct"/>
            <w:tcBorders>
              <w:top w:val="nil"/>
              <w:left w:val="nil"/>
              <w:bottom w:val="single" w:sz="4" w:space="0" w:color="auto"/>
              <w:right w:val="single" w:sz="4" w:space="0" w:color="auto"/>
            </w:tcBorders>
            <w:shd w:val="clear" w:color="auto" w:fill="auto"/>
            <w:noWrap/>
            <w:vAlign w:val="center"/>
            <w:hideMark/>
          </w:tcPr>
          <w:p w14:paraId="11B5F5B4"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2.390.637,04</w:t>
            </w:r>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0C9FA661" w14:textId="77777777" w:rsidR="007B3093" w:rsidRDefault="00000000">
            <w:pPr>
              <w:spacing w:after="0" w:line="240" w:lineRule="auto"/>
              <w:jc w:val="right"/>
              <w:rPr>
                <w:rFonts w:ascii="Aptos Narrow" w:eastAsia="Times New Roman" w:hAnsi="Aptos Narrow" w:cs="Times New Roman"/>
                <w:b/>
                <w:bCs/>
                <w:color w:val="000000"/>
                <w:sz w:val="14"/>
                <w:szCs w:val="14"/>
                <w:lang w:eastAsia="es-EC"/>
              </w:rPr>
            </w:pPr>
            <w:r>
              <w:rPr>
                <w:rFonts w:ascii="Aptos Narrow" w:eastAsia="Times New Roman" w:hAnsi="Aptos Narrow" w:cs="Times New Roman"/>
                <w:b/>
                <w:bCs/>
                <w:color w:val="000000"/>
                <w:sz w:val="14"/>
                <w:szCs w:val="14"/>
                <w:lang w:eastAsia="es-EC"/>
              </w:rPr>
              <w:t>4.439.514,02</w:t>
            </w:r>
          </w:p>
        </w:tc>
      </w:tr>
      <w:tr w:rsidR="007B3093" w14:paraId="4367CAC9" w14:textId="77777777">
        <w:trPr>
          <w:trHeight w:val="484"/>
        </w:trPr>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1991D" w14:textId="77777777" w:rsidR="007B3093" w:rsidRDefault="00000000">
            <w:pPr>
              <w:spacing w:after="0" w:line="240" w:lineRule="auto"/>
              <w:rPr>
                <w:rFonts w:ascii="Aptos Narrow" w:eastAsia="Times New Roman" w:hAnsi="Aptos Narrow" w:cs="Times New Roman"/>
                <w:color w:val="000000"/>
                <w:sz w:val="14"/>
                <w:szCs w:val="14"/>
                <w:lang w:eastAsia="es-EC"/>
              </w:rPr>
            </w:pPr>
            <w:r>
              <w:rPr>
                <w:rFonts w:ascii="Aptos Narrow" w:eastAsia="Times New Roman" w:hAnsi="Aptos Narrow" w:cs="Times New Roman"/>
                <w:color w:val="000000"/>
                <w:sz w:val="14"/>
                <w:szCs w:val="14"/>
                <w:lang w:eastAsia="es-EC"/>
              </w:rPr>
              <w:t>COMPONENTE 2. - Fortalecer la defensa legal del Estado</w:t>
            </w:r>
          </w:p>
        </w:tc>
        <w:tc>
          <w:tcPr>
            <w:tcW w:w="481" w:type="pct"/>
            <w:tcBorders>
              <w:top w:val="nil"/>
              <w:left w:val="nil"/>
              <w:bottom w:val="single" w:sz="4" w:space="0" w:color="auto"/>
              <w:right w:val="single" w:sz="4" w:space="0" w:color="auto"/>
            </w:tcBorders>
            <w:shd w:val="clear" w:color="auto" w:fill="auto"/>
            <w:noWrap/>
            <w:vAlign w:val="center"/>
            <w:hideMark/>
          </w:tcPr>
          <w:p w14:paraId="414BBCA9"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481" w:type="pct"/>
            <w:tcBorders>
              <w:top w:val="nil"/>
              <w:left w:val="nil"/>
              <w:bottom w:val="single" w:sz="4" w:space="0" w:color="auto"/>
              <w:right w:val="single" w:sz="4" w:space="0" w:color="auto"/>
            </w:tcBorders>
            <w:shd w:val="clear" w:color="auto" w:fill="auto"/>
            <w:noWrap/>
            <w:vAlign w:val="center"/>
            <w:hideMark/>
          </w:tcPr>
          <w:p w14:paraId="1191720B"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14.813,70</w:t>
            </w:r>
          </w:p>
        </w:tc>
        <w:tc>
          <w:tcPr>
            <w:tcW w:w="551" w:type="pct"/>
            <w:tcBorders>
              <w:top w:val="nil"/>
              <w:left w:val="nil"/>
              <w:bottom w:val="single" w:sz="4" w:space="0" w:color="auto"/>
              <w:right w:val="single" w:sz="4" w:space="0" w:color="auto"/>
            </w:tcBorders>
            <w:shd w:val="clear" w:color="auto" w:fill="auto"/>
            <w:noWrap/>
            <w:vAlign w:val="center"/>
            <w:hideMark/>
          </w:tcPr>
          <w:p w14:paraId="13D0D0E3"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90.375,86</w:t>
            </w:r>
          </w:p>
        </w:tc>
        <w:tc>
          <w:tcPr>
            <w:tcW w:w="482" w:type="pct"/>
            <w:tcBorders>
              <w:top w:val="nil"/>
              <w:left w:val="nil"/>
              <w:bottom w:val="single" w:sz="4" w:space="0" w:color="auto"/>
              <w:right w:val="single" w:sz="4" w:space="0" w:color="auto"/>
            </w:tcBorders>
            <w:shd w:val="clear" w:color="auto" w:fill="auto"/>
            <w:noWrap/>
            <w:vAlign w:val="center"/>
            <w:hideMark/>
          </w:tcPr>
          <w:p w14:paraId="4CEA537B"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47.771,50</w:t>
            </w:r>
          </w:p>
        </w:tc>
        <w:tc>
          <w:tcPr>
            <w:tcW w:w="481" w:type="pct"/>
            <w:tcBorders>
              <w:top w:val="nil"/>
              <w:left w:val="nil"/>
              <w:bottom w:val="single" w:sz="4" w:space="0" w:color="auto"/>
              <w:right w:val="single" w:sz="4" w:space="0" w:color="auto"/>
            </w:tcBorders>
            <w:shd w:val="clear" w:color="auto" w:fill="auto"/>
            <w:noWrap/>
            <w:vAlign w:val="center"/>
            <w:hideMark/>
          </w:tcPr>
          <w:p w14:paraId="5491664E"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2.399,06</w:t>
            </w:r>
          </w:p>
        </w:tc>
        <w:tc>
          <w:tcPr>
            <w:tcW w:w="413" w:type="pct"/>
            <w:tcBorders>
              <w:top w:val="nil"/>
              <w:left w:val="nil"/>
              <w:bottom w:val="single" w:sz="4" w:space="0" w:color="auto"/>
              <w:right w:val="single" w:sz="4" w:space="0" w:color="auto"/>
            </w:tcBorders>
            <w:shd w:val="clear" w:color="auto" w:fill="auto"/>
            <w:noWrap/>
            <w:vAlign w:val="center"/>
            <w:hideMark/>
          </w:tcPr>
          <w:p w14:paraId="690EA942"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484" w:type="pct"/>
            <w:tcBorders>
              <w:top w:val="nil"/>
              <w:left w:val="nil"/>
              <w:bottom w:val="single" w:sz="4" w:space="0" w:color="auto"/>
              <w:right w:val="single" w:sz="4" w:space="0" w:color="auto"/>
            </w:tcBorders>
            <w:shd w:val="clear" w:color="auto" w:fill="auto"/>
            <w:noWrap/>
            <w:vAlign w:val="center"/>
            <w:hideMark/>
          </w:tcPr>
          <w:p w14:paraId="72802A88"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39EC9047" w14:textId="77777777" w:rsidR="007B3093" w:rsidRDefault="00000000">
            <w:pPr>
              <w:spacing w:after="0" w:line="240" w:lineRule="auto"/>
              <w:jc w:val="right"/>
              <w:rPr>
                <w:rFonts w:ascii="Aptos Narrow" w:eastAsia="Times New Roman" w:hAnsi="Aptos Narrow" w:cs="Times New Roman"/>
                <w:b/>
                <w:bCs/>
                <w:color w:val="000000"/>
                <w:sz w:val="14"/>
                <w:szCs w:val="14"/>
                <w:lang w:eastAsia="es-EC"/>
              </w:rPr>
            </w:pPr>
            <w:r>
              <w:rPr>
                <w:rFonts w:ascii="Aptos Narrow" w:eastAsia="Times New Roman" w:hAnsi="Aptos Narrow" w:cs="Times New Roman"/>
                <w:b/>
                <w:bCs/>
                <w:color w:val="000000"/>
                <w:sz w:val="14"/>
                <w:szCs w:val="14"/>
                <w:lang w:eastAsia="es-EC"/>
              </w:rPr>
              <w:t>155.360,12</w:t>
            </w:r>
          </w:p>
        </w:tc>
      </w:tr>
      <w:tr w:rsidR="007B3093" w14:paraId="6A07DEF8" w14:textId="77777777">
        <w:trPr>
          <w:trHeight w:val="484"/>
        </w:trPr>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B566F" w14:textId="77777777" w:rsidR="007B3093" w:rsidRDefault="00000000">
            <w:pPr>
              <w:spacing w:after="0" w:line="240" w:lineRule="auto"/>
              <w:rPr>
                <w:rFonts w:ascii="Aptos Narrow" w:eastAsia="Times New Roman" w:hAnsi="Aptos Narrow" w:cs="Times New Roman"/>
                <w:color w:val="000000"/>
                <w:sz w:val="14"/>
                <w:szCs w:val="14"/>
                <w:lang w:eastAsia="es-EC"/>
              </w:rPr>
            </w:pPr>
            <w:r>
              <w:rPr>
                <w:rFonts w:ascii="Aptos Narrow" w:eastAsia="Times New Roman" w:hAnsi="Aptos Narrow" w:cs="Times New Roman"/>
                <w:color w:val="000000"/>
                <w:sz w:val="14"/>
                <w:szCs w:val="14"/>
                <w:lang w:eastAsia="es-EC"/>
              </w:rPr>
              <w:t>COMPONENTE 3. - Fortalecer la capacidad de control, consultoría y asesoría legal de la PGE</w:t>
            </w:r>
          </w:p>
        </w:tc>
        <w:tc>
          <w:tcPr>
            <w:tcW w:w="481" w:type="pct"/>
            <w:tcBorders>
              <w:top w:val="nil"/>
              <w:left w:val="nil"/>
              <w:bottom w:val="single" w:sz="4" w:space="0" w:color="auto"/>
              <w:right w:val="single" w:sz="4" w:space="0" w:color="auto"/>
            </w:tcBorders>
            <w:shd w:val="clear" w:color="auto" w:fill="auto"/>
            <w:noWrap/>
            <w:vAlign w:val="center"/>
            <w:hideMark/>
          </w:tcPr>
          <w:p w14:paraId="1C8FE33A"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481" w:type="pct"/>
            <w:tcBorders>
              <w:top w:val="nil"/>
              <w:left w:val="nil"/>
              <w:bottom w:val="single" w:sz="4" w:space="0" w:color="auto"/>
              <w:right w:val="single" w:sz="4" w:space="0" w:color="auto"/>
            </w:tcBorders>
            <w:shd w:val="clear" w:color="auto" w:fill="auto"/>
            <w:noWrap/>
            <w:vAlign w:val="center"/>
            <w:hideMark/>
          </w:tcPr>
          <w:p w14:paraId="570CE822"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26.992,00</w:t>
            </w:r>
          </w:p>
        </w:tc>
        <w:tc>
          <w:tcPr>
            <w:tcW w:w="551" w:type="pct"/>
            <w:tcBorders>
              <w:top w:val="nil"/>
              <w:left w:val="nil"/>
              <w:bottom w:val="single" w:sz="4" w:space="0" w:color="auto"/>
              <w:right w:val="single" w:sz="4" w:space="0" w:color="auto"/>
            </w:tcBorders>
            <w:shd w:val="clear" w:color="auto" w:fill="auto"/>
            <w:noWrap/>
            <w:vAlign w:val="center"/>
            <w:hideMark/>
          </w:tcPr>
          <w:p w14:paraId="253245CE"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482" w:type="pct"/>
            <w:tcBorders>
              <w:top w:val="nil"/>
              <w:left w:val="nil"/>
              <w:bottom w:val="single" w:sz="4" w:space="0" w:color="auto"/>
              <w:right w:val="single" w:sz="4" w:space="0" w:color="auto"/>
            </w:tcBorders>
            <w:shd w:val="clear" w:color="auto" w:fill="auto"/>
            <w:noWrap/>
            <w:vAlign w:val="center"/>
            <w:hideMark/>
          </w:tcPr>
          <w:p w14:paraId="14ACC76E"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70.492,80</w:t>
            </w:r>
          </w:p>
        </w:tc>
        <w:tc>
          <w:tcPr>
            <w:tcW w:w="481" w:type="pct"/>
            <w:tcBorders>
              <w:top w:val="nil"/>
              <w:left w:val="nil"/>
              <w:bottom w:val="single" w:sz="4" w:space="0" w:color="auto"/>
              <w:right w:val="single" w:sz="4" w:space="0" w:color="auto"/>
            </w:tcBorders>
            <w:shd w:val="clear" w:color="auto" w:fill="auto"/>
            <w:noWrap/>
            <w:vAlign w:val="center"/>
            <w:hideMark/>
          </w:tcPr>
          <w:p w14:paraId="436B8766"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43.198,56</w:t>
            </w:r>
          </w:p>
        </w:tc>
        <w:tc>
          <w:tcPr>
            <w:tcW w:w="413" w:type="pct"/>
            <w:tcBorders>
              <w:top w:val="nil"/>
              <w:left w:val="nil"/>
              <w:bottom w:val="single" w:sz="4" w:space="0" w:color="auto"/>
              <w:right w:val="single" w:sz="4" w:space="0" w:color="auto"/>
            </w:tcBorders>
            <w:shd w:val="clear" w:color="auto" w:fill="auto"/>
            <w:noWrap/>
            <w:vAlign w:val="center"/>
            <w:hideMark/>
          </w:tcPr>
          <w:p w14:paraId="0F3635FD"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484" w:type="pct"/>
            <w:tcBorders>
              <w:top w:val="nil"/>
              <w:left w:val="nil"/>
              <w:bottom w:val="single" w:sz="4" w:space="0" w:color="auto"/>
              <w:right w:val="single" w:sz="4" w:space="0" w:color="auto"/>
            </w:tcBorders>
            <w:shd w:val="clear" w:color="auto" w:fill="auto"/>
            <w:noWrap/>
            <w:vAlign w:val="center"/>
            <w:hideMark/>
          </w:tcPr>
          <w:p w14:paraId="2DC1EDE6"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03D052DF" w14:textId="77777777" w:rsidR="007B3093" w:rsidRDefault="00000000">
            <w:pPr>
              <w:spacing w:after="0" w:line="240" w:lineRule="auto"/>
              <w:jc w:val="right"/>
              <w:rPr>
                <w:rFonts w:ascii="Aptos Narrow" w:eastAsia="Times New Roman" w:hAnsi="Aptos Narrow" w:cs="Times New Roman"/>
                <w:b/>
                <w:bCs/>
                <w:color w:val="000000"/>
                <w:sz w:val="14"/>
                <w:szCs w:val="14"/>
                <w:lang w:eastAsia="es-EC"/>
              </w:rPr>
            </w:pPr>
            <w:r>
              <w:rPr>
                <w:rFonts w:ascii="Aptos Narrow" w:eastAsia="Times New Roman" w:hAnsi="Aptos Narrow" w:cs="Times New Roman"/>
                <w:b/>
                <w:bCs/>
                <w:color w:val="000000"/>
                <w:sz w:val="14"/>
                <w:szCs w:val="14"/>
                <w:lang w:eastAsia="es-EC"/>
              </w:rPr>
              <w:t>140.683,36</w:t>
            </w:r>
          </w:p>
        </w:tc>
      </w:tr>
      <w:tr w:rsidR="007B3093" w14:paraId="4E4F2553" w14:textId="77777777">
        <w:trPr>
          <w:trHeight w:val="484"/>
        </w:trPr>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1C582" w14:textId="77777777" w:rsidR="007B3093" w:rsidRDefault="00000000">
            <w:pPr>
              <w:spacing w:after="0" w:line="240" w:lineRule="auto"/>
              <w:rPr>
                <w:rFonts w:ascii="Aptos Narrow" w:eastAsia="Times New Roman" w:hAnsi="Aptos Narrow" w:cs="Times New Roman"/>
                <w:color w:val="000000"/>
                <w:sz w:val="14"/>
                <w:szCs w:val="14"/>
                <w:lang w:eastAsia="es-EC"/>
              </w:rPr>
            </w:pPr>
            <w:r>
              <w:rPr>
                <w:rFonts w:ascii="Aptos Narrow" w:eastAsia="Times New Roman" w:hAnsi="Aptos Narrow" w:cs="Times New Roman"/>
                <w:color w:val="000000"/>
                <w:sz w:val="14"/>
                <w:szCs w:val="14"/>
                <w:lang w:eastAsia="es-EC"/>
              </w:rPr>
              <w:t>COMPONENTE 4. - Fortalecer los Centros de Mediación de la PGE</w:t>
            </w:r>
          </w:p>
        </w:tc>
        <w:tc>
          <w:tcPr>
            <w:tcW w:w="481" w:type="pct"/>
            <w:tcBorders>
              <w:top w:val="nil"/>
              <w:left w:val="nil"/>
              <w:bottom w:val="single" w:sz="4" w:space="0" w:color="auto"/>
              <w:right w:val="single" w:sz="4" w:space="0" w:color="auto"/>
            </w:tcBorders>
            <w:shd w:val="clear" w:color="auto" w:fill="auto"/>
            <w:noWrap/>
            <w:vAlign w:val="center"/>
            <w:hideMark/>
          </w:tcPr>
          <w:p w14:paraId="1E02D7E8"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481" w:type="pct"/>
            <w:tcBorders>
              <w:top w:val="nil"/>
              <w:left w:val="nil"/>
              <w:bottom w:val="single" w:sz="4" w:space="0" w:color="auto"/>
              <w:right w:val="single" w:sz="4" w:space="0" w:color="auto"/>
            </w:tcBorders>
            <w:shd w:val="clear" w:color="auto" w:fill="auto"/>
            <w:noWrap/>
            <w:vAlign w:val="center"/>
            <w:hideMark/>
          </w:tcPr>
          <w:p w14:paraId="6E21A44A"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551" w:type="pct"/>
            <w:tcBorders>
              <w:top w:val="nil"/>
              <w:left w:val="nil"/>
              <w:bottom w:val="single" w:sz="4" w:space="0" w:color="auto"/>
              <w:right w:val="single" w:sz="4" w:space="0" w:color="auto"/>
            </w:tcBorders>
            <w:shd w:val="clear" w:color="auto" w:fill="auto"/>
            <w:noWrap/>
            <w:vAlign w:val="center"/>
            <w:hideMark/>
          </w:tcPr>
          <w:p w14:paraId="1BA88FE4"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482" w:type="pct"/>
            <w:tcBorders>
              <w:top w:val="nil"/>
              <w:left w:val="nil"/>
              <w:bottom w:val="single" w:sz="4" w:space="0" w:color="auto"/>
              <w:right w:val="single" w:sz="4" w:space="0" w:color="auto"/>
            </w:tcBorders>
            <w:shd w:val="clear" w:color="auto" w:fill="auto"/>
            <w:noWrap/>
            <w:vAlign w:val="center"/>
            <w:hideMark/>
          </w:tcPr>
          <w:p w14:paraId="2CA4CB9C"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13.294,40</w:t>
            </w:r>
          </w:p>
        </w:tc>
        <w:tc>
          <w:tcPr>
            <w:tcW w:w="481" w:type="pct"/>
            <w:tcBorders>
              <w:top w:val="nil"/>
              <w:left w:val="nil"/>
              <w:bottom w:val="single" w:sz="4" w:space="0" w:color="auto"/>
              <w:right w:val="single" w:sz="4" w:space="0" w:color="auto"/>
            </w:tcBorders>
            <w:shd w:val="clear" w:color="auto" w:fill="auto"/>
            <w:noWrap/>
            <w:vAlign w:val="center"/>
            <w:hideMark/>
          </w:tcPr>
          <w:p w14:paraId="4923F8D6"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11.830,55</w:t>
            </w:r>
          </w:p>
        </w:tc>
        <w:tc>
          <w:tcPr>
            <w:tcW w:w="413" w:type="pct"/>
            <w:tcBorders>
              <w:top w:val="nil"/>
              <w:left w:val="nil"/>
              <w:bottom w:val="single" w:sz="4" w:space="0" w:color="auto"/>
              <w:right w:val="single" w:sz="4" w:space="0" w:color="auto"/>
            </w:tcBorders>
            <w:shd w:val="clear" w:color="auto" w:fill="auto"/>
            <w:noWrap/>
            <w:vAlign w:val="center"/>
            <w:hideMark/>
          </w:tcPr>
          <w:p w14:paraId="040E096E"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484" w:type="pct"/>
            <w:tcBorders>
              <w:top w:val="nil"/>
              <w:left w:val="nil"/>
              <w:bottom w:val="single" w:sz="4" w:space="0" w:color="auto"/>
              <w:right w:val="single" w:sz="4" w:space="0" w:color="auto"/>
            </w:tcBorders>
            <w:shd w:val="clear" w:color="auto" w:fill="auto"/>
            <w:noWrap/>
            <w:vAlign w:val="center"/>
            <w:hideMark/>
          </w:tcPr>
          <w:p w14:paraId="298C72B7"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230.543,97</w:t>
            </w:r>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0C19A156" w14:textId="77777777" w:rsidR="007B3093" w:rsidRDefault="00000000">
            <w:pPr>
              <w:spacing w:after="0" w:line="240" w:lineRule="auto"/>
              <w:jc w:val="right"/>
              <w:rPr>
                <w:rFonts w:ascii="Aptos Narrow" w:eastAsia="Times New Roman" w:hAnsi="Aptos Narrow" w:cs="Times New Roman"/>
                <w:b/>
                <w:bCs/>
                <w:color w:val="000000"/>
                <w:sz w:val="14"/>
                <w:szCs w:val="14"/>
                <w:lang w:eastAsia="es-EC"/>
              </w:rPr>
            </w:pPr>
            <w:r>
              <w:rPr>
                <w:rFonts w:ascii="Aptos Narrow" w:eastAsia="Times New Roman" w:hAnsi="Aptos Narrow" w:cs="Times New Roman"/>
                <w:b/>
                <w:bCs/>
                <w:color w:val="000000"/>
                <w:sz w:val="14"/>
                <w:szCs w:val="14"/>
                <w:lang w:eastAsia="es-EC"/>
              </w:rPr>
              <w:t>255.668,92</w:t>
            </w:r>
          </w:p>
        </w:tc>
      </w:tr>
      <w:tr w:rsidR="007B3093" w14:paraId="327327A4" w14:textId="77777777">
        <w:trPr>
          <w:trHeight w:val="484"/>
        </w:trPr>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7CD20" w14:textId="77777777" w:rsidR="007B3093" w:rsidRDefault="00000000">
            <w:pPr>
              <w:spacing w:after="0" w:line="240" w:lineRule="auto"/>
              <w:rPr>
                <w:rFonts w:ascii="Aptos Narrow" w:eastAsia="Times New Roman" w:hAnsi="Aptos Narrow" w:cs="Times New Roman"/>
                <w:color w:val="000000"/>
                <w:sz w:val="14"/>
                <w:szCs w:val="14"/>
                <w:lang w:eastAsia="es-EC"/>
              </w:rPr>
            </w:pPr>
            <w:r>
              <w:rPr>
                <w:rFonts w:ascii="Aptos Narrow" w:eastAsia="Times New Roman" w:hAnsi="Aptos Narrow" w:cs="Times New Roman"/>
                <w:color w:val="000000"/>
                <w:sz w:val="14"/>
                <w:szCs w:val="14"/>
                <w:lang w:eastAsia="es-EC"/>
              </w:rPr>
              <w:t>COMPONENTE 5. - Diseñar e implementar la estrategia de comunicación de la PGE</w:t>
            </w:r>
          </w:p>
        </w:tc>
        <w:tc>
          <w:tcPr>
            <w:tcW w:w="481" w:type="pct"/>
            <w:tcBorders>
              <w:top w:val="nil"/>
              <w:left w:val="nil"/>
              <w:bottom w:val="single" w:sz="4" w:space="0" w:color="auto"/>
              <w:right w:val="single" w:sz="4" w:space="0" w:color="auto"/>
            </w:tcBorders>
            <w:shd w:val="clear" w:color="auto" w:fill="auto"/>
            <w:noWrap/>
            <w:vAlign w:val="center"/>
            <w:hideMark/>
          </w:tcPr>
          <w:p w14:paraId="3C6514A6"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481" w:type="pct"/>
            <w:tcBorders>
              <w:top w:val="nil"/>
              <w:left w:val="nil"/>
              <w:bottom w:val="single" w:sz="4" w:space="0" w:color="auto"/>
              <w:right w:val="single" w:sz="4" w:space="0" w:color="auto"/>
            </w:tcBorders>
            <w:shd w:val="clear" w:color="auto" w:fill="auto"/>
            <w:noWrap/>
            <w:vAlign w:val="center"/>
            <w:hideMark/>
          </w:tcPr>
          <w:p w14:paraId="0CD5FDD9"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49.279,62</w:t>
            </w:r>
          </w:p>
        </w:tc>
        <w:tc>
          <w:tcPr>
            <w:tcW w:w="551" w:type="pct"/>
            <w:tcBorders>
              <w:top w:val="nil"/>
              <w:left w:val="nil"/>
              <w:bottom w:val="single" w:sz="4" w:space="0" w:color="auto"/>
              <w:right w:val="single" w:sz="4" w:space="0" w:color="auto"/>
            </w:tcBorders>
            <w:shd w:val="clear" w:color="auto" w:fill="auto"/>
            <w:noWrap/>
            <w:vAlign w:val="center"/>
            <w:hideMark/>
          </w:tcPr>
          <w:p w14:paraId="087823A2"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20.000,00</w:t>
            </w:r>
          </w:p>
        </w:tc>
        <w:tc>
          <w:tcPr>
            <w:tcW w:w="482" w:type="pct"/>
            <w:tcBorders>
              <w:top w:val="nil"/>
              <w:left w:val="nil"/>
              <w:bottom w:val="single" w:sz="4" w:space="0" w:color="auto"/>
              <w:right w:val="single" w:sz="4" w:space="0" w:color="auto"/>
            </w:tcBorders>
            <w:shd w:val="clear" w:color="auto" w:fill="auto"/>
            <w:noWrap/>
            <w:vAlign w:val="center"/>
            <w:hideMark/>
          </w:tcPr>
          <w:p w14:paraId="03FBC15E"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73.647,85</w:t>
            </w:r>
          </w:p>
        </w:tc>
        <w:tc>
          <w:tcPr>
            <w:tcW w:w="481" w:type="pct"/>
            <w:tcBorders>
              <w:top w:val="nil"/>
              <w:left w:val="nil"/>
              <w:bottom w:val="single" w:sz="4" w:space="0" w:color="auto"/>
              <w:right w:val="single" w:sz="4" w:space="0" w:color="auto"/>
            </w:tcBorders>
            <w:shd w:val="clear" w:color="auto" w:fill="auto"/>
            <w:noWrap/>
            <w:vAlign w:val="center"/>
            <w:hideMark/>
          </w:tcPr>
          <w:p w14:paraId="6C35D982"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20.641,60</w:t>
            </w:r>
          </w:p>
        </w:tc>
        <w:tc>
          <w:tcPr>
            <w:tcW w:w="413" w:type="pct"/>
            <w:tcBorders>
              <w:top w:val="nil"/>
              <w:left w:val="nil"/>
              <w:bottom w:val="single" w:sz="4" w:space="0" w:color="auto"/>
              <w:right w:val="single" w:sz="4" w:space="0" w:color="auto"/>
            </w:tcBorders>
            <w:shd w:val="clear" w:color="auto" w:fill="auto"/>
            <w:noWrap/>
            <w:vAlign w:val="center"/>
            <w:hideMark/>
          </w:tcPr>
          <w:p w14:paraId="68E6506D"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w:t>
            </w:r>
          </w:p>
        </w:tc>
        <w:tc>
          <w:tcPr>
            <w:tcW w:w="484" w:type="pct"/>
            <w:tcBorders>
              <w:top w:val="nil"/>
              <w:left w:val="nil"/>
              <w:bottom w:val="single" w:sz="4" w:space="0" w:color="auto"/>
              <w:right w:val="single" w:sz="4" w:space="0" w:color="auto"/>
            </w:tcBorders>
            <w:shd w:val="clear" w:color="auto" w:fill="auto"/>
            <w:noWrap/>
            <w:vAlign w:val="center"/>
            <w:hideMark/>
          </w:tcPr>
          <w:p w14:paraId="66A85DB5" w14:textId="77777777" w:rsidR="007B3093" w:rsidRDefault="00000000">
            <w:pPr>
              <w:spacing w:after="0" w:line="240" w:lineRule="auto"/>
              <w:jc w:val="right"/>
              <w:rPr>
                <w:rFonts w:ascii="Aptos Narrow" w:eastAsia="Times New Roman" w:hAnsi="Aptos Narrow" w:cs="Times New Roman"/>
                <w:sz w:val="14"/>
                <w:szCs w:val="14"/>
                <w:lang w:eastAsia="es-EC"/>
              </w:rPr>
            </w:pPr>
            <w:r>
              <w:rPr>
                <w:rFonts w:ascii="Aptos Narrow" w:eastAsia="Times New Roman" w:hAnsi="Aptos Narrow" w:cs="Times New Roman"/>
                <w:sz w:val="14"/>
                <w:szCs w:val="14"/>
                <w:lang w:eastAsia="es-EC"/>
              </w:rPr>
              <w:t>20.000,00</w:t>
            </w:r>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641FC91C" w14:textId="77777777" w:rsidR="007B3093" w:rsidRDefault="00000000">
            <w:pPr>
              <w:spacing w:after="0" w:line="240" w:lineRule="auto"/>
              <w:jc w:val="right"/>
              <w:rPr>
                <w:rFonts w:ascii="Aptos Narrow" w:eastAsia="Times New Roman" w:hAnsi="Aptos Narrow" w:cs="Times New Roman"/>
                <w:b/>
                <w:bCs/>
                <w:color w:val="000000"/>
                <w:sz w:val="14"/>
                <w:szCs w:val="14"/>
                <w:lang w:eastAsia="es-EC"/>
              </w:rPr>
            </w:pPr>
            <w:r>
              <w:rPr>
                <w:rFonts w:ascii="Aptos Narrow" w:eastAsia="Times New Roman" w:hAnsi="Aptos Narrow" w:cs="Times New Roman"/>
                <w:b/>
                <w:bCs/>
                <w:color w:val="000000"/>
                <w:sz w:val="14"/>
                <w:szCs w:val="14"/>
                <w:lang w:eastAsia="es-EC"/>
              </w:rPr>
              <w:t>183.569,06</w:t>
            </w:r>
          </w:p>
        </w:tc>
      </w:tr>
      <w:tr w:rsidR="007B3093" w14:paraId="44561DEC" w14:textId="77777777">
        <w:trPr>
          <w:trHeight w:val="190"/>
        </w:trPr>
        <w:tc>
          <w:tcPr>
            <w:tcW w:w="11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C48AB6" w14:textId="77777777" w:rsidR="007B3093" w:rsidRDefault="00000000">
            <w:pPr>
              <w:spacing w:after="0" w:line="240" w:lineRule="auto"/>
              <w:jc w:val="center"/>
              <w:rPr>
                <w:rFonts w:ascii="Aptos Narrow" w:eastAsia="Times New Roman" w:hAnsi="Aptos Narrow" w:cs="Times New Roman"/>
                <w:b/>
                <w:bCs/>
                <w:sz w:val="14"/>
                <w:szCs w:val="14"/>
                <w:lang w:eastAsia="es-EC"/>
              </w:rPr>
            </w:pPr>
            <w:r>
              <w:rPr>
                <w:rFonts w:ascii="Aptos Narrow" w:eastAsia="Times New Roman" w:hAnsi="Aptos Narrow" w:cs="Times New Roman"/>
                <w:b/>
                <w:bCs/>
                <w:sz w:val="14"/>
                <w:szCs w:val="14"/>
                <w:lang w:eastAsia="es-EC"/>
              </w:rPr>
              <w:t>TOTAL</w:t>
            </w:r>
          </w:p>
        </w:tc>
        <w:tc>
          <w:tcPr>
            <w:tcW w:w="481" w:type="pct"/>
            <w:tcBorders>
              <w:top w:val="nil"/>
              <w:left w:val="nil"/>
              <w:bottom w:val="single" w:sz="4" w:space="0" w:color="auto"/>
              <w:right w:val="single" w:sz="4" w:space="0" w:color="auto"/>
            </w:tcBorders>
            <w:shd w:val="clear" w:color="auto" w:fill="auto"/>
            <w:noWrap/>
            <w:vAlign w:val="center"/>
            <w:hideMark/>
          </w:tcPr>
          <w:p w14:paraId="3D0A0A36" w14:textId="77777777" w:rsidR="007B3093" w:rsidRDefault="00000000">
            <w:pPr>
              <w:spacing w:after="0" w:line="240" w:lineRule="auto"/>
              <w:jc w:val="right"/>
              <w:rPr>
                <w:rFonts w:ascii="Aptos Narrow" w:eastAsia="Times New Roman" w:hAnsi="Aptos Narrow" w:cs="Times New Roman"/>
                <w:b/>
                <w:bCs/>
                <w:sz w:val="14"/>
                <w:szCs w:val="14"/>
                <w:lang w:eastAsia="es-EC"/>
              </w:rPr>
            </w:pPr>
            <w:r>
              <w:rPr>
                <w:rFonts w:ascii="Aptos Narrow" w:eastAsia="Times New Roman" w:hAnsi="Aptos Narrow" w:cs="Times New Roman"/>
                <w:b/>
                <w:bCs/>
                <w:sz w:val="14"/>
                <w:szCs w:val="14"/>
                <w:lang w:eastAsia="es-EC"/>
              </w:rPr>
              <w:t>14.774,58</w:t>
            </w:r>
          </w:p>
        </w:tc>
        <w:tc>
          <w:tcPr>
            <w:tcW w:w="481" w:type="pct"/>
            <w:tcBorders>
              <w:top w:val="nil"/>
              <w:left w:val="nil"/>
              <w:bottom w:val="single" w:sz="4" w:space="0" w:color="auto"/>
              <w:right w:val="single" w:sz="4" w:space="0" w:color="auto"/>
            </w:tcBorders>
            <w:shd w:val="clear" w:color="auto" w:fill="auto"/>
            <w:noWrap/>
            <w:vAlign w:val="center"/>
            <w:hideMark/>
          </w:tcPr>
          <w:p w14:paraId="453685E5" w14:textId="77777777" w:rsidR="007B3093" w:rsidRDefault="00000000">
            <w:pPr>
              <w:spacing w:after="0" w:line="240" w:lineRule="auto"/>
              <w:jc w:val="right"/>
              <w:rPr>
                <w:rFonts w:ascii="Aptos Narrow" w:eastAsia="Times New Roman" w:hAnsi="Aptos Narrow" w:cs="Times New Roman"/>
                <w:b/>
                <w:bCs/>
                <w:sz w:val="14"/>
                <w:szCs w:val="14"/>
                <w:lang w:eastAsia="es-EC"/>
              </w:rPr>
            </w:pPr>
            <w:r>
              <w:rPr>
                <w:rFonts w:ascii="Aptos Narrow" w:eastAsia="Times New Roman" w:hAnsi="Aptos Narrow" w:cs="Times New Roman"/>
                <w:b/>
                <w:bCs/>
                <w:sz w:val="14"/>
                <w:szCs w:val="14"/>
                <w:lang w:eastAsia="es-EC"/>
              </w:rPr>
              <w:t>263.644,43</w:t>
            </w:r>
          </w:p>
        </w:tc>
        <w:tc>
          <w:tcPr>
            <w:tcW w:w="551" w:type="pct"/>
            <w:tcBorders>
              <w:top w:val="nil"/>
              <w:left w:val="nil"/>
              <w:bottom w:val="single" w:sz="4" w:space="0" w:color="auto"/>
              <w:right w:val="single" w:sz="4" w:space="0" w:color="auto"/>
            </w:tcBorders>
            <w:shd w:val="clear" w:color="auto" w:fill="auto"/>
            <w:noWrap/>
            <w:vAlign w:val="center"/>
            <w:hideMark/>
          </w:tcPr>
          <w:p w14:paraId="57BB7895" w14:textId="77777777" w:rsidR="007B3093" w:rsidRDefault="00000000">
            <w:pPr>
              <w:spacing w:after="0" w:line="240" w:lineRule="auto"/>
              <w:jc w:val="right"/>
              <w:rPr>
                <w:rFonts w:ascii="Aptos Narrow" w:eastAsia="Times New Roman" w:hAnsi="Aptos Narrow" w:cs="Times New Roman"/>
                <w:b/>
                <w:bCs/>
                <w:sz w:val="14"/>
                <w:szCs w:val="14"/>
                <w:lang w:eastAsia="es-EC"/>
              </w:rPr>
            </w:pPr>
            <w:r>
              <w:rPr>
                <w:rFonts w:ascii="Aptos Narrow" w:eastAsia="Times New Roman" w:hAnsi="Aptos Narrow" w:cs="Times New Roman"/>
                <w:b/>
                <w:bCs/>
                <w:sz w:val="14"/>
                <w:szCs w:val="14"/>
                <w:lang w:eastAsia="es-EC"/>
              </w:rPr>
              <w:t>621.140,14</w:t>
            </w:r>
          </w:p>
        </w:tc>
        <w:tc>
          <w:tcPr>
            <w:tcW w:w="482" w:type="pct"/>
            <w:tcBorders>
              <w:top w:val="nil"/>
              <w:left w:val="nil"/>
              <w:bottom w:val="single" w:sz="4" w:space="0" w:color="auto"/>
              <w:right w:val="single" w:sz="4" w:space="0" w:color="auto"/>
            </w:tcBorders>
            <w:shd w:val="clear" w:color="auto" w:fill="auto"/>
            <w:noWrap/>
            <w:vAlign w:val="center"/>
            <w:hideMark/>
          </w:tcPr>
          <w:p w14:paraId="4E0DD687" w14:textId="77777777" w:rsidR="007B3093" w:rsidRDefault="00000000">
            <w:pPr>
              <w:spacing w:after="0" w:line="240" w:lineRule="auto"/>
              <w:jc w:val="right"/>
              <w:rPr>
                <w:rFonts w:ascii="Aptos Narrow" w:eastAsia="Times New Roman" w:hAnsi="Aptos Narrow" w:cs="Times New Roman"/>
                <w:b/>
                <w:bCs/>
                <w:sz w:val="14"/>
                <w:szCs w:val="14"/>
                <w:lang w:eastAsia="es-EC"/>
              </w:rPr>
            </w:pPr>
            <w:r>
              <w:rPr>
                <w:rFonts w:ascii="Aptos Narrow" w:eastAsia="Times New Roman" w:hAnsi="Aptos Narrow" w:cs="Times New Roman"/>
                <w:b/>
                <w:bCs/>
                <w:sz w:val="14"/>
                <w:szCs w:val="14"/>
                <w:lang w:eastAsia="es-EC"/>
              </w:rPr>
              <w:t>808.942,27</w:t>
            </w:r>
          </w:p>
        </w:tc>
        <w:tc>
          <w:tcPr>
            <w:tcW w:w="481" w:type="pct"/>
            <w:tcBorders>
              <w:top w:val="nil"/>
              <w:left w:val="nil"/>
              <w:bottom w:val="single" w:sz="4" w:space="0" w:color="auto"/>
              <w:right w:val="single" w:sz="4" w:space="0" w:color="auto"/>
            </w:tcBorders>
            <w:shd w:val="clear" w:color="auto" w:fill="auto"/>
            <w:noWrap/>
            <w:vAlign w:val="center"/>
            <w:hideMark/>
          </w:tcPr>
          <w:p w14:paraId="03EBD030" w14:textId="77777777" w:rsidR="007B3093" w:rsidRDefault="00000000">
            <w:pPr>
              <w:spacing w:after="0" w:line="240" w:lineRule="auto"/>
              <w:jc w:val="right"/>
              <w:rPr>
                <w:rFonts w:ascii="Aptos Narrow" w:eastAsia="Times New Roman" w:hAnsi="Aptos Narrow" w:cs="Times New Roman"/>
                <w:b/>
                <w:bCs/>
                <w:sz w:val="14"/>
                <w:szCs w:val="14"/>
                <w:lang w:eastAsia="es-EC"/>
              </w:rPr>
            </w:pPr>
            <w:r>
              <w:rPr>
                <w:rFonts w:ascii="Aptos Narrow" w:eastAsia="Times New Roman" w:hAnsi="Aptos Narrow" w:cs="Times New Roman"/>
                <w:b/>
                <w:bCs/>
                <w:sz w:val="14"/>
                <w:szCs w:val="14"/>
                <w:lang w:eastAsia="es-EC"/>
              </w:rPr>
              <w:t>527.411,16</w:t>
            </w:r>
          </w:p>
        </w:tc>
        <w:tc>
          <w:tcPr>
            <w:tcW w:w="413" w:type="pct"/>
            <w:tcBorders>
              <w:top w:val="nil"/>
              <w:left w:val="nil"/>
              <w:bottom w:val="single" w:sz="4" w:space="0" w:color="auto"/>
              <w:right w:val="single" w:sz="4" w:space="0" w:color="auto"/>
            </w:tcBorders>
            <w:shd w:val="clear" w:color="auto" w:fill="auto"/>
            <w:noWrap/>
            <w:vAlign w:val="center"/>
            <w:hideMark/>
          </w:tcPr>
          <w:p w14:paraId="089E7E6F" w14:textId="77777777" w:rsidR="007B3093" w:rsidRDefault="00000000">
            <w:pPr>
              <w:spacing w:after="0" w:line="240" w:lineRule="auto"/>
              <w:jc w:val="right"/>
              <w:rPr>
                <w:rFonts w:ascii="Aptos Narrow" w:eastAsia="Times New Roman" w:hAnsi="Aptos Narrow" w:cs="Times New Roman"/>
                <w:b/>
                <w:bCs/>
                <w:sz w:val="14"/>
                <w:szCs w:val="14"/>
                <w:lang w:eastAsia="es-EC"/>
              </w:rPr>
            </w:pPr>
            <w:r>
              <w:rPr>
                <w:rFonts w:ascii="Aptos Narrow" w:eastAsia="Times New Roman" w:hAnsi="Aptos Narrow" w:cs="Times New Roman"/>
                <w:b/>
                <w:bCs/>
                <w:sz w:val="14"/>
                <w:szCs w:val="14"/>
                <w:lang w:eastAsia="es-EC"/>
              </w:rPr>
              <w:t>297.701,90</w:t>
            </w:r>
          </w:p>
        </w:tc>
        <w:tc>
          <w:tcPr>
            <w:tcW w:w="484" w:type="pct"/>
            <w:tcBorders>
              <w:top w:val="nil"/>
              <w:left w:val="nil"/>
              <w:bottom w:val="single" w:sz="4" w:space="0" w:color="auto"/>
              <w:right w:val="single" w:sz="4" w:space="0" w:color="auto"/>
            </w:tcBorders>
            <w:shd w:val="clear" w:color="auto" w:fill="auto"/>
            <w:noWrap/>
            <w:vAlign w:val="center"/>
            <w:hideMark/>
          </w:tcPr>
          <w:p w14:paraId="43651641" w14:textId="77777777" w:rsidR="007B3093" w:rsidRDefault="00000000">
            <w:pPr>
              <w:spacing w:after="0" w:line="240" w:lineRule="auto"/>
              <w:jc w:val="right"/>
              <w:rPr>
                <w:rFonts w:ascii="Aptos Narrow" w:eastAsia="Times New Roman" w:hAnsi="Aptos Narrow" w:cs="Times New Roman"/>
                <w:b/>
                <w:bCs/>
                <w:sz w:val="14"/>
                <w:szCs w:val="14"/>
                <w:lang w:eastAsia="es-EC"/>
              </w:rPr>
            </w:pPr>
            <w:r>
              <w:rPr>
                <w:rFonts w:ascii="Aptos Narrow" w:eastAsia="Times New Roman" w:hAnsi="Aptos Narrow" w:cs="Times New Roman"/>
                <w:b/>
                <w:bCs/>
                <w:sz w:val="14"/>
                <w:szCs w:val="14"/>
                <w:lang w:eastAsia="es-EC"/>
              </w:rPr>
              <w:t>2.641.181,01</w:t>
            </w:r>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1813A2B8" w14:textId="77777777" w:rsidR="007B3093" w:rsidRDefault="00000000">
            <w:pPr>
              <w:spacing w:after="0" w:line="240" w:lineRule="auto"/>
              <w:jc w:val="right"/>
              <w:rPr>
                <w:rFonts w:ascii="Aptos Narrow" w:eastAsia="Times New Roman" w:hAnsi="Aptos Narrow" w:cs="Times New Roman"/>
                <w:b/>
                <w:bCs/>
                <w:color w:val="000000"/>
                <w:sz w:val="14"/>
                <w:szCs w:val="14"/>
                <w:lang w:eastAsia="es-EC"/>
              </w:rPr>
            </w:pPr>
            <w:r>
              <w:rPr>
                <w:rFonts w:ascii="Aptos Narrow" w:eastAsia="Times New Roman" w:hAnsi="Aptos Narrow" w:cs="Times New Roman"/>
                <w:b/>
                <w:bCs/>
                <w:color w:val="000000"/>
                <w:sz w:val="14"/>
                <w:szCs w:val="14"/>
                <w:lang w:eastAsia="es-EC"/>
              </w:rPr>
              <w:t>5.174.795,49</w:t>
            </w:r>
          </w:p>
        </w:tc>
      </w:tr>
    </w:tbl>
    <w:p w14:paraId="36C6BF9A" w14:textId="77777777" w:rsidR="007B3093" w:rsidRDefault="00000000">
      <w:pPr>
        <w:spacing w:after="0" w:line="360" w:lineRule="auto"/>
        <w:contextualSpacing/>
        <w:jc w:val="center"/>
      </w:pPr>
      <w:r>
        <w:rPr>
          <w:lang w:eastAsia="es-EC"/>
        </w:rPr>
        <w:fldChar w:fldCharType="begin"/>
      </w:r>
      <w:r>
        <w:rPr>
          <w:lang w:eastAsia="es-EC"/>
        </w:rPr>
        <w:instrText xml:space="preserve"> LINK Excel.Sheet.12 "https://pgeecuador-my.sharepoint.com/personal/maira_cedeno_pge_gob_ec/Documents/Escritorio/REPROG.OCT24/25102024%20TABLAS%20PERFIL%20VF.xlsx" "C VALORADO D!F49C1:F56C31" \a \f 4 \h  \* MERGEFORMAT </w:instrText>
      </w:r>
      <w:r>
        <w:rPr>
          <w:lang w:eastAsia="es-EC"/>
        </w:rPr>
        <w:fldChar w:fldCharType="end"/>
      </w:r>
      <w:r>
        <w:rPr>
          <w:rFonts w:cstheme="minorHAnsi"/>
          <w:b/>
          <w:bCs/>
          <w:sz w:val="20"/>
          <w:lang w:eastAsia="es-EC"/>
        </w:rPr>
        <w:t>Fuente y Elaboración: EDG PROFIP PGE</w:t>
      </w:r>
    </w:p>
    <w:p w14:paraId="01B13AC2" w14:textId="77777777" w:rsidR="007B3093" w:rsidRDefault="007B3093">
      <w:pPr>
        <w:spacing w:after="0" w:line="360" w:lineRule="auto"/>
        <w:contextualSpacing/>
        <w:jc w:val="center"/>
        <w:rPr>
          <w:rFonts w:cstheme="minorHAnsi"/>
          <w:b/>
          <w:sz w:val="20"/>
        </w:rPr>
      </w:pPr>
    </w:p>
    <w:p w14:paraId="0727E6B8" w14:textId="77777777" w:rsidR="007B3093" w:rsidRDefault="007B3093">
      <w:pPr>
        <w:spacing w:after="0" w:line="360" w:lineRule="auto"/>
        <w:contextualSpacing/>
        <w:jc w:val="center"/>
        <w:rPr>
          <w:rFonts w:cstheme="minorHAnsi"/>
          <w:b/>
          <w:sz w:val="20"/>
        </w:rPr>
      </w:pPr>
    </w:p>
    <w:p w14:paraId="20CAC3D7" w14:textId="77777777" w:rsidR="007B3093" w:rsidRDefault="00000000">
      <w:pPr>
        <w:spacing w:before="360" w:after="0" w:line="360" w:lineRule="auto"/>
        <w:contextualSpacing/>
        <w:jc w:val="both"/>
        <w:rPr>
          <w:rFonts w:cstheme="minorHAnsi"/>
          <w:b/>
        </w:rPr>
      </w:pPr>
      <w:r>
        <w:rPr>
          <w:rFonts w:cstheme="minorHAnsi"/>
          <w:b/>
        </w:rPr>
        <w:t>Costos de Operación y mantenimiento</w:t>
      </w:r>
    </w:p>
    <w:p w14:paraId="1DC7D2E9" w14:textId="77777777" w:rsidR="007B3093" w:rsidRDefault="00000000">
      <w:pPr>
        <w:spacing w:before="360" w:after="0" w:line="360" w:lineRule="auto"/>
        <w:contextualSpacing/>
        <w:jc w:val="center"/>
        <w:rPr>
          <w:rFonts w:cstheme="minorHAnsi"/>
          <w:b/>
        </w:rPr>
      </w:pPr>
      <w:r>
        <w:rPr>
          <w:rFonts w:cstheme="minorHAnsi"/>
          <w:b/>
        </w:rPr>
        <w:t>Tabla</w:t>
      </w:r>
      <w:r>
        <w:rPr>
          <w:rFonts w:cstheme="minorHAnsi"/>
          <w:b/>
          <w:bCs/>
          <w:lang w:eastAsia="es-EC"/>
        </w:rPr>
        <w:t xml:space="preserve"> 32: </w:t>
      </w:r>
      <w:r>
        <w:rPr>
          <w:rFonts w:cstheme="minorHAnsi"/>
          <w:b/>
        </w:rPr>
        <w:t>Operación y mantenimiento</w:t>
      </w:r>
    </w:p>
    <w:tbl>
      <w:tblPr>
        <w:tblW w:w="9167" w:type="dxa"/>
        <w:tblLayout w:type="fixed"/>
        <w:tblCellMar>
          <w:left w:w="70" w:type="dxa"/>
          <w:right w:w="70" w:type="dxa"/>
        </w:tblCellMar>
        <w:tblLook w:val="04A0" w:firstRow="1" w:lastRow="0" w:firstColumn="1" w:lastColumn="0" w:noHBand="0" w:noVBand="1"/>
      </w:tblPr>
      <w:tblGrid>
        <w:gridCol w:w="1042"/>
        <w:gridCol w:w="4060"/>
        <w:gridCol w:w="1507"/>
        <w:gridCol w:w="1198"/>
        <w:gridCol w:w="1360"/>
      </w:tblGrid>
      <w:tr w:rsidR="007B3093" w14:paraId="5F2B7AE0" w14:textId="77777777">
        <w:trPr>
          <w:trHeight w:val="312"/>
        </w:trPr>
        <w:tc>
          <w:tcPr>
            <w:tcW w:w="1042"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5F2E7A3" w14:textId="77777777" w:rsidR="007B3093" w:rsidRDefault="00000000">
            <w:pPr>
              <w:spacing w:after="0" w:line="240" w:lineRule="auto"/>
              <w:jc w:val="center"/>
              <w:rPr>
                <w:rFonts w:ascii="Calibri" w:eastAsia="Times New Roman" w:hAnsi="Calibri" w:cs="Times New Roman"/>
                <w:b/>
                <w:bCs/>
                <w:color w:val="FFFFFF"/>
                <w:sz w:val="20"/>
                <w:szCs w:val="20"/>
                <w:lang w:eastAsia="es-EC"/>
              </w:rPr>
            </w:pPr>
            <w:r>
              <w:rPr>
                <w:rFonts w:ascii="Calibri" w:eastAsia="Times New Roman" w:hAnsi="Calibri" w:cs="Times New Roman"/>
                <w:b/>
                <w:bCs/>
                <w:color w:val="FFFFFF"/>
                <w:sz w:val="20"/>
                <w:szCs w:val="20"/>
                <w:lang w:eastAsia="es-EC"/>
              </w:rPr>
              <w:t>Año</w:t>
            </w:r>
          </w:p>
        </w:tc>
        <w:tc>
          <w:tcPr>
            <w:tcW w:w="4059" w:type="dxa"/>
            <w:tcBorders>
              <w:top w:val="single" w:sz="8" w:space="0" w:color="auto"/>
              <w:left w:val="nil"/>
              <w:bottom w:val="single" w:sz="8" w:space="0" w:color="auto"/>
              <w:right w:val="single" w:sz="8" w:space="0" w:color="auto"/>
            </w:tcBorders>
            <w:shd w:val="clear" w:color="000000" w:fill="1F3864"/>
            <w:noWrap/>
            <w:vAlign w:val="center"/>
            <w:hideMark/>
          </w:tcPr>
          <w:p w14:paraId="22AD0FC7" w14:textId="77777777" w:rsidR="007B3093" w:rsidRDefault="00000000">
            <w:pPr>
              <w:spacing w:after="0" w:line="240" w:lineRule="auto"/>
              <w:jc w:val="center"/>
              <w:rPr>
                <w:rFonts w:ascii="Calibri" w:eastAsia="Times New Roman" w:hAnsi="Calibri" w:cs="Times New Roman"/>
                <w:b/>
                <w:bCs/>
                <w:color w:val="FFFFFF"/>
                <w:sz w:val="20"/>
                <w:szCs w:val="20"/>
                <w:lang w:eastAsia="es-EC"/>
              </w:rPr>
            </w:pPr>
            <w:r>
              <w:rPr>
                <w:rFonts w:ascii="Calibri" w:eastAsia="Times New Roman" w:hAnsi="Calibri" w:cs="Times New Roman"/>
                <w:b/>
                <w:bCs/>
                <w:color w:val="FFFFFF"/>
                <w:sz w:val="20"/>
                <w:szCs w:val="20"/>
                <w:lang w:eastAsia="es-EC"/>
              </w:rPr>
              <w:t>Entregable</w:t>
            </w:r>
          </w:p>
        </w:tc>
        <w:tc>
          <w:tcPr>
            <w:tcW w:w="1507" w:type="dxa"/>
            <w:tcBorders>
              <w:top w:val="single" w:sz="8" w:space="0" w:color="auto"/>
              <w:left w:val="nil"/>
              <w:bottom w:val="single" w:sz="8" w:space="0" w:color="auto"/>
              <w:right w:val="single" w:sz="8" w:space="0" w:color="auto"/>
            </w:tcBorders>
            <w:shd w:val="clear" w:color="000000" w:fill="1F3864"/>
            <w:noWrap/>
            <w:vAlign w:val="center"/>
            <w:hideMark/>
          </w:tcPr>
          <w:p w14:paraId="6442FFEC" w14:textId="77777777" w:rsidR="007B3093" w:rsidRDefault="00000000">
            <w:pPr>
              <w:spacing w:after="0" w:line="240" w:lineRule="auto"/>
              <w:jc w:val="center"/>
              <w:rPr>
                <w:rFonts w:ascii="Calibri" w:eastAsia="Times New Roman" w:hAnsi="Calibri" w:cs="Times New Roman"/>
                <w:b/>
                <w:bCs/>
                <w:color w:val="FFFFFF"/>
                <w:sz w:val="20"/>
                <w:szCs w:val="20"/>
                <w:lang w:eastAsia="es-EC"/>
              </w:rPr>
            </w:pPr>
            <w:r>
              <w:rPr>
                <w:rFonts w:ascii="Calibri" w:eastAsia="Times New Roman" w:hAnsi="Calibri" w:cs="Times New Roman"/>
                <w:b/>
                <w:bCs/>
                <w:color w:val="FFFFFF"/>
                <w:sz w:val="20"/>
                <w:szCs w:val="20"/>
                <w:lang w:eastAsia="es-EC"/>
              </w:rPr>
              <w:t>Valor</w:t>
            </w:r>
          </w:p>
        </w:tc>
        <w:tc>
          <w:tcPr>
            <w:tcW w:w="1198" w:type="dxa"/>
            <w:tcBorders>
              <w:top w:val="single" w:sz="8" w:space="0" w:color="auto"/>
              <w:left w:val="nil"/>
              <w:bottom w:val="single" w:sz="8" w:space="0" w:color="auto"/>
              <w:right w:val="single" w:sz="8" w:space="0" w:color="auto"/>
            </w:tcBorders>
            <w:shd w:val="clear" w:color="000000" w:fill="1F3864"/>
            <w:noWrap/>
            <w:vAlign w:val="center"/>
            <w:hideMark/>
          </w:tcPr>
          <w:p w14:paraId="7960F2E2" w14:textId="77777777" w:rsidR="007B3093" w:rsidRDefault="00000000">
            <w:pPr>
              <w:spacing w:after="0" w:line="240" w:lineRule="auto"/>
              <w:jc w:val="center"/>
              <w:rPr>
                <w:rFonts w:ascii="Calibri" w:eastAsia="Times New Roman" w:hAnsi="Calibri" w:cs="Times New Roman"/>
                <w:b/>
                <w:bCs/>
                <w:color w:val="FFFFFF"/>
                <w:sz w:val="20"/>
                <w:szCs w:val="20"/>
                <w:lang w:eastAsia="es-EC"/>
              </w:rPr>
            </w:pPr>
            <w:r>
              <w:rPr>
                <w:rFonts w:ascii="Calibri" w:eastAsia="Times New Roman" w:hAnsi="Calibri" w:cs="Times New Roman"/>
                <w:b/>
                <w:bCs/>
                <w:color w:val="FFFFFF"/>
                <w:sz w:val="20"/>
                <w:szCs w:val="20"/>
                <w:lang w:eastAsia="es-EC"/>
              </w:rPr>
              <w:t>IVA</w:t>
            </w:r>
          </w:p>
        </w:tc>
        <w:tc>
          <w:tcPr>
            <w:tcW w:w="1360" w:type="dxa"/>
            <w:tcBorders>
              <w:top w:val="single" w:sz="8" w:space="0" w:color="auto"/>
              <w:left w:val="nil"/>
              <w:bottom w:val="single" w:sz="8" w:space="0" w:color="auto"/>
              <w:right w:val="single" w:sz="8" w:space="0" w:color="auto"/>
            </w:tcBorders>
            <w:shd w:val="clear" w:color="000000" w:fill="1F3864"/>
            <w:noWrap/>
            <w:vAlign w:val="center"/>
            <w:hideMark/>
          </w:tcPr>
          <w:p w14:paraId="1752D113" w14:textId="77777777" w:rsidR="007B3093" w:rsidRDefault="00000000">
            <w:pPr>
              <w:spacing w:after="0" w:line="240" w:lineRule="auto"/>
              <w:jc w:val="center"/>
              <w:rPr>
                <w:rFonts w:ascii="Calibri" w:eastAsia="Times New Roman" w:hAnsi="Calibri" w:cs="Times New Roman"/>
                <w:b/>
                <w:bCs/>
                <w:color w:val="FFFFFF"/>
                <w:sz w:val="20"/>
                <w:szCs w:val="20"/>
                <w:lang w:eastAsia="es-EC"/>
              </w:rPr>
            </w:pPr>
            <w:r>
              <w:rPr>
                <w:rFonts w:ascii="Calibri" w:eastAsia="Times New Roman" w:hAnsi="Calibri" w:cs="Times New Roman"/>
                <w:b/>
                <w:bCs/>
                <w:color w:val="FFFFFF"/>
                <w:sz w:val="20"/>
                <w:szCs w:val="20"/>
                <w:lang w:eastAsia="es-EC"/>
              </w:rPr>
              <w:t>Total</w:t>
            </w:r>
          </w:p>
        </w:tc>
      </w:tr>
      <w:tr w:rsidR="007B3093" w14:paraId="42B4CCCF" w14:textId="77777777">
        <w:trPr>
          <w:trHeight w:val="312"/>
        </w:trPr>
        <w:tc>
          <w:tcPr>
            <w:tcW w:w="1042" w:type="dxa"/>
            <w:tcBorders>
              <w:top w:val="nil"/>
              <w:left w:val="single" w:sz="8" w:space="0" w:color="auto"/>
              <w:bottom w:val="single" w:sz="8" w:space="0" w:color="auto"/>
              <w:right w:val="single" w:sz="8" w:space="0" w:color="auto"/>
            </w:tcBorders>
            <w:shd w:val="clear" w:color="auto" w:fill="auto"/>
            <w:noWrap/>
            <w:vAlign w:val="center"/>
          </w:tcPr>
          <w:p w14:paraId="2215CD53"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2026</w:t>
            </w:r>
          </w:p>
        </w:tc>
        <w:tc>
          <w:tcPr>
            <w:tcW w:w="4059" w:type="dxa"/>
            <w:tcBorders>
              <w:top w:val="nil"/>
              <w:left w:val="nil"/>
              <w:bottom w:val="single" w:sz="8" w:space="0" w:color="auto"/>
              <w:right w:val="single" w:sz="8" w:space="0" w:color="auto"/>
            </w:tcBorders>
            <w:shd w:val="clear" w:color="auto" w:fill="auto"/>
            <w:noWrap/>
          </w:tcPr>
          <w:p w14:paraId="3972BCD9" w14:textId="77777777" w:rsidR="007B3093" w:rsidRDefault="00000000">
            <w:r>
              <w:t>Mantenimiento de Software / licencias (10% Tecnología recién desarrollada)</w:t>
            </w:r>
          </w:p>
        </w:tc>
        <w:tc>
          <w:tcPr>
            <w:tcW w:w="1507" w:type="dxa"/>
            <w:tcBorders>
              <w:top w:val="nil"/>
              <w:left w:val="nil"/>
              <w:bottom w:val="single" w:sz="8" w:space="0" w:color="auto"/>
              <w:right w:val="single" w:sz="8" w:space="0" w:color="auto"/>
            </w:tcBorders>
            <w:shd w:val="clear" w:color="auto" w:fill="auto"/>
            <w:noWrap/>
            <w:vAlign w:val="center"/>
          </w:tcPr>
          <w:p w14:paraId="01C3A68E"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24.464,29</w:t>
            </w:r>
          </w:p>
        </w:tc>
        <w:tc>
          <w:tcPr>
            <w:tcW w:w="1198" w:type="dxa"/>
            <w:tcBorders>
              <w:top w:val="nil"/>
              <w:left w:val="nil"/>
              <w:bottom w:val="single" w:sz="8" w:space="0" w:color="auto"/>
              <w:right w:val="single" w:sz="8" w:space="0" w:color="auto"/>
            </w:tcBorders>
            <w:shd w:val="clear" w:color="auto" w:fill="auto"/>
            <w:noWrap/>
            <w:vAlign w:val="center"/>
          </w:tcPr>
          <w:p w14:paraId="49D94145"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2.935,71</w:t>
            </w:r>
          </w:p>
        </w:tc>
        <w:tc>
          <w:tcPr>
            <w:tcW w:w="1360" w:type="dxa"/>
            <w:tcBorders>
              <w:top w:val="nil"/>
              <w:left w:val="nil"/>
              <w:bottom w:val="single" w:sz="8" w:space="0" w:color="auto"/>
              <w:right w:val="single" w:sz="8" w:space="0" w:color="auto"/>
            </w:tcBorders>
            <w:shd w:val="clear" w:color="auto" w:fill="auto"/>
            <w:noWrap/>
            <w:vAlign w:val="center"/>
          </w:tcPr>
          <w:p w14:paraId="2EA9C9F0"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27.400,00</w:t>
            </w:r>
          </w:p>
        </w:tc>
      </w:tr>
      <w:tr w:rsidR="007B3093" w14:paraId="400C4BEE" w14:textId="77777777">
        <w:trPr>
          <w:trHeight w:val="312"/>
        </w:trPr>
        <w:tc>
          <w:tcPr>
            <w:tcW w:w="1042" w:type="dxa"/>
            <w:tcBorders>
              <w:top w:val="nil"/>
              <w:left w:val="single" w:sz="8" w:space="0" w:color="auto"/>
              <w:bottom w:val="single" w:sz="8" w:space="0" w:color="auto"/>
              <w:right w:val="single" w:sz="8" w:space="0" w:color="auto"/>
            </w:tcBorders>
            <w:shd w:val="clear" w:color="auto" w:fill="auto"/>
            <w:noWrap/>
            <w:vAlign w:val="center"/>
          </w:tcPr>
          <w:p w14:paraId="2D220C20"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2027</w:t>
            </w:r>
          </w:p>
        </w:tc>
        <w:tc>
          <w:tcPr>
            <w:tcW w:w="4059" w:type="dxa"/>
            <w:tcBorders>
              <w:top w:val="nil"/>
              <w:left w:val="nil"/>
              <w:bottom w:val="single" w:sz="8" w:space="0" w:color="auto"/>
              <w:right w:val="single" w:sz="8" w:space="0" w:color="auto"/>
            </w:tcBorders>
            <w:shd w:val="clear" w:color="auto" w:fill="auto"/>
            <w:noWrap/>
          </w:tcPr>
          <w:p w14:paraId="0E37E2D2" w14:textId="77777777" w:rsidR="007B3093" w:rsidRDefault="00000000">
            <w:r>
              <w:t>Mantenimiento de Software / licencias (10% Tecnología recién desarrollada)</w:t>
            </w:r>
          </w:p>
        </w:tc>
        <w:tc>
          <w:tcPr>
            <w:tcW w:w="1507" w:type="dxa"/>
            <w:tcBorders>
              <w:top w:val="nil"/>
              <w:left w:val="nil"/>
              <w:bottom w:val="single" w:sz="8" w:space="0" w:color="auto"/>
              <w:right w:val="single" w:sz="8" w:space="0" w:color="auto"/>
            </w:tcBorders>
            <w:shd w:val="clear" w:color="auto" w:fill="auto"/>
            <w:noWrap/>
            <w:vAlign w:val="center"/>
          </w:tcPr>
          <w:p w14:paraId="110558CD"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24.464,29</w:t>
            </w:r>
          </w:p>
        </w:tc>
        <w:tc>
          <w:tcPr>
            <w:tcW w:w="1198" w:type="dxa"/>
            <w:tcBorders>
              <w:top w:val="nil"/>
              <w:left w:val="nil"/>
              <w:bottom w:val="single" w:sz="8" w:space="0" w:color="auto"/>
              <w:right w:val="single" w:sz="8" w:space="0" w:color="auto"/>
            </w:tcBorders>
            <w:shd w:val="clear" w:color="auto" w:fill="auto"/>
            <w:noWrap/>
            <w:vAlign w:val="center"/>
          </w:tcPr>
          <w:p w14:paraId="152C6107"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2.935,71</w:t>
            </w:r>
          </w:p>
        </w:tc>
        <w:tc>
          <w:tcPr>
            <w:tcW w:w="1360" w:type="dxa"/>
            <w:tcBorders>
              <w:top w:val="nil"/>
              <w:left w:val="nil"/>
              <w:bottom w:val="single" w:sz="8" w:space="0" w:color="auto"/>
              <w:right w:val="single" w:sz="8" w:space="0" w:color="auto"/>
            </w:tcBorders>
            <w:shd w:val="clear" w:color="auto" w:fill="auto"/>
            <w:noWrap/>
            <w:vAlign w:val="center"/>
          </w:tcPr>
          <w:p w14:paraId="629317FE"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27.400,00</w:t>
            </w:r>
          </w:p>
        </w:tc>
      </w:tr>
      <w:tr w:rsidR="007B3093" w14:paraId="2D111E6E" w14:textId="77777777">
        <w:trPr>
          <w:trHeight w:val="312"/>
        </w:trPr>
        <w:tc>
          <w:tcPr>
            <w:tcW w:w="1042" w:type="dxa"/>
            <w:tcBorders>
              <w:top w:val="nil"/>
              <w:left w:val="single" w:sz="8" w:space="0" w:color="auto"/>
              <w:bottom w:val="single" w:sz="8" w:space="0" w:color="auto"/>
              <w:right w:val="single" w:sz="8" w:space="0" w:color="auto"/>
            </w:tcBorders>
            <w:shd w:val="clear" w:color="auto" w:fill="auto"/>
            <w:noWrap/>
            <w:vAlign w:val="center"/>
          </w:tcPr>
          <w:p w14:paraId="32C9CF71"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2028</w:t>
            </w:r>
          </w:p>
        </w:tc>
        <w:tc>
          <w:tcPr>
            <w:tcW w:w="4059" w:type="dxa"/>
            <w:tcBorders>
              <w:top w:val="nil"/>
              <w:left w:val="nil"/>
              <w:bottom w:val="single" w:sz="8" w:space="0" w:color="auto"/>
              <w:right w:val="single" w:sz="8" w:space="0" w:color="auto"/>
            </w:tcBorders>
            <w:shd w:val="clear" w:color="auto" w:fill="auto"/>
            <w:noWrap/>
          </w:tcPr>
          <w:p w14:paraId="0327DDB3" w14:textId="77777777" w:rsidR="007B3093" w:rsidRDefault="00000000">
            <w:r>
              <w:t>Mantenimiento de Software / licencias</w:t>
            </w:r>
          </w:p>
        </w:tc>
        <w:tc>
          <w:tcPr>
            <w:tcW w:w="1507" w:type="dxa"/>
            <w:tcBorders>
              <w:top w:val="nil"/>
              <w:left w:val="nil"/>
              <w:bottom w:val="single" w:sz="8" w:space="0" w:color="auto"/>
              <w:right w:val="single" w:sz="8" w:space="0" w:color="auto"/>
            </w:tcBorders>
            <w:shd w:val="clear" w:color="auto" w:fill="auto"/>
            <w:noWrap/>
            <w:vAlign w:val="center"/>
          </w:tcPr>
          <w:p w14:paraId="2B70BF9F"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203.035,71</w:t>
            </w:r>
          </w:p>
        </w:tc>
        <w:tc>
          <w:tcPr>
            <w:tcW w:w="1198" w:type="dxa"/>
            <w:tcBorders>
              <w:top w:val="nil"/>
              <w:left w:val="nil"/>
              <w:bottom w:val="single" w:sz="8" w:space="0" w:color="auto"/>
              <w:right w:val="single" w:sz="8" w:space="0" w:color="auto"/>
            </w:tcBorders>
            <w:shd w:val="clear" w:color="auto" w:fill="auto"/>
            <w:noWrap/>
            <w:vAlign w:val="center"/>
          </w:tcPr>
          <w:p w14:paraId="1F73F4F5"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24.364,29</w:t>
            </w:r>
          </w:p>
        </w:tc>
        <w:tc>
          <w:tcPr>
            <w:tcW w:w="1360" w:type="dxa"/>
            <w:tcBorders>
              <w:top w:val="nil"/>
              <w:left w:val="nil"/>
              <w:bottom w:val="single" w:sz="8" w:space="0" w:color="auto"/>
              <w:right w:val="single" w:sz="8" w:space="0" w:color="auto"/>
            </w:tcBorders>
            <w:shd w:val="clear" w:color="auto" w:fill="auto"/>
            <w:noWrap/>
            <w:vAlign w:val="center"/>
          </w:tcPr>
          <w:p w14:paraId="3E891C57"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227.400,00</w:t>
            </w:r>
          </w:p>
        </w:tc>
      </w:tr>
      <w:tr w:rsidR="007B3093" w14:paraId="757A4944" w14:textId="77777777">
        <w:trPr>
          <w:trHeight w:val="312"/>
        </w:trPr>
        <w:tc>
          <w:tcPr>
            <w:tcW w:w="1042" w:type="dxa"/>
            <w:tcBorders>
              <w:top w:val="nil"/>
              <w:left w:val="single" w:sz="8" w:space="0" w:color="auto"/>
              <w:bottom w:val="single" w:sz="8" w:space="0" w:color="auto"/>
              <w:right w:val="single" w:sz="8" w:space="0" w:color="auto"/>
            </w:tcBorders>
            <w:shd w:val="clear" w:color="auto" w:fill="auto"/>
            <w:noWrap/>
            <w:vAlign w:val="center"/>
          </w:tcPr>
          <w:p w14:paraId="04C9403A"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2029</w:t>
            </w:r>
          </w:p>
        </w:tc>
        <w:tc>
          <w:tcPr>
            <w:tcW w:w="4059" w:type="dxa"/>
            <w:tcBorders>
              <w:top w:val="nil"/>
              <w:left w:val="nil"/>
              <w:bottom w:val="single" w:sz="8" w:space="0" w:color="auto"/>
              <w:right w:val="single" w:sz="8" w:space="0" w:color="auto"/>
            </w:tcBorders>
            <w:shd w:val="clear" w:color="auto" w:fill="auto"/>
            <w:noWrap/>
          </w:tcPr>
          <w:p w14:paraId="37B19184" w14:textId="77777777" w:rsidR="007B3093" w:rsidRDefault="00000000">
            <w:r>
              <w:t>Mantenimiento de Software / licencias</w:t>
            </w:r>
          </w:p>
        </w:tc>
        <w:tc>
          <w:tcPr>
            <w:tcW w:w="1507" w:type="dxa"/>
            <w:tcBorders>
              <w:top w:val="nil"/>
              <w:left w:val="nil"/>
              <w:bottom w:val="single" w:sz="8" w:space="0" w:color="auto"/>
              <w:right w:val="single" w:sz="8" w:space="0" w:color="auto"/>
            </w:tcBorders>
            <w:shd w:val="clear" w:color="auto" w:fill="auto"/>
            <w:noWrap/>
            <w:vAlign w:val="center"/>
          </w:tcPr>
          <w:p w14:paraId="32284162"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203.035,71</w:t>
            </w:r>
          </w:p>
        </w:tc>
        <w:tc>
          <w:tcPr>
            <w:tcW w:w="1198" w:type="dxa"/>
            <w:tcBorders>
              <w:top w:val="nil"/>
              <w:left w:val="nil"/>
              <w:bottom w:val="single" w:sz="8" w:space="0" w:color="auto"/>
              <w:right w:val="single" w:sz="8" w:space="0" w:color="auto"/>
            </w:tcBorders>
            <w:shd w:val="clear" w:color="auto" w:fill="auto"/>
            <w:noWrap/>
            <w:vAlign w:val="center"/>
          </w:tcPr>
          <w:p w14:paraId="4D610A91"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24.364,29</w:t>
            </w:r>
          </w:p>
        </w:tc>
        <w:tc>
          <w:tcPr>
            <w:tcW w:w="1360" w:type="dxa"/>
            <w:tcBorders>
              <w:top w:val="nil"/>
              <w:left w:val="nil"/>
              <w:bottom w:val="single" w:sz="8" w:space="0" w:color="auto"/>
              <w:right w:val="single" w:sz="8" w:space="0" w:color="auto"/>
            </w:tcBorders>
            <w:shd w:val="clear" w:color="auto" w:fill="auto"/>
            <w:noWrap/>
            <w:vAlign w:val="center"/>
          </w:tcPr>
          <w:p w14:paraId="1EDF3ED6"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227.400,00</w:t>
            </w:r>
          </w:p>
        </w:tc>
      </w:tr>
      <w:tr w:rsidR="007B3093" w14:paraId="39306CA5" w14:textId="77777777">
        <w:trPr>
          <w:trHeight w:val="312"/>
        </w:trPr>
        <w:tc>
          <w:tcPr>
            <w:tcW w:w="1042" w:type="dxa"/>
            <w:tcBorders>
              <w:top w:val="nil"/>
              <w:left w:val="single" w:sz="8" w:space="0" w:color="auto"/>
              <w:bottom w:val="single" w:sz="8" w:space="0" w:color="auto"/>
              <w:right w:val="single" w:sz="8" w:space="0" w:color="auto"/>
            </w:tcBorders>
            <w:shd w:val="clear" w:color="auto" w:fill="auto"/>
            <w:noWrap/>
            <w:vAlign w:val="center"/>
          </w:tcPr>
          <w:p w14:paraId="6F59B860"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2030</w:t>
            </w:r>
          </w:p>
        </w:tc>
        <w:tc>
          <w:tcPr>
            <w:tcW w:w="4059" w:type="dxa"/>
            <w:tcBorders>
              <w:top w:val="nil"/>
              <w:left w:val="nil"/>
              <w:bottom w:val="single" w:sz="8" w:space="0" w:color="auto"/>
              <w:right w:val="single" w:sz="8" w:space="0" w:color="auto"/>
            </w:tcBorders>
            <w:shd w:val="clear" w:color="auto" w:fill="auto"/>
            <w:noWrap/>
          </w:tcPr>
          <w:p w14:paraId="600332AF" w14:textId="77777777" w:rsidR="007B3093" w:rsidRDefault="00000000">
            <w:r>
              <w:t>Mantenimiento de Software / licencias</w:t>
            </w:r>
          </w:p>
        </w:tc>
        <w:tc>
          <w:tcPr>
            <w:tcW w:w="1507" w:type="dxa"/>
            <w:tcBorders>
              <w:top w:val="nil"/>
              <w:left w:val="nil"/>
              <w:bottom w:val="single" w:sz="8" w:space="0" w:color="auto"/>
              <w:right w:val="single" w:sz="8" w:space="0" w:color="auto"/>
            </w:tcBorders>
            <w:shd w:val="clear" w:color="auto" w:fill="auto"/>
            <w:noWrap/>
            <w:vAlign w:val="center"/>
          </w:tcPr>
          <w:p w14:paraId="75BC4E7E"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203.035,71</w:t>
            </w:r>
          </w:p>
        </w:tc>
        <w:tc>
          <w:tcPr>
            <w:tcW w:w="1198" w:type="dxa"/>
            <w:tcBorders>
              <w:top w:val="nil"/>
              <w:left w:val="nil"/>
              <w:bottom w:val="single" w:sz="8" w:space="0" w:color="auto"/>
              <w:right w:val="single" w:sz="8" w:space="0" w:color="auto"/>
            </w:tcBorders>
            <w:shd w:val="clear" w:color="auto" w:fill="auto"/>
            <w:noWrap/>
            <w:vAlign w:val="center"/>
          </w:tcPr>
          <w:p w14:paraId="541C3FB1"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24.364,29</w:t>
            </w:r>
          </w:p>
        </w:tc>
        <w:tc>
          <w:tcPr>
            <w:tcW w:w="1360" w:type="dxa"/>
            <w:tcBorders>
              <w:top w:val="nil"/>
              <w:left w:val="nil"/>
              <w:bottom w:val="single" w:sz="8" w:space="0" w:color="auto"/>
              <w:right w:val="single" w:sz="8" w:space="0" w:color="auto"/>
            </w:tcBorders>
            <w:shd w:val="clear" w:color="auto" w:fill="auto"/>
            <w:noWrap/>
            <w:vAlign w:val="center"/>
          </w:tcPr>
          <w:p w14:paraId="5AC45652"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227.400,00</w:t>
            </w:r>
          </w:p>
        </w:tc>
      </w:tr>
      <w:tr w:rsidR="007B3093" w14:paraId="426EB7AC" w14:textId="77777777">
        <w:trPr>
          <w:trHeight w:val="312"/>
        </w:trPr>
        <w:tc>
          <w:tcPr>
            <w:tcW w:w="1042" w:type="dxa"/>
            <w:tcBorders>
              <w:top w:val="nil"/>
              <w:left w:val="single" w:sz="8" w:space="0" w:color="auto"/>
              <w:bottom w:val="single" w:sz="8" w:space="0" w:color="auto"/>
              <w:right w:val="single" w:sz="8" w:space="0" w:color="auto"/>
            </w:tcBorders>
            <w:shd w:val="clear" w:color="auto" w:fill="auto"/>
            <w:noWrap/>
            <w:vAlign w:val="center"/>
          </w:tcPr>
          <w:p w14:paraId="11C4BC27"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2031</w:t>
            </w:r>
          </w:p>
        </w:tc>
        <w:tc>
          <w:tcPr>
            <w:tcW w:w="4059" w:type="dxa"/>
            <w:tcBorders>
              <w:top w:val="nil"/>
              <w:left w:val="nil"/>
              <w:bottom w:val="single" w:sz="8" w:space="0" w:color="auto"/>
              <w:right w:val="single" w:sz="8" w:space="0" w:color="auto"/>
            </w:tcBorders>
            <w:shd w:val="clear" w:color="auto" w:fill="auto"/>
            <w:noWrap/>
          </w:tcPr>
          <w:p w14:paraId="4372DF36" w14:textId="77777777" w:rsidR="007B3093" w:rsidRDefault="00000000">
            <w:r>
              <w:t>Mantenimiento de Software / licencias</w:t>
            </w:r>
          </w:p>
        </w:tc>
        <w:tc>
          <w:tcPr>
            <w:tcW w:w="1507" w:type="dxa"/>
            <w:tcBorders>
              <w:top w:val="nil"/>
              <w:left w:val="nil"/>
              <w:bottom w:val="single" w:sz="8" w:space="0" w:color="auto"/>
              <w:right w:val="single" w:sz="8" w:space="0" w:color="auto"/>
            </w:tcBorders>
            <w:shd w:val="clear" w:color="auto" w:fill="auto"/>
            <w:noWrap/>
            <w:vAlign w:val="center"/>
          </w:tcPr>
          <w:p w14:paraId="28E9F98E"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203.035,71</w:t>
            </w:r>
          </w:p>
        </w:tc>
        <w:tc>
          <w:tcPr>
            <w:tcW w:w="1198" w:type="dxa"/>
            <w:tcBorders>
              <w:top w:val="nil"/>
              <w:left w:val="nil"/>
              <w:bottom w:val="single" w:sz="8" w:space="0" w:color="auto"/>
              <w:right w:val="single" w:sz="8" w:space="0" w:color="auto"/>
            </w:tcBorders>
            <w:shd w:val="clear" w:color="auto" w:fill="auto"/>
            <w:noWrap/>
            <w:vAlign w:val="center"/>
          </w:tcPr>
          <w:p w14:paraId="33177562"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24.364,29</w:t>
            </w:r>
          </w:p>
        </w:tc>
        <w:tc>
          <w:tcPr>
            <w:tcW w:w="1360" w:type="dxa"/>
            <w:tcBorders>
              <w:top w:val="nil"/>
              <w:left w:val="nil"/>
              <w:bottom w:val="single" w:sz="8" w:space="0" w:color="auto"/>
              <w:right w:val="single" w:sz="8" w:space="0" w:color="auto"/>
            </w:tcBorders>
            <w:shd w:val="clear" w:color="auto" w:fill="auto"/>
            <w:noWrap/>
            <w:vAlign w:val="center"/>
          </w:tcPr>
          <w:p w14:paraId="25FEFE4E" w14:textId="77777777" w:rsidR="007B3093" w:rsidRDefault="00000000">
            <w:pPr>
              <w:spacing w:after="0" w:line="240" w:lineRule="auto"/>
              <w:jc w:val="center"/>
              <w:rPr>
                <w:rFonts w:ascii="Calibri" w:eastAsia="Times New Roman" w:hAnsi="Calibri" w:cs="Times New Roman"/>
                <w:color w:val="000000"/>
                <w:sz w:val="20"/>
                <w:szCs w:val="20"/>
                <w:lang w:eastAsia="es-EC"/>
              </w:rPr>
            </w:pPr>
            <w:r>
              <w:rPr>
                <w:rFonts w:ascii="Calibri" w:eastAsia="Times New Roman" w:hAnsi="Calibri" w:cs="Times New Roman"/>
                <w:color w:val="000000"/>
                <w:sz w:val="20"/>
                <w:szCs w:val="20"/>
                <w:lang w:eastAsia="es-EC"/>
              </w:rPr>
              <w:t>227.400,00</w:t>
            </w:r>
          </w:p>
        </w:tc>
      </w:tr>
      <w:tr w:rsidR="007B3093" w14:paraId="2FCA4443" w14:textId="77777777">
        <w:trPr>
          <w:trHeight w:val="312"/>
        </w:trPr>
        <w:tc>
          <w:tcPr>
            <w:tcW w:w="5102" w:type="dxa"/>
            <w:gridSpan w:val="2"/>
            <w:tcBorders>
              <w:top w:val="nil"/>
              <w:left w:val="single" w:sz="8" w:space="0" w:color="auto"/>
              <w:bottom w:val="single" w:sz="8" w:space="0" w:color="auto"/>
              <w:right w:val="single" w:sz="8" w:space="0" w:color="auto"/>
            </w:tcBorders>
            <w:shd w:val="clear" w:color="auto" w:fill="auto"/>
            <w:noWrap/>
            <w:vAlign w:val="center"/>
            <w:hideMark/>
          </w:tcPr>
          <w:p w14:paraId="2C892A50" w14:textId="77777777" w:rsidR="007B3093" w:rsidRDefault="00000000">
            <w:pPr>
              <w:spacing w:after="0" w:line="240" w:lineRule="auto"/>
              <w:jc w:val="center"/>
              <w:rPr>
                <w:rFonts w:ascii="Calibri" w:eastAsia="Times New Roman" w:hAnsi="Calibri" w:cs="Times New Roman"/>
                <w:b/>
                <w:color w:val="000000"/>
                <w:sz w:val="20"/>
                <w:szCs w:val="20"/>
                <w:lang w:eastAsia="es-EC"/>
              </w:rPr>
            </w:pPr>
            <w:r>
              <w:rPr>
                <w:rFonts w:ascii="Calibri" w:eastAsia="Times New Roman" w:hAnsi="Calibri" w:cs="Times New Roman"/>
                <w:b/>
                <w:color w:val="000000"/>
                <w:sz w:val="20"/>
                <w:szCs w:val="20"/>
                <w:lang w:eastAsia="es-EC"/>
              </w:rPr>
              <w:t>Total</w:t>
            </w:r>
          </w:p>
        </w:tc>
        <w:tc>
          <w:tcPr>
            <w:tcW w:w="1507" w:type="dxa"/>
            <w:tcBorders>
              <w:top w:val="nil"/>
              <w:left w:val="nil"/>
              <w:bottom w:val="single" w:sz="8" w:space="0" w:color="auto"/>
              <w:right w:val="single" w:sz="8" w:space="0" w:color="auto"/>
            </w:tcBorders>
            <w:shd w:val="clear" w:color="auto" w:fill="auto"/>
            <w:noWrap/>
            <w:vAlign w:val="center"/>
            <w:hideMark/>
          </w:tcPr>
          <w:p w14:paraId="2528F6F6" w14:textId="77777777" w:rsidR="007B3093" w:rsidRDefault="00000000">
            <w:pPr>
              <w:spacing w:after="0" w:line="240" w:lineRule="auto"/>
              <w:jc w:val="center"/>
              <w:rPr>
                <w:rFonts w:ascii="Calibri" w:eastAsia="Times New Roman" w:hAnsi="Calibri" w:cs="Times New Roman"/>
                <w:b/>
                <w:color w:val="000000"/>
                <w:sz w:val="20"/>
                <w:szCs w:val="20"/>
                <w:lang w:eastAsia="es-EC"/>
              </w:rPr>
            </w:pPr>
            <w:r>
              <w:rPr>
                <w:rFonts w:ascii="Calibri" w:eastAsia="Times New Roman" w:hAnsi="Calibri" w:cs="Times New Roman"/>
                <w:b/>
                <w:color w:val="000000"/>
                <w:sz w:val="20"/>
                <w:szCs w:val="20"/>
                <w:lang w:eastAsia="es-EC"/>
              </w:rPr>
              <w:t>861.071,43</w:t>
            </w:r>
          </w:p>
        </w:tc>
        <w:tc>
          <w:tcPr>
            <w:tcW w:w="1198" w:type="dxa"/>
            <w:tcBorders>
              <w:top w:val="nil"/>
              <w:left w:val="nil"/>
              <w:bottom w:val="single" w:sz="8" w:space="0" w:color="auto"/>
              <w:right w:val="single" w:sz="8" w:space="0" w:color="auto"/>
            </w:tcBorders>
            <w:shd w:val="clear" w:color="auto" w:fill="auto"/>
            <w:noWrap/>
            <w:vAlign w:val="center"/>
            <w:hideMark/>
          </w:tcPr>
          <w:p w14:paraId="2F97022D" w14:textId="77777777" w:rsidR="007B3093" w:rsidRDefault="00000000">
            <w:pPr>
              <w:spacing w:after="0" w:line="240" w:lineRule="auto"/>
              <w:jc w:val="center"/>
              <w:rPr>
                <w:rFonts w:ascii="Calibri" w:eastAsia="Times New Roman" w:hAnsi="Calibri" w:cs="Times New Roman"/>
                <w:b/>
                <w:color w:val="000000"/>
                <w:sz w:val="20"/>
                <w:szCs w:val="20"/>
                <w:lang w:eastAsia="es-EC"/>
              </w:rPr>
            </w:pPr>
            <w:r>
              <w:rPr>
                <w:rFonts w:ascii="Calibri" w:eastAsia="Times New Roman" w:hAnsi="Calibri" w:cs="Times New Roman"/>
                <w:b/>
                <w:color w:val="000000"/>
                <w:sz w:val="20"/>
                <w:szCs w:val="20"/>
                <w:lang w:eastAsia="es-EC"/>
              </w:rPr>
              <w:t>103.328,57</w:t>
            </w:r>
          </w:p>
        </w:tc>
        <w:tc>
          <w:tcPr>
            <w:tcW w:w="1360" w:type="dxa"/>
            <w:tcBorders>
              <w:top w:val="nil"/>
              <w:left w:val="nil"/>
              <w:bottom w:val="single" w:sz="8" w:space="0" w:color="auto"/>
              <w:right w:val="single" w:sz="8" w:space="0" w:color="auto"/>
            </w:tcBorders>
            <w:shd w:val="clear" w:color="auto" w:fill="auto"/>
            <w:noWrap/>
            <w:vAlign w:val="center"/>
            <w:hideMark/>
          </w:tcPr>
          <w:p w14:paraId="4F3B44C6" w14:textId="77777777" w:rsidR="007B3093" w:rsidRDefault="00000000">
            <w:pPr>
              <w:spacing w:after="0" w:line="240" w:lineRule="auto"/>
              <w:jc w:val="center"/>
              <w:rPr>
                <w:rFonts w:ascii="Calibri" w:eastAsia="Times New Roman" w:hAnsi="Calibri" w:cs="Times New Roman"/>
                <w:b/>
                <w:color w:val="000000"/>
                <w:sz w:val="20"/>
                <w:szCs w:val="20"/>
                <w:lang w:eastAsia="es-EC"/>
              </w:rPr>
            </w:pPr>
            <w:r>
              <w:rPr>
                <w:rFonts w:ascii="Calibri" w:eastAsia="Times New Roman" w:hAnsi="Calibri" w:cs="Times New Roman"/>
                <w:b/>
                <w:color w:val="000000"/>
                <w:sz w:val="20"/>
                <w:szCs w:val="20"/>
                <w:lang w:eastAsia="es-EC"/>
              </w:rPr>
              <w:t>964.400,00</w:t>
            </w:r>
          </w:p>
        </w:tc>
      </w:tr>
    </w:tbl>
    <w:p w14:paraId="7DA97A21" w14:textId="77777777" w:rsidR="007B3093" w:rsidRDefault="00000000">
      <w:pPr>
        <w:spacing w:before="360" w:after="0" w:line="360" w:lineRule="auto"/>
        <w:contextualSpacing/>
        <w:jc w:val="both"/>
        <w:rPr>
          <w:rFonts w:cstheme="minorHAnsi"/>
          <w:b/>
        </w:rPr>
      </w:pPr>
      <w:r>
        <w:rPr>
          <w:rFonts w:cstheme="minorHAnsi"/>
          <w:b/>
        </w:rPr>
        <w:t>Elaboración: EDG PROFIP PGE</w:t>
      </w:r>
    </w:p>
    <w:p w14:paraId="69BF423E" w14:textId="77777777" w:rsidR="007B3093" w:rsidRDefault="007B3093">
      <w:pPr>
        <w:spacing w:before="360" w:after="0" w:line="360" w:lineRule="auto"/>
        <w:contextualSpacing/>
        <w:jc w:val="both"/>
        <w:rPr>
          <w:rFonts w:cstheme="minorHAnsi"/>
          <w:b/>
        </w:rPr>
      </w:pPr>
    </w:p>
    <w:p w14:paraId="695D20E8" w14:textId="77777777" w:rsidR="007B3093" w:rsidRDefault="007B3093">
      <w:pPr>
        <w:spacing w:before="360" w:after="0" w:line="360" w:lineRule="auto"/>
        <w:contextualSpacing/>
        <w:jc w:val="both"/>
        <w:rPr>
          <w:rFonts w:cstheme="minorHAnsi"/>
          <w:b/>
        </w:rPr>
      </w:pPr>
    </w:p>
    <w:p w14:paraId="34C46310" w14:textId="77777777" w:rsidR="007B3093" w:rsidRDefault="00000000">
      <w:pPr>
        <w:spacing w:after="0" w:line="360" w:lineRule="auto"/>
        <w:contextualSpacing/>
        <w:jc w:val="both"/>
        <w:rPr>
          <w:rFonts w:cstheme="minorHAnsi"/>
          <w:b/>
        </w:rPr>
      </w:pPr>
      <w:r>
        <w:rPr>
          <w:rFonts w:cstheme="minorHAnsi"/>
          <w:b/>
        </w:rPr>
        <w:t>Beneficios</w:t>
      </w:r>
    </w:p>
    <w:p w14:paraId="6D191D2C" w14:textId="77777777" w:rsidR="007B3093" w:rsidRDefault="00000000">
      <w:pPr>
        <w:pStyle w:val="Prrafodelista"/>
        <w:spacing w:before="120" w:after="120" w:line="360" w:lineRule="auto"/>
        <w:ind w:left="142"/>
        <w:contextualSpacing w:val="0"/>
        <w:jc w:val="both"/>
        <w:rPr>
          <w:rFonts w:cstheme="minorHAnsi"/>
        </w:rPr>
      </w:pPr>
      <w:r>
        <w:rPr>
          <w:rFonts w:cstheme="minorHAnsi"/>
        </w:rPr>
        <w:t>Como se mencionó, se ha identificado los beneficios a partir de la disminución de la dilación (duración en tiempo) de los procesos judiciales que representan recursos para el Estado y los individuos, lo que conlleva una reducción en su costo. Para esto se han calculado los tiempos de los procesos internos que se desarrollan para la atención de casos ingresados en la PGE. De esta manera los casos atendidos se dividen en: hojas de ruta, boletas y citaciones. En la Tabla No. 24 se muestran los tiempos promedio anuales (2016-2025) y número de trámites de los procesos de la gestión interna hasta 2023, la base de 2024 y 2025 se proyecta en función de los casos a 2023, se considera para 2025 medio año.</w:t>
      </w:r>
    </w:p>
    <w:p w14:paraId="7781224F" w14:textId="77777777" w:rsidR="007B3093" w:rsidRDefault="00000000">
      <w:pPr>
        <w:spacing w:after="0" w:line="360" w:lineRule="auto"/>
        <w:contextualSpacing/>
        <w:jc w:val="center"/>
        <w:rPr>
          <w:rFonts w:cstheme="minorHAnsi"/>
          <w:b/>
        </w:rPr>
      </w:pPr>
      <w:r>
        <w:rPr>
          <w:rFonts w:cstheme="minorHAnsi"/>
          <w:b/>
        </w:rPr>
        <w:t>Tabla 33: Tiempos promedio anuales y número de trámites.</w:t>
      </w:r>
    </w:p>
    <w:tbl>
      <w:tblPr>
        <w:tblW w:w="6903" w:type="dxa"/>
        <w:jc w:val="center"/>
        <w:tblCellMar>
          <w:left w:w="70" w:type="dxa"/>
          <w:right w:w="70" w:type="dxa"/>
        </w:tblCellMar>
        <w:tblLook w:val="04A0" w:firstRow="1" w:lastRow="0" w:firstColumn="1" w:lastColumn="0" w:noHBand="0" w:noVBand="1"/>
      </w:tblPr>
      <w:tblGrid>
        <w:gridCol w:w="6903"/>
      </w:tblGrid>
      <w:tr w:rsidR="007B3093" w14:paraId="0563B9A1" w14:textId="77777777">
        <w:trPr>
          <w:trHeight w:val="300"/>
          <w:jc w:val="center"/>
        </w:trPr>
        <w:tc>
          <w:tcPr>
            <w:tcW w:w="6903" w:type="dxa"/>
            <w:tcBorders>
              <w:top w:val="nil"/>
              <w:left w:val="nil"/>
              <w:bottom w:val="nil"/>
              <w:right w:val="nil"/>
            </w:tcBorders>
            <w:shd w:val="clear" w:color="auto" w:fill="auto"/>
            <w:noWrap/>
            <w:vAlign w:val="bottom"/>
            <w:hideMark/>
          </w:tcPr>
          <w:tbl>
            <w:tblPr>
              <w:tblpPr w:leftFromText="180" w:rightFromText="180" w:vertAnchor="text" w:horzAnchor="margin" w:tblpY="-274"/>
              <w:tblOverlap w:val="never"/>
              <w:tblW w:w="6341" w:type="dxa"/>
              <w:tblLook w:val="04A0" w:firstRow="1" w:lastRow="0" w:firstColumn="1" w:lastColumn="0" w:noHBand="0" w:noVBand="1"/>
            </w:tblPr>
            <w:tblGrid>
              <w:gridCol w:w="1687"/>
              <w:gridCol w:w="1595"/>
              <w:gridCol w:w="1447"/>
              <w:gridCol w:w="1612"/>
            </w:tblGrid>
            <w:tr w:rsidR="007B3093" w14:paraId="28ADFFBD" w14:textId="77777777">
              <w:trPr>
                <w:trHeight w:val="294"/>
              </w:trPr>
              <w:tc>
                <w:tcPr>
                  <w:tcW w:w="63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E1E52" w14:textId="77777777" w:rsidR="007B3093" w:rsidRDefault="00000000">
                  <w:pPr>
                    <w:spacing w:after="0" w:line="240" w:lineRule="auto"/>
                    <w:jc w:val="center"/>
                    <w:rPr>
                      <w:rFonts w:ascii="Calibri" w:eastAsia="Times New Roman" w:hAnsi="Calibri" w:cs="Calibri"/>
                      <w:b/>
                      <w:bCs/>
                      <w:color w:val="000000"/>
                      <w:lang w:val="es-MX"/>
                    </w:rPr>
                  </w:pPr>
                  <w:r>
                    <w:rPr>
                      <w:rFonts w:ascii="Calibri" w:eastAsia="Times New Roman" w:hAnsi="Calibri" w:cs="Calibri"/>
                      <w:b/>
                      <w:bCs/>
                      <w:color w:val="000000"/>
                      <w:lang w:val="es-MX"/>
                    </w:rPr>
                    <w:t>Tiempo en días: trámite atendido</w:t>
                  </w:r>
                </w:p>
              </w:tc>
            </w:tr>
            <w:tr w:rsidR="007B3093" w14:paraId="6D409B67" w14:textId="77777777">
              <w:trPr>
                <w:trHeight w:val="882"/>
              </w:trPr>
              <w:tc>
                <w:tcPr>
                  <w:tcW w:w="1687" w:type="dxa"/>
                  <w:tcBorders>
                    <w:top w:val="nil"/>
                    <w:left w:val="single" w:sz="4" w:space="0" w:color="auto"/>
                    <w:bottom w:val="single" w:sz="4" w:space="0" w:color="auto"/>
                    <w:right w:val="single" w:sz="4" w:space="0" w:color="auto"/>
                  </w:tcBorders>
                  <w:shd w:val="clear" w:color="auto" w:fill="auto"/>
                  <w:vAlign w:val="center"/>
                  <w:hideMark/>
                </w:tcPr>
                <w:p w14:paraId="3638C83B" w14:textId="77777777" w:rsidR="007B3093" w:rsidRDefault="00000000">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AÑOS</w:t>
                  </w:r>
                </w:p>
              </w:tc>
              <w:tc>
                <w:tcPr>
                  <w:tcW w:w="1595" w:type="dxa"/>
                  <w:tcBorders>
                    <w:top w:val="nil"/>
                    <w:left w:val="nil"/>
                    <w:bottom w:val="single" w:sz="4" w:space="0" w:color="auto"/>
                    <w:right w:val="single" w:sz="4" w:space="0" w:color="auto"/>
                  </w:tcBorders>
                  <w:shd w:val="clear" w:color="auto" w:fill="auto"/>
                  <w:vAlign w:val="center"/>
                  <w:hideMark/>
                </w:tcPr>
                <w:p w14:paraId="3B665FB8" w14:textId="77777777" w:rsidR="007B3093" w:rsidRDefault="00000000">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 xml:space="preserve">PROCESO: HOJAS DE </w:t>
                  </w:r>
                  <w:proofErr w:type="gramStart"/>
                  <w:r>
                    <w:rPr>
                      <w:rFonts w:ascii="Calibri" w:eastAsia="Times New Roman" w:hAnsi="Calibri" w:cs="Calibri"/>
                      <w:b/>
                      <w:bCs/>
                      <w:color w:val="000000"/>
                      <w:lang w:val="en-US"/>
                    </w:rPr>
                    <w:t>RUTA (#</w:t>
                  </w:r>
                  <w:proofErr w:type="gramEnd"/>
                  <w:r>
                    <w:rPr>
                      <w:rFonts w:ascii="Calibri" w:eastAsia="Times New Roman" w:hAnsi="Calibri" w:cs="Calibri"/>
                      <w:b/>
                      <w:bCs/>
                      <w:color w:val="000000"/>
                      <w:lang w:val="en-US"/>
                    </w:rPr>
                    <w:t>)</w:t>
                  </w:r>
                </w:p>
              </w:tc>
              <w:tc>
                <w:tcPr>
                  <w:tcW w:w="1447" w:type="dxa"/>
                  <w:tcBorders>
                    <w:top w:val="nil"/>
                    <w:left w:val="nil"/>
                    <w:bottom w:val="single" w:sz="4" w:space="0" w:color="auto"/>
                    <w:right w:val="single" w:sz="4" w:space="0" w:color="auto"/>
                  </w:tcBorders>
                  <w:shd w:val="clear" w:color="auto" w:fill="auto"/>
                  <w:vAlign w:val="center"/>
                  <w:hideMark/>
                </w:tcPr>
                <w:p w14:paraId="6172D8FA" w14:textId="77777777" w:rsidR="007B3093" w:rsidRDefault="00000000">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TIEMPO PROMEDIO (días)</w:t>
                  </w:r>
                </w:p>
              </w:tc>
              <w:tc>
                <w:tcPr>
                  <w:tcW w:w="1612" w:type="dxa"/>
                  <w:tcBorders>
                    <w:top w:val="nil"/>
                    <w:left w:val="nil"/>
                    <w:bottom w:val="single" w:sz="4" w:space="0" w:color="auto"/>
                    <w:right w:val="single" w:sz="4" w:space="0" w:color="auto"/>
                  </w:tcBorders>
                  <w:shd w:val="clear" w:color="auto" w:fill="auto"/>
                  <w:vAlign w:val="center"/>
                  <w:hideMark/>
                </w:tcPr>
                <w:p w14:paraId="0DFAE56F" w14:textId="77777777" w:rsidR="007B3093" w:rsidRDefault="00000000">
                  <w:pPr>
                    <w:spacing w:after="0" w:line="240" w:lineRule="auto"/>
                    <w:jc w:val="center"/>
                    <w:rPr>
                      <w:rFonts w:ascii="Calibri" w:eastAsia="Times New Roman" w:hAnsi="Calibri" w:cs="Calibri"/>
                      <w:b/>
                      <w:bCs/>
                      <w:color w:val="000000"/>
                      <w:lang w:val="en-US"/>
                    </w:rPr>
                  </w:pPr>
                  <w:proofErr w:type="spellStart"/>
                  <w:r>
                    <w:rPr>
                      <w:rFonts w:ascii="Calibri" w:eastAsia="Times New Roman" w:hAnsi="Calibri" w:cs="Calibri"/>
                      <w:b/>
                      <w:bCs/>
                      <w:color w:val="000000"/>
                      <w:lang w:val="en-US"/>
                    </w:rPr>
                    <w:t>Cálculo</w:t>
                  </w:r>
                  <w:proofErr w:type="spellEnd"/>
                  <w:r>
                    <w:rPr>
                      <w:rFonts w:ascii="Calibri" w:eastAsia="Times New Roman" w:hAnsi="Calibri" w:cs="Calibri"/>
                      <w:b/>
                      <w:bCs/>
                      <w:color w:val="000000"/>
                      <w:lang w:val="en-US"/>
                    </w:rPr>
                    <w:t xml:space="preserve"> Días </w:t>
                  </w:r>
                  <w:proofErr w:type="spellStart"/>
                  <w:r>
                    <w:rPr>
                      <w:rFonts w:ascii="Calibri" w:eastAsia="Times New Roman" w:hAnsi="Calibri" w:cs="Calibri"/>
                      <w:b/>
                      <w:bCs/>
                      <w:color w:val="000000"/>
                      <w:lang w:val="en-US"/>
                    </w:rPr>
                    <w:t>Promedio</w:t>
                  </w:r>
                  <w:proofErr w:type="spellEnd"/>
                </w:p>
              </w:tc>
            </w:tr>
            <w:tr w:rsidR="007B3093" w14:paraId="5A937C43"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296B494"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2016</w:t>
                  </w:r>
                </w:p>
              </w:tc>
              <w:tc>
                <w:tcPr>
                  <w:tcW w:w="1595" w:type="dxa"/>
                  <w:tcBorders>
                    <w:top w:val="nil"/>
                    <w:left w:val="nil"/>
                    <w:bottom w:val="single" w:sz="4" w:space="0" w:color="auto"/>
                    <w:right w:val="single" w:sz="4" w:space="0" w:color="auto"/>
                  </w:tcBorders>
                  <w:shd w:val="clear" w:color="auto" w:fill="auto"/>
                  <w:noWrap/>
                  <w:vAlign w:val="bottom"/>
                  <w:hideMark/>
                </w:tcPr>
                <w:p w14:paraId="4A9A7CD6"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2.043,00 </w:t>
                  </w:r>
                </w:p>
              </w:tc>
              <w:tc>
                <w:tcPr>
                  <w:tcW w:w="1447" w:type="dxa"/>
                  <w:tcBorders>
                    <w:top w:val="nil"/>
                    <w:left w:val="nil"/>
                    <w:bottom w:val="single" w:sz="4" w:space="0" w:color="auto"/>
                    <w:right w:val="single" w:sz="4" w:space="0" w:color="auto"/>
                  </w:tcBorders>
                  <w:shd w:val="clear" w:color="auto" w:fill="auto"/>
                  <w:noWrap/>
                  <w:vAlign w:val="bottom"/>
                  <w:hideMark/>
                </w:tcPr>
                <w:p w14:paraId="23B40D3D"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11,06</w:t>
                  </w:r>
                </w:p>
              </w:tc>
              <w:tc>
                <w:tcPr>
                  <w:tcW w:w="1612" w:type="dxa"/>
                  <w:tcBorders>
                    <w:top w:val="nil"/>
                    <w:left w:val="nil"/>
                    <w:bottom w:val="single" w:sz="4" w:space="0" w:color="auto"/>
                    <w:right w:val="single" w:sz="4" w:space="0" w:color="auto"/>
                  </w:tcBorders>
                  <w:shd w:val="clear" w:color="auto" w:fill="auto"/>
                  <w:noWrap/>
                  <w:vAlign w:val="bottom"/>
                  <w:hideMark/>
                </w:tcPr>
                <w:p w14:paraId="4D6C9B6D"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22.595,58 </w:t>
                  </w:r>
                </w:p>
              </w:tc>
            </w:tr>
            <w:tr w:rsidR="007B3093" w14:paraId="354CAE8E"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713041C"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2017</w:t>
                  </w:r>
                </w:p>
              </w:tc>
              <w:tc>
                <w:tcPr>
                  <w:tcW w:w="1595" w:type="dxa"/>
                  <w:tcBorders>
                    <w:top w:val="nil"/>
                    <w:left w:val="nil"/>
                    <w:bottom w:val="single" w:sz="4" w:space="0" w:color="auto"/>
                    <w:right w:val="single" w:sz="4" w:space="0" w:color="auto"/>
                  </w:tcBorders>
                  <w:shd w:val="clear" w:color="auto" w:fill="auto"/>
                  <w:noWrap/>
                  <w:vAlign w:val="bottom"/>
                  <w:hideMark/>
                </w:tcPr>
                <w:p w14:paraId="5F9183FB"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1.521,00 </w:t>
                  </w:r>
                </w:p>
              </w:tc>
              <w:tc>
                <w:tcPr>
                  <w:tcW w:w="1447" w:type="dxa"/>
                  <w:tcBorders>
                    <w:top w:val="nil"/>
                    <w:left w:val="nil"/>
                    <w:bottom w:val="single" w:sz="4" w:space="0" w:color="auto"/>
                    <w:right w:val="single" w:sz="4" w:space="0" w:color="auto"/>
                  </w:tcBorders>
                  <w:shd w:val="clear" w:color="auto" w:fill="auto"/>
                  <w:noWrap/>
                  <w:vAlign w:val="bottom"/>
                  <w:hideMark/>
                </w:tcPr>
                <w:p w14:paraId="6C811DE8"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22,72</w:t>
                  </w:r>
                </w:p>
              </w:tc>
              <w:tc>
                <w:tcPr>
                  <w:tcW w:w="1612" w:type="dxa"/>
                  <w:tcBorders>
                    <w:top w:val="nil"/>
                    <w:left w:val="nil"/>
                    <w:bottom w:val="single" w:sz="4" w:space="0" w:color="auto"/>
                    <w:right w:val="single" w:sz="4" w:space="0" w:color="auto"/>
                  </w:tcBorders>
                  <w:shd w:val="clear" w:color="auto" w:fill="auto"/>
                  <w:noWrap/>
                  <w:vAlign w:val="bottom"/>
                  <w:hideMark/>
                </w:tcPr>
                <w:p w14:paraId="30653270"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34.557,12 </w:t>
                  </w:r>
                </w:p>
              </w:tc>
            </w:tr>
            <w:tr w:rsidR="007B3093" w14:paraId="46A1E769"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59D15C72"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2018</w:t>
                  </w:r>
                </w:p>
              </w:tc>
              <w:tc>
                <w:tcPr>
                  <w:tcW w:w="1595" w:type="dxa"/>
                  <w:tcBorders>
                    <w:top w:val="nil"/>
                    <w:left w:val="nil"/>
                    <w:bottom w:val="single" w:sz="4" w:space="0" w:color="auto"/>
                    <w:right w:val="single" w:sz="4" w:space="0" w:color="auto"/>
                  </w:tcBorders>
                  <w:shd w:val="clear" w:color="auto" w:fill="auto"/>
                  <w:noWrap/>
                  <w:vAlign w:val="bottom"/>
                  <w:hideMark/>
                </w:tcPr>
                <w:p w14:paraId="4FD4599B"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1.766,00 </w:t>
                  </w:r>
                </w:p>
              </w:tc>
              <w:tc>
                <w:tcPr>
                  <w:tcW w:w="1447" w:type="dxa"/>
                  <w:tcBorders>
                    <w:top w:val="nil"/>
                    <w:left w:val="nil"/>
                    <w:bottom w:val="single" w:sz="4" w:space="0" w:color="auto"/>
                    <w:right w:val="single" w:sz="4" w:space="0" w:color="auto"/>
                  </w:tcBorders>
                  <w:shd w:val="clear" w:color="auto" w:fill="auto"/>
                  <w:noWrap/>
                  <w:vAlign w:val="bottom"/>
                  <w:hideMark/>
                </w:tcPr>
                <w:p w14:paraId="207E6122"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14,12</w:t>
                  </w:r>
                </w:p>
              </w:tc>
              <w:tc>
                <w:tcPr>
                  <w:tcW w:w="1612" w:type="dxa"/>
                  <w:tcBorders>
                    <w:top w:val="nil"/>
                    <w:left w:val="nil"/>
                    <w:bottom w:val="single" w:sz="4" w:space="0" w:color="auto"/>
                    <w:right w:val="single" w:sz="4" w:space="0" w:color="auto"/>
                  </w:tcBorders>
                  <w:shd w:val="clear" w:color="auto" w:fill="auto"/>
                  <w:noWrap/>
                  <w:vAlign w:val="bottom"/>
                  <w:hideMark/>
                </w:tcPr>
                <w:p w14:paraId="2B611651"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24.935,92 </w:t>
                  </w:r>
                </w:p>
              </w:tc>
            </w:tr>
            <w:tr w:rsidR="007B3093" w14:paraId="503440C0"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4C3773A5"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TOTAL</w:t>
                  </w:r>
                </w:p>
              </w:tc>
              <w:tc>
                <w:tcPr>
                  <w:tcW w:w="1595" w:type="dxa"/>
                  <w:tcBorders>
                    <w:top w:val="nil"/>
                    <w:left w:val="nil"/>
                    <w:bottom w:val="single" w:sz="4" w:space="0" w:color="auto"/>
                    <w:right w:val="single" w:sz="4" w:space="0" w:color="auto"/>
                  </w:tcBorders>
                  <w:shd w:val="clear" w:color="auto" w:fill="auto"/>
                  <w:noWrap/>
                  <w:vAlign w:val="bottom"/>
                  <w:hideMark/>
                </w:tcPr>
                <w:p w14:paraId="065C6C3E"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5.330,00 </w:t>
                  </w:r>
                </w:p>
              </w:tc>
              <w:tc>
                <w:tcPr>
                  <w:tcW w:w="1447" w:type="dxa"/>
                  <w:tcBorders>
                    <w:top w:val="nil"/>
                    <w:left w:val="nil"/>
                    <w:bottom w:val="single" w:sz="4" w:space="0" w:color="auto"/>
                    <w:right w:val="single" w:sz="4" w:space="0" w:color="auto"/>
                  </w:tcBorders>
                  <w:shd w:val="clear" w:color="auto" w:fill="auto"/>
                  <w:noWrap/>
                  <w:vAlign w:val="bottom"/>
                  <w:hideMark/>
                </w:tcPr>
                <w:p w14:paraId="22B13E33"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w:t>
                  </w:r>
                </w:p>
              </w:tc>
              <w:tc>
                <w:tcPr>
                  <w:tcW w:w="1612" w:type="dxa"/>
                  <w:tcBorders>
                    <w:top w:val="nil"/>
                    <w:left w:val="nil"/>
                    <w:bottom w:val="single" w:sz="4" w:space="0" w:color="auto"/>
                    <w:right w:val="single" w:sz="4" w:space="0" w:color="auto"/>
                  </w:tcBorders>
                  <w:shd w:val="clear" w:color="auto" w:fill="auto"/>
                  <w:noWrap/>
                  <w:vAlign w:val="bottom"/>
                  <w:hideMark/>
                </w:tcPr>
                <w:p w14:paraId="04ABDC6F"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82.088,62 </w:t>
                  </w:r>
                </w:p>
              </w:tc>
            </w:tr>
            <w:tr w:rsidR="007B3093" w14:paraId="3D170CDD"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7FA4E8F4"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PROMEDIO</w:t>
                  </w:r>
                </w:p>
              </w:tc>
              <w:tc>
                <w:tcPr>
                  <w:tcW w:w="1595" w:type="dxa"/>
                  <w:tcBorders>
                    <w:top w:val="nil"/>
                    <w:left w:val="nil"/>
                    <w:bottom w:val="single" w:sz="4" w:space="0" w:color="auto"/>
                    <w:right w:val="single" w:sz="4" w:space="0" w:color="auto"/>
                  </w:tcBorders>
                  <w:shd w:val="clear" w:color="auto" w:fill="auto"/>
                  <w:noWrap/>
                  <w:vAlign w:val="bottom"/>
                  <w:hideMark/>
                </w:tcPr>
                <w:p w14:paraId="7489C55C"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1.776,67 </w:t>
                  </w:r>
                </w:p>
              </w:tc>
              <w:tc>
                <w:tcPr>
                  <w:tcW w:w="1447" w:type="dxa"/>
                  <w:tcBorders>
                    <w:top w:val="nil"/>
                    <w:left w:val="nil"/>
                    <w:bottom w:val="single" w:sz="4" w:space="0" w:color="auto"/>
                    <w:right w:val="single" w:sz="4" w:space="0" w:color="auto"/>
                  </w:tcBorders>
                  <w:shd w:val="clear" w:color="auto" w:fill="auto"/>
                  <w:noWrap/>
                  <w:vAlign w:val="bottom"/>
                  <w:hideMark/>
                </w:tcPr>
                <w:p w14:paraId="646549D7"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15,40 </w:t>
                  </w:r>
                </w:p>
              </w:tc>
              <w:tc>
                <w:tcPr>
                  <w:tcW w:w="1612" w:type="dxa"/>
                  <w:tcBorders>
                    <w:top w:val="nil"/>
                    <w:left w:val="nil"/>
                    <w:bottom w:val="single" w:sz="4" w:space="0" w:color="auto"/>
                    <w:right w:val="single" w:sz="4" w:space="0" w:color="auto"/>
                  </w:tcBorders>
                  <w:shd w:val="clear" w:color="auto" w:fill="auto"/>
                  <w:noWrap/>
                  <w:vAlign w:val="bottom"/>
                  <w:hideMark/>
                </w:tcPr>
                <w:p w14:paraId="1CCE9AD8"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w:t>
                  </w:r>
                </w:p>
              </w:tc>
            </w:tr>
            <w:tr w:rsidR="007B3093" w14:paraId="1A956DEA" w14:textId="77777777">
              <w:trPr>
                <w:trHeight w:val="294"/>
              </w:trPr>
              <w:tc>
                <w:tcPr>
                  <w:tcW w:w="1687" w:type="dxa"/>
                  <w:tcBorders>
                    <w:top w:val="nil"/>
                    <w:left w:val="nil"/>
                    <w:bottom w:val="nil"/>
                    <w:right w:val="nil"/>
                  </w:tcBorders>
                  <w:shd w:val="clear" w:color="auto" w:fill="auto"/>
                  <w:noWrap/>
                  <w:vAlign w:val="bottom"/>
                  <w:hideMark/>
                </w:tcPr>
                <w:p w14:paraId="38553D32" w14:textId="77777777" w:rsidR="007B3093" w:rsidRDefault="007B3093">
                  <w:pPr>
                    <w:spacing w:after="0" w:line="240" w:lineRule="auto"/>
                    <w:rPr>
                      <w:rFonts w:ascii="Calibri" w:eastAsia="Times New Roman" w:hAnsi="Calibri" w:cs="Calibri"/>
                      <w:color w:val="000000"/>
                      <w:lang w:val="en-US"/>
                    </w:rPr>
                  </w:pPr>
                </w:p>
              </w:tc>
              <w:tc>
                <w:tcPr>
                  <w:tcW w:w="1595" w:type="dxa"/>
                  <w:tcBorders>
                    <w:top w:val="nil"/>
                    <w:left w:val="nil"/>
                    <w:bottom w:val="nil"/>
                    <w:right w:val="nil"/>
                  </w:tcBorders>
                  <w:shd w:val="clear" w:color="auto" w:fill="auto"/>
                  <w:noWrap/>
                  <w:vAlign w:val="bottom"/>
                  <w:hideMark/>
                </w:tcPr>
                <w:p w14:paraId="391988DF" w14:textId="77777777" w:rsidR="007B3093" w:rsidRDefault="007B3093">
                  <w:pPr>
                    <w:spacing w:after="0" w:line="240" w:lineRule="auto"/>
                    <w:rPr>
                      <w:rFonts w:ascii="Times New Roman" w:eastAsia="Times New Roman" w:hAnsi="Times New Roman" w:cs="Times New Roman"/>
                      <w:sz w:val="20"/>
                      <w:szCs w:val="20"/>
                      <w:lang w:val="en-US"/>
                    </w:rPr>
                  </w:pPr>
                </w:p>
              </w:tc>
              <w:tc>
                <w:tcPr>
                  <w:tcW w:w="1447" w:type="dxa"/>
                  <w:tcBorders>
                    <w:top w:val="nil"/>
                    <w:left w:val="nil"/>
                    <w:bottom w:val="nil"/>
                    <w:right w:val="nil"/>
                  </w:tcBorders>
                  <w:shd w:val="clear" w:color="auto" w:fill="auto"/>
                  <w:noWrap/>
                  <w:vAlign w:val="bottom"/>
                  <w:hideMark/>
                </w:tcPr>
                <w:p w14:paraId="23A4A775" w14:textId="77777777" w:rsidR="007B3093" w:rsidRDefault="007B3093">
                  <w:pPr>
                    <w:spacing w:after="0" w:line="240" w:lineRule="auto"/>
                    <w:rPr>
                      <w:rFonts w:ascii="Times New Roman" w:eastAsia="Times New Roman" w:hAnsi="Times New Roman" w:cs="Times New Roman"/>
                      <w:sz w:val="20"/>
                      <w:szCs w:val="20"/>
                      <w:lang w:val="en-US"/>
                    </w:rPr>
                  </w:pPr>
                </w:p>
              </w:tc>
              <w:tc>
                <w:tcPr>
                  <w:tcW w:w="1612" w:type="dxa"/>
                  <w:tcBorders>
                    <w:top w:val="nil"/>
                    <w:left w:val="nil"/>
                    <w:bottom w:val="nil"/>
                    <w:right w:val="nil"/>
                  </w:tcBorders>
                  <w:shd w:val="clear" w:color="auto" w:fill="auto"/>
                  <w:noWrap/>
                  <w:vAlign w:val="bottom"/>
                  <w:hideMark/>
                </w:tcPr>
                <w:p w14:paraId="7EB9022D" w14:textId="77777777" w:rsidR="007B3093" w:rsidRDefault="007B3093">
                  <w:pPr>
                    <w:spacing w:after="0" w:line="240" w:lineRule="auto"/>
                    <w:rPr>
                      <w:rFonts w:ascii="Times New Roman" w:eastAsia="Times New Roman" w:hAnsi="Times New Roman" w:cs="Times New Roman"/>
                      <w:sz w:val="20"/>
                      <w:szCs w:val="20"/>
                      <w:lang w:val="en-US"/>
                    </w:rPr>
                  </w:pPr>
                </w:p>
              </w:tc>
            </w:tr>
            <w:tr w:rsidR="007B3093" w14:paraId="5901D631" w14:textId="77777777">
              <w:trPr>
                <w:trHeight w:val="882"/>
              </w:trPr>
              <w:tc>
                <w:tcPr>
                  <w:tcW w:w="16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A65D55"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AÑOS</w:t>
                  </w:r>
                </w:p>
              </w:tc>
              <w:tc>
                <w:tcPr>
                  <w:tcW w:w="1595" w:type="dxa"/>
                  <w:tcBorders>
                    <w:top w:val="single" w:sz="4" w:space="0" w:color="auto"/>
                    <w:left w:val="nil"/>
                    <w:bottom w:val="single" w:sz="4" w:space="0" w:color="auto"/>
                    <w:right w:val="single" w:sz="4" w:space="0" w:color="auto"/>
                  </w:tcBorders>
                  <w:shd w:val="clear" w:color="auto" w:fill="auto"/>
                  <w:vAlign w:val="bottom"/>
                  <w:hideMark/>
                </w:tcPr>
                <w:p w14:paraId="16576FFB"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PROCESO: </w:t>
                  </w:r>
                  <w:proofErr w:type="gramStart"/>
                  <w:r>
                    <w:rPr>
                      <w:rFonts w:ascii="Calibri" w:eastAsia="Times New Roman" w:hAnsi="Calibri" w:cs="Calibri"/>
                      <w:b/>
                      <w:bCs/>
                      <w:color w:val="000000"/>
                      <w:lang w:val="en-US"/>
                    </w:rPr>
                    <w:t>BOLETAS (#</w:t>
                  </w:r>
                  <w:proofErr w:type="gramEnd"/>
                  <w:r>
                    <w:rPr>
                      <w:rFonts w:ascii="Calibri" w:eastAsia="Times New Roman" w:hAnsi="Calibri" w:cs="Calibri"/>
                      <w:b/>
                      <w:bCs/>
                      <w:color w:val="000000"/>
                      <w:lang w:val="en-US"/>
                    </w:rPr>
                    <w:t>)</w:t>
                  </w:r>
                </w:p>
              </w:tc>
              <w:tc>
                <w:tcPr>
                  <w:tcW w:w="1447" w:type="dxa"/>
                  <w:tcBorders>
                    <w:top w:val="single" w:sz="4" w:space="0" w:color="auto"/>
                    <w:left w:val="nil"/>
                    <w:bottom w:val="single" w:sz="4" w:space="0" w:color="auto"/>
                    <w:right w:val="single" w:sz="4" w:space="0" w:color="auto"/>
                  </w:tcBorders>
                  <w:shd w:val="clear" w:color="auto" w:fill="auto"/>
                  <w:vAlign w:val="bottom"/>
                  <w:hideMark/>
                </w:tcPr>
                <w:p w14:paraId="336FAB74"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TIEMPO PROMEDIO (días)</w:t>
                  </w:r>
                </w:p>
              </w:tc>
              <w:tc>
                <w:tcPr>
                  <w:tcW w:w="1612" w:type="dxa"/>
                  <w:tcBorders>
                    <w:top w:val="single" w:sz="4" w:space="0" w:color="auto"/>
                    <w:left w:val="nil"/>
                    <w:bottom w:val="single" w:sz="4" w:space="0" w:color="auto"/>
                    <w:right w:val="single" w:sz="4" w:space="0" w:color="auto"/>
                  </w:tcBorders>
                  <w:shd w:val="clear" w:color="auto" w:fill="auto"/>
                  <w:vAlign w:val="bottom"/>
                  <w:hideMark/>
                </w:tcPr>
                <w:p w14:paraId="5E114E9D" w14:textId="77777777" w:rsidR="007B3093" w:rsidRDefault="00000000">
                  <w:pPr>
                    <w:spacing w:after="0" w:line="240" w:lineRule="auto"/>
                    <w:rPr>
                      <w:rFonts w:ascii="Calibri" w:eastAsia="Times New Roman" w:hAnsi="Calibri" w:cs="Calibri"/>
                      <w:b/>
                      <w:bCs/>
                      <w:color w:val="000000"/>
                      <w:lang w:val="en-US"/>
                    </w:rPr>
                  </w:pPr>
                  <w:proofErr w:type="spellStart"/>
                  <w:r>
                    <w:rPr>
                      <w:rFonts w:ascii="Calibri" w:eastAsia="Times New Roman" w:hAnsi="Calibri" w:cs="Calibri"/>
                      <w:b/>
                      <w:bCs/>
                      <w:color w:val="000000"/>
                      <w:lang w:val="en-US"/>
                    </w:rPr>
                    <w:t>Cálculo</w:t>
                  </w:r>
                  <w:proofErr w:type="spellEnd"/>
                  <w:r>
                    <w:rPr>
                      <w:rFonts w:ascii="Calibri" w:eastAsia="Times New Roman" w:hAnsi="Calibri" w:cs="Calibri"/>
                      <w:b/>
                      <w:bCs/>
                      <w:color w:val="000000"/>
                      <w:lang w:val="en-US"/>
                    </w:rPr>
                    <w:t xml:space="preserve"> Días </w:t>
                  </w:r>
                  <w:proofErr w:type="spellStart"/>
                  <w:r>
                    <w:rPr>
                      <w:rFonts w:ascii="Calibri" w:eastAsia="Times New Roman" w:hAnsi="Calibri" w:cs="Calibri"/>
                      <w:b/>
                      <w:bCs/>
                      <w:color w:val="000000"/>
                      <w:lang w:val="en-US"/>
                    </w:rPr>
                    <w:t>Promedio</w:t>
                  </w:r>
                  <w:proofErr w:type="spellEnd"/>
                </w:p>
              </w:tc>
            </w:tr>
            <w:tr w:rsidR="007B3093" w14:paraId="69780145"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36830AFD"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2016</w:t>
                  </w:r>
                </w:p>
              </w:tc>
              <w:tc>
                <w:tcPr>
                  <w:tcW w:w="1595" w:type="dxa"/>
                  <w:tcBorders>
                    <w:top w:val="nil"/>
                    <w:left w:val="nil"/>
                    <w:bottom w:val="single" w:sz="4" w:space="0" w:color="auto"/>
                    <w:right w:val="single" w:sz="4" w:space="0" w:color="auto"/>
                  </w:tcBorders>
                  <w:shd w:val="clear" w:color="auto" w:fill="auto"/>
                  <w:noWrap/>
                  <w:vAlign w:val="bottom"/>
                  <w:hideMark/>
                </w:tcPr>
                <w:p w14:paraId="5C49690B"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66.370,00 </w:t>
                  </w:r>
                </w:p>
              </w:tc>
              <w:tc>
                <w:tcPr>
                  <w:tcW w:w="1447" w:type="dxa"/>
                  <w:tcBorders>
                    <w:top w:val="nil"/>
                    <w:left w:val="nil"/>
                    <w:bottom w:val="single" w:sz="4" w:space="0" w:color="auto"/>
                    <w:right w:val="single" w:sz="4" w:space="0" w:color="auto"/>
                  </w:tcBorders>
                  <w:shd w:val="clear" w:color="auto" w:fill="auto"/>
                  <w:noWrap/>
                  <w:vAlign w:val="bottom"/>
                  <w:hideMark/>
                </w:tcPr>
                <w:p w14:paraId="074FC2BC"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3,41</w:t>
                  </w:r>
                </w:p>
              </w:tc>
              <w:tc>
                <w:tcPr>
                  <w:tcW w:w="1612" w:type="dxa"/>
                  <w:tcBorders>
                    <w:top w:val="nil"/>
                    <w:left w:val="nil"/>
                    <w:bottom w:val="single" w:sz="4" w:space="0" w:color="auto"/>
                    <w:right w:val="single" w:sz="4" w:space="0" w:color="auto"/>
                  </w:tcBorders>
                  <w:shd w:val="clear" w:color="auto" w:fill="auto"/>
                  <w:noWrap/>
                  <w:vAlign w:val="bottom"/>
                  <w:hideMark/>
                </w:tcPr>
                <w:p w14:paraId="19EE63D1"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226.321,70 </w:t>
                  </w:r>
                </w:p>
              </w:tc>
            </w:tr>
            <w:tr w:rsidR="007B3093" w14:paraId="35C54148"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3BD5A4AF"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2017</w:t>
                  </w:r>
                </w:p>
              </w:tc>
              <w:tc>
                <w:tcPr>
                  <w:tcW w:w="1595" w:type="dxa"/>
                  <w:tcBorders>
                    <w:top w:val="nil"/>
                    <w:left w:val="nil"/>
                    <w:bottom w:val="single" w:sz="4" w:space="0" w:color="auto"/>
                    <w:right w:val="single" w:sz="4" w:space="0" w:color="auto"/>
                  </w:tcBorders>
                  <w:shd w:val="clear" w:color="auto" w:fill="auto"/>
                  <w:noWrap/>
                  <w:vAlign w:val="bottom"/>
                  <w:hideMark/>
                </w:tcPr>
                <w:p w14:paraId="0E1BA7A4"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65.271,00 </w:t>
                  </w:r>
                </w:p>
              </w:tc>
              <w:tc>
                <w:tcPr>
                  <w:tcW w:w="1447" w:type="dxa"/>
                  <w:tcBorders>
                    <w:top w:val="nil"/>
                    <w:left w:val="nil"/>
                    <w:bottom w:val="single" w:sz="4" w:space="0" w:color="auto"/>
                    <w:right w:val="single" w:sz="4" w:space="0" w:color="auto"/>
                  </w:tcBorders>
                  <w:shd w:val="clear" w:color="auto" w:fill="auto"/>
                  <w:noWrap/>
                  <w:vAlign w:val="bottom"/>
                  <w:hideMark/>
                </w:tcPr>
                <w:p w14:paraId="55FAFECA"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7,38</w:t>
                  </w:r>
                </w:p>
              </w:tc>
              <w:tc>
                <w:tcPr>
                  <w:tcW w:w="1612" w:type="dxa"/>
                  <w:tcBorders>
                    <w:top w:val="nil"/>
                    <w:left w:val="nil"/>
                    <w:bottom w:val="single" w:sz="4" w:space="0" w:color="auto"/>
                    <w:right w:val="single" w:sz="4" w:space="0" w:color="auto"/>
                  </w:tcBorders>
                  <w:shd w:val="clear" w:color="auto" w:fill="auto"/>
                  <w:noWrap/>
                  <w:vAlign w:val="bottom"/>
                  <w:hideMark/>
                </w:tcPr>
                <w:p w14:paraId="190D7EC6"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481.699,98 </w:t>
                  </w:r>
                </w:p>
              </w:tc>
            </w:tr>
            <w:tr w:rsidR="007B3093" w14:paraId="63E7995F"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B662857"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2018</w:t>
                  </w:r>
                </w:p>
              </w:tc>
              <w:tc>
                <w:tcPr>
                  <w:tcW w:w="1595" w:type="dxa"/>
                  <w:tcBorders>
                    <w:top w:val="nil"/>
                    <w:left w:val="nil"/>
                    <w:bottom w:val="single" w:sz="4" w:space="0" w:color="auto"/>
                    <w:right w:val="single" w:sz="4" w:space="0" w:color="auto"/>
                  </w:tcBorders>
                  <w:shd w:val="clear" w:color="auto" w:fill="auto"/>
                  <w:noWrap/>
                  <w:vAlign w:val="bottom"/>
                  <w:hideMark/>
                </w:tcPr>
                <w:p w14:paraId="492692DB"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65.624,00 </w:t>
                  </w:r>
                </w:p>
              </w:tc>
              <w:tc>
                <w:tcPr>
                  <w:tcW w:w="1447" w:type="dxa"/>
                  <w:tcBorders>
                    <w:top w:val="nil"/>
                    <w:left w:val="nil"/>
                    <w:bottom w:val="single" w:sz="4" w:space="0" w:color="auto"/>
                    <w:right w:val="single" w:sz="4" w:space="0" w:color="auto"/>
                  </w:tcBorders>
                  <w:shd w:val="clear" w:color="auto" w:fill="auto"/>
                  <w:noWrap/>
                  <w:vAlign w:val="bottom"/>
                  <w:hideMark/>
                </w:tcPr>
                <w:p w14:paraId="67DCC222"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5,18</w:t>
                  </w:r>
                </w:p>
              </w:tc>
              <w:tc>
                <w:tcPr>
                  <w:tcW w:w="1612" w:type="dxa"/>
                  <w:tcBorders>
                    <w:top w:val="nil"/>
                    <w:left w:val="nil"/>
                    <w:bottom w:val="single" w:sz="4" w:space="0" w:color="auto"/>
                    <w:right w:val="single" w:sz="4" w:space="0" w:color="auto"/>
                  </w:tcBorders>
                  <w:shd w:val="clear" w:color="auto" w:fill="auto"/>
                  <w:noWrap/>
                  <w:vAlign w:val="bottom"/>
                  <w:hideMark/>
                </w:tcPr>
                <w:p w14:paraId="1B1085BE"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339.932,32 </w:t>
                  </w:r>
                </w:p>
              </w:tc>
            </w:tr>
            <w:tr w:rsidR="007B3093" w14:paraId="5C6E5DB3"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46F3B910"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TOTAL</w:t>
                  </w:r>
                </w:p>
              </w:tc>
              <w:tc>
                <w:tcPr>
                  <w:tcW w:w="1595" w:type="dxa"/>
                  <w:tcBorders>
                    <w:top w:val="nil"/>
                    <w:left w:val="nil"/>
                    <w:bottom w:val="single" w:sz="4" w:space="0" w:color="auto"/>
                    <w:right w:val="single" w:sz="4" w:space="0" w:color="auto"/>
                  </w:tcBorders>
                  <w:shd w:val="clear" w:color="auto" w:fill="auto"/>
                  <w:noWrap/>
                  <w:vAlign w:val="bottom"/>
                  <w:hideMark/>
                </w:tcPr>
                <w:p w14:paraId="0F0F75B4"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197.265,00 </w:t>
                  </w:r>
                </w:p>
              </w:tc>
              <w:tc>
                <w:tcPr>
                  <w:tcW w:w="1447" w:type="dxa"/>
                  <w:tcBorders>
                    <w:top w:val="nil"/>
                    <w:left w:val="nil"/>
                    <w:bottom w:val="single" w:sz="4" w:space="0" w:color="auto"/>
                    <w:right w:val="single" w:sz="4" w:space="0" w:color="auto"/>
                  </w:tcBorders>
                  <w:shd w:val="clear" w:color="auto" w:fill="auto"/>
                  <w:noWrap/>
                  <w:vAlign w:val="bottom"/>
                  <w:hideMark/>
                </w:tcPr>
                <w:p w14:paraId="5F233A87"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w:t>
                  </w:r>
                </w:p>
              </w:tc>
              <w:tc>
                <w:tcPr>
                  <w:tcW w:w="1612" w:type="dxa"/>
                  <w:tcBorders>
                    <w:top w:val="nil"/>
                    <w:left w:val="nil"/>
                    <w:bottom w:val="single" w:sz="4" w:space="0" w:color="auto"/>
                    <w:right w:val="single" w:sz="4" w:space="0" w:color="auto"/>
                  </w:tcBorders>
                  <w:shd w:val="clear" w:color="auto" w:fill="auto"/>
                  <w:noWrap/>
                  <w:vAlign w:val="bottom"/>
                  <w:hideMark/>
                </w:tcPr>
                <w:p w14:paraId="65893976"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1.047.954,00 </w:t>
                  </w:r>
                </w:p>
              </w:tc>
            </w:tr>
            <w:tr w:rsidR="007B3093" w14:paraId="0D539AA0"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110D8335"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PROMEDIO</w:t>
                  </w:r>
                </w:p>
              </w:tc>
              <w:tc>
                <w:tcPr>
                  <w:tcW w:w="1595" w:type="dxa"/>
                  <w:tcBorders>
                    <w:top w:val="nil"/>
                    <w:left w:val="nil"/>
                    <w:bottom w:val="single" w:sz="4" w:space="0" w:color="auto"/>
                    <w:right w:val="single" w:sz="4" w:space="0" w:color="auto"/>
                  </w:tcBorders>
                  <w:shd w:val="clear" w:color="auto" w:fill="auto"/>
                  <w:noWrap/>
                  <w:vAlign w:val="bottom"/>
                  <w:hideMark/>
                </w:tcPr>
                <w:p w14:paraId="4E6F404D"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65.755,00 </w:t>
                  </w:r>
                </w:p>
              </w:tc>
              <w:tc>
                <w:tcPr>
                  <w:tcW w:w="1447" w:type="dxa"/>
                  <w:tcBorders>
                    <w:top w:val="nil"/>
                    <w:left w:val="nil"/>
                    <w:bottom w:val="single" w:sz="4" w:space="0" w:color="auto"/>
                    <w:right w:val="single" w:sz="4" w:space="0" w:color="auto"/>
                  </w:tcBorders>
                  <w:shd w:val="clear" w:color="auto" w:fill="auto"/>
                  <w:noWrap/>
                  <w:vAlign w:val="bottom"/>
                  <w:hideMark/>
                </w:tcPr>
                <w:p w14:paraId="1D029EB8"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5,31 </w:t>
                  </w:r>
                </w:p>
              </w:tc>
              <w:tc>
                <w:tcPr>
                  <w:tcW w:w="1612" w:type="dxa"/>
                  <w:tcBorders>
                    <w:top w:val="nil"/>
                    <w:left w:val="nil"/>
                    <w:bottom w:val="single" w:sz="4" w:space="0" w:color="auto"/>
                    <w:right w:val="single" w:sz="4" w:space="0" w:color="auto"/>
                  </w:tcBorders>
                  <w:shd w:val="clear" w:color="auto" w:fill="auto"/>
                  <w:noWrap/>
                  <w:vAlign w:val="bottom"/>
                  <w:hideMark/>
                </w:tcPr>
                <w:p w14:paraId="088FBD08"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w:t>
                  </w:r>
                </w:p>
              </w:tc>
            </w:tr>
            <w:tr w:rsidR="007B3093" w14:paraId="53909E70" w14:textId="77777777">
              <w:trPr>
                <w:trHeight w:val="294"/>
              </w:trPr>
              <w:tc>
                <w:tcPr>
                  <w:tcW w:w="1687" w:type="dxa"/>
                  <w:tcBorders>
                    <w:top w:val="nil"/>
                    <w:left w:val="nil"/>
                    <w:bottom w:val="nil"/>
                    <w:right w:val="nil"/>
                  </w:tcBorders>
                  <w:shd w:val="clear" w:color="auto" w:fill="auto"/>
                  <w:noWrap/>
                  <w:vAlign w:val="bottom"/>
                  <w:hideMark/>
                </w:tcPr>
                <w:p w14:paraId="5B5FA0E0" w14:textId="77777777" w:rsidR="007B3093" w:rsidRDefault="007B3093">
                  <w:pPr>
                    <w:spacing w:after="0" w:line="240" w:lineRule="auto"/>
                    <w:rPr>
                      <w:rFonts w:ascii="Calibri" w:eastAsia="Times New Roman" w:hAnsi="Calibri" w:cs="Calibri"/>
                      <w:b/>
                      <w:bCs/>
                      <w:color w:val="000000"/>
                      <w:lang w:val="en-US"/>
                    </w:rPr>
                  </w:pPr>
                </w:p>
              </w:tc>
              <w:tc>
                <w:tcPr>
                  <w:tcW w:w="1595" w:type="dxa"/>
                  <w:tcBorders>
                    <w:top w:val="nil"/>
                    <w:left w:val="nil"/>
                    <w:bottom w:val="nil"/>
                    <w:right w:val="nil"/>
                  </w:tcBorders>
                  <w:shd w:val="clear" w:color="auto" w:fill="auto"/>
                  <w:noWrap/>
                  <w:vAlign w:val="bottom"/>
                  <w:hideMark/>
                </w:tcPr>
                <w:p w14:paraId="7EAB866A" w14:textId="77777777" w:rsidR="007B3093" w:rsidRDefault="007B3093">
                  <w:pPr>
                    <w:spacing w:after="0" w:line="240" w:lineRule="auto"/>
                    <w:rPr>
                      <w:rFonts w:ascii="Times New Roman" w:eastAsia="Times New Roman" w:hAnsi="Times New Roman" w:cs="Times New Roman"/>
                      <w:sz w:val="20"/>
                      <w:szCs w:val="20"/>
                      <w:lang w:val="en-US"/>
                    </w:rPr>
                  </w:pPr>
                </w:p>
              </w:tc>
              <w:tc>
                <w:tcPr>
                  <w:tcW w:w="1447" w:type="dxa"/>
                  <w:tcBorders>
                    <w:top w:val="nil"/>
                    <w:left w:val="nil"/>
                    <w:bottom w:val="nil"/>
                    <w:right w:val="nil"/>
                  </w:tcBorders>
                  <w:shd w:val="clear" w:color="auto" w:fill="auto"/>
                  <w:noWrap/>
                  <w:vAlign w:val="bottom"/>
                  <w:hideMark/>
                </w:tcPr>
                <w:p w14:paraId="155096EF" w14:textId="77777777" w:rsidR="007B3093" w:rsidRDefault="007B3093">
                  <w:pPr>
                    <w:spacing w:after="0" w:line="240" w:lineRule="auto"/>
                    <w:rPr>
                      <w:rFonts w:ascii="Times New Roman" w:eastAsia="Times New Roman" w:hAnsi="Times New Roman" w:cs="Times New Roman"/>
                      <w:sz w:val="20"/>
                      <w:szCs w:val="20"/>
                      <w:lang w:val="en-US"/>
                    </w:rPr>
                  </w:pPr>
                </w:p>
              </w:tc>
              <w:tc>
                <w:tcPr>
                  <w:tcW w:w="1612" w:type="dxa"/>
                  <w:tcBorders>
                    <w:top w:val="nil"/>
                    <w:left w:val="nil"/>
                    <w:bottom w:val="nil"/>
                    <w:right w:val="nil"/>
                  </w:tcBorders>
                  <w:shd w:val="clear" w:color="auto" w:fill="auto"/>
                  <w:noWrap/>
                  <w:vAlign w:val="bottom"/>
                  <w:hideMark/>
                </w:tcPr>
                <w:p w14:paraId="4FBAFD34" w14:textId="77777777" w:rsidR="007B3093" w:rsidRDefault="007B3093">
                  <w:pPr>
                    <w:spacing w:after="0" w:line="240" w:lineRule="auto"/>
                    <w:rPr>
                      <w:rFonts w:ascii="Times New Roman" w:eastAsia="Times New Roman" w:hAnsi="Times New Roman" w:cs="Times New Roman"/>
                      <w:sz w:val="20"/>
                      <w:szCs w:val="20"/>
                      <w:lang w:val="en-US"/>
                    </w:rPr>
                  </w:pPr>
                </w:p>
              </w:tc>
            </w:tr>
            <w:tr w:rsidR="007B3093" w14:paraId="4372C743" w14:textId="77777777">
              <w:trPr>
                <w:trHeight w:val="882"/>
              </w:trPr>
              <w:tc>
                <w:tcPr>
                  <w:tcW w:w="16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1B13C3"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AÑOS</w:t>
                  </w:r>
                </w:p>
              </w:tc>
              <w:tc>
                <w:tcPr>
                  <w:tcW w:w="1595" w:type="dxa"/>
                  <w:tcBorders>
                    <w:top w:val="single" w:sz="4" w:space="0" w:color="auto"/>
                    <w:left w:val="nil"/>
                    <w:bottom w:val="single" w:sz="4" w:space="0" w:color="auto"/>
                    <w:right w:val="single" w:sz="4" w:space="0" w:color="auto"/>
                  </w:tcBorders>
                  <w:shd w:val="clear" w:color="auto" w:fill="auto"/>
                  <w:vAlign w:val="bottom"/>
                  <w:hideMark/>
                </w:tcPr>
                <w:p w14:paraId="1FD22151"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PROCESO: </w:t>
                  </w:r>
                  <w:proofErr w:type="gramStart"/>
                  <w:r>
                    <w:rPr>
                      <w:rFonts w:ascii="Calibri" w:eastAsia="Times New Roman" w:hAnsi="Calibri" w:cs="Calibri"/>
                      <w:b/>
                      <w:bCs/>
                      <w:color w:val="000000"/>
                      <w:lang w:val="en-US"/>
                    </w:rPr>
                    <w:t>CITACIONES (#</w:t>
                  </w:r>
                  <w:proofErr w:type="gramEnd"/>
                  <w:r>
                    <w:rPr>
                      <w:rFonts w:ascii="Calibri" w:eastAsia="Times New Roman" w:hAnsi="Calibri" w:cs="Calibri"/>
                      <w:b/>
                      <w:bCs/>
                      <w:color w:val="000000"/>
                      <w:lang w:val="en-US"/>
                    </w:rPr>
                    <w:t>)</w:t>
                  </w:r>
                </w:p>
              </w:tc>
              <w:tc>
                <w:tcPr>
                  <w:tcW w:w="1447" w:type="dxa"/>
                  <w:tcBorders>
                    <w:top w:val="single" w:sz="4" w:space="0" w:color="auto"/>
                    <w:left w:val="nil"/>
                    <w:bottom w:val="single" w:sz="4" w:space="0" w:color="auto"/>
                    <w:right w:val="single" w:sz="4" w:space="0" w:color="auto"/>
                  </w:tcBorders>
                  <w:shd w:val="clear" w:color="auto" w:fill="auto"/>
                  <w:vAlign w:val="bottom"/>
                  <w:hideMark/>
                </w:tcPr>
                <w:p w14:paraId="5B54F578"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TIEMPO PROMEDIO (días)</w:t>
                  </w:r>
                </w:p>
              </w:tc>
              <w:tc>
                <w:tcPr>
                  <w:tcW w:w="1612" w:type="dxa"/>
                  <w:tcBorders>
                    <w:top w:val="single" w:sz="4" w:space="0" w:color="auto"/>
                    <w:left w:val="nil"/>
                    <w:bottom w:val="single" w:sz="4" w:space="0" w:color="auto"/>
                    <w:right w:val="single" w:sz="4" w:space="0" w:color="auto"/>
                  </w:tcBorders>
                  <w:shd w:val="clear" w:color="auto" w:fill="auto"/>
                  <w:vAlign w:val="bottom"/>
                  <w:hideMark/>
                </w:tcPr>
                <w:p w14:paraId="6559DCA6" w14:textId="77777777" w:rsidR="007B3093" w:rsidRDefault="00000000">
                  <w:pPr>
                    <w:spacing w:after="0" w:line="240" w:lineRule="auto"/>
                    <w:rPr>
                      <w:rFonts w:ascii="Calibri" w:eastAsia="Times New Roman" w:hAnsi="Calibri" w:cs="Calibri"/>
                      <w:b/>
                      <w:bCs/>
                      <w:color w:val="000000"/>
                      <w:lang w:val="en-US"/>
                    </w:rPr>
                  </w:pPr>
                  <w:proofErr w:type="spellStart"/>
                  <w:r>
                    <w:rPr>
                      <w:rFonts w:ascii="Calibri" w:eastAsia="Times New Roman" w:hAnsi="Calibri" w:cs="Calibri"/>
                      <w:b/>
                      <w:bCs/>
                      <w:color w:val="000000"/>
                      <w:lang w:val="en-US"/>
                    </w:rPr>
                    <w:t>Cálculo</w:t>
                  </w:r>
                  <w:proofErr w:type="spellEnd"/>
                  <w:r>
                    <w:rPr>
                      <w:rFonts w:ascii="Calibri" w:eastAsia="Times New Roman" w:hAnsi="Calibri" w:cs="Calibri"/>
                      <w:b/>
                      <w:bCs/>
                      <w:color w:val="000000"/>
                      <w:lang w:val="en-US"/>
                    </w:rPr>
                    <w:t xml:space="preserve"> Días </w:t>
                  </w:r>
                  <w:proofErr w:type="spellStart"/>
                  <w:r>
                    <w:rPr>
                      <w:rFonts w:ascii="Calibri" w:eastAsia="Times New Roman" w:hAnsi="Calibri" w:cs="Calibri"/>
                      <w:b/>
                      <w:bCs/>
                      <w:color w:val="000000"/>
                      <w:lang w:val="en-US"/>
                    </w:rPr>
                    <w:t>Promedio</w:t>
                  </w:r>
                  <w:proofErr w:type="spellEnd"/>
                </w:p>
              </w:tc>
            </w:tr>
            <w:tr w:rsidR="007B3093" w14:paraId="533875E8"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255331F4"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2016</w:t>
                  </w:r>
                </w:p>
              </w:tc>
              <w:tc>
                <w:tcPr>
                  <w:tcW w:w="1595" w:type="dxa"/>
                  <w:tcBorders>
                    <w:top w:val="nil"/>
                    <w:left w:val="nil"/>
                    <w:bottom w:val="single" w:sz="4" w:space="0" w:color="auto"/>
                    <w:right w:val="single" w:sz="4" w:space="0" w:color="auto"/>
                  </w:tcBorders>
                  <w:shd w:val="clear" w:color="auto" w:fill="auto"/>
                  <w:noWrap/>
                  <w:vAlign w:val="bottom"/>
                  <w:hideMark/>
                </w:tcPr>
                <w:p w14:paraId="03B0249A"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4.603,00 </w:t>
                  </w:r>
                </w:p>
              </w:tc>
              <w:tc>
                <w:tcPr>
                  <w:tcW w:w="1447" w:type="dxa"/>
                  <w:tcBorders>
                    <w:top w:val="nil"/>
                    <w:left w:val="nil"/>
                    <w:bottom w:val="single" w:sz="4" w:space="0" w:color="auto"/>
                    <w:right w:val="single" w:sz="4" w:space="0" w:color="auto"/>
                  </w:tcBorders>
                  <w:shd w:val="clear" w:color="auto" w:fill="auto"/>
                  <w:noWrap/>
                  <w:vAlign w:val="bottom"/>
                  <w:hideMark/>
                </w:tcPr>
                <w:p w14:paraId="1778DBF3"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12,83</w:t>
                  </w:r>
                </w:p>
              </w:tc>
              <w:tc>
                <w:tcPr>
                  <w:tcW w:w="1612" w:type="dxa"/>
                  <w:tcBorders>
                    <w:top w:val="nil"/>
                    <w:left w:val="nil"/>
                    <w:bottom w:val="single" w:sz="4" w:space="0" w:color="auto"/>
                    <w:right w:val="single" w:sz="4" w:space="0" w:color="auto"/>
                  </w:tcBorders>
                  <w:shd w:val="clear" w:color="auto" w:fill="auto"/>
                  <w:noWrap/>
                  <w:vAlign w:val="bottom"/>
                  <w:hideMark/>
                </w:tcPr>
                <w:p w14:paraId="129AAF01"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59.056,49 </w:t>
                  </w:r>
                </w:p>
              </w:tc>
            </w:tr>
            <w:tr w:rsidR="007B3093" w14:paraId="21FE3BBB"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38101621"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2017</w:t>
                  </w:r>
                </w:p>
              </w:tc>
              <w:tc>
                <w:tcPr>
                  <w:tcW w:w="1595" w:type="dxa"/>
                  <w:tcBorders>
                    <w:top w:val="nil"/>
                    <w:left w:val="nil"/>
                    <w:bottom w:val="single" w:sz="4" w:space="0" w:color="auto"/>
                    <w:right w:val="single" w:sz="4" w:space="0" w:color="auto"/>
                  </w:tcBorders>
                  <w:shd w:val="clear" w:color="auto" w:fill="auto"/>
                  <w:noWrap/>
                  <w:vAlign w:val="bottom"/>
                  <w:hideMark/>
                </w:tcPr>
                <w:p w14:paraId="5C2DC974"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3.745,00 </w:t>
                  </w:r>
                </w:p>
              </w:tc>
              <w:tc>
                <w:tcPr>
                  <w:tcW w:w="1447" w:type="dxa"/>
                  <w:tcBorders>
                    <w:top w:val="nil"/>
                    <w:left w:val="nil"/>
                    <w:bottom w:val="single" w:sz="4" w:space="0" w:color="auto"/>
                    <w:right w:val="single" w:sz="4" w:space="0" w:color="auto"/>
                  </w:tcBorders>
                  <w:shd w:val="clear" w:color="auto" w:fill="auto"/>
                  <w:noWrap/>
                  <w:vAlign w:val="bottom"/>
                  <w:hideMark/>
                </w:tcPr>
                <w:p w14:paraId="63963C55"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19,58</w:t>
                  </w:r>
                </w:p>
              </w:tc>
              <w:tc>
                <w:tcPr>
                  <w:tcW w:w="1612" w:type="dxa"/>
                  <w:tcBorders>
                    <w:top w:val="nil"/>
                    <w:left w:val="nil"/>
                    <w:bottom w:val="single" w:sz="4" w:space="0" w:color="auto"/>
                    <w:right w:val="single" w:sz="4" w:space="0" w:color="auto"/>
                  </w:tcBorders>
                  <w:shd w:val="clear" w:color="auto" w:fill="auto"/>
                  <w:noWrap/>
                  <w:vAlign w:val="bottom"/>
                  <w:hideMark/>
                </w:tcPr>
                <w:p w14:paraId="159576E0"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73.327,10 </w:t>
                  </w:r>
                </w:p>
              </w:tc>
            </w:tr>
            <w:tr w:rsidR="007B3093" w14:paraId="660515C3"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31462BEF"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2018</w:t>
                  </w:r>
                </w:p>
              </w:tc>
              <w:tc>
                <w:tcPr>
                  <w:tcW w:w="1595" w:type="dxa"/>
                  <w:tcBorders>
                    <w:top w:val="nil"/>
                    <w:left w:val="nil"/>
                    <w:bottom w:val="single" w:sz="4" w:space="0" w:color="auto"/>
                    <w:right w:val="single" w:sz="4" w:space="0" w:color="auto"/>
                  </w:tcBorders>
                  <w:shd w:val="clear" w:color="auto" w:fill="auto"/>
                  <w:noWrap/>
                  <w:vAlign w:val="bottom"/>
                  <w:hideMark/>
                </w:tcPr>
                <w:p w14:paraId="6C102FBC"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4.051,00 </w:t>
                  </w:r>
                </w:p>
              </w:tc>
              <w:tc>
                <w:tcPr>
                  <w:tcW w:w="1447" w:type="dxa"/>
                  <w:tcBorders>
                    <w:top w:val="nil"/>
                    <w:left w:val="nil"/>
                    <w:bottom w:val="single" w:sz="4" w:space="0" w:color="auto"/>
                    <w:right w:val="single" w:sz="4" w:space="0" w:color="auto"/>
                  </w:tcBorders>
                  <w:shd w:val="clear" w:color="auto" w:fill="auto"/>
                  <w:noWrap/>
                  <w:vAlign w:val="bottom"/>
                  <w:hideMark/>
                </w:tcPr>
                <w:p w14:paraId="44043D2D"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24,43</w:t>
                  </w:r>
                </w:p>
              </w:tc>
              <w:tc>
                <w:tcPr>
                  <w:tcW w:w="1612" w:type="dxa"/>
                  <w:tcBorders>
                    <w:top w:val="nil"/>
                    <w:left w:val="nil"/>
                    <w:bottom w:val="single" w:sz="4" w:space="0" w:color="auto"/>
                    <w:right w:val="single" w:sz="4" w:space="0" w:color="auto"/>
                  </w:tcBorders>
                  <w:shd w:val="clear" w:color="auto" w:fill="auto"/>
                  <w:noWrap/>
                  <w:vAlign w:val="bottom"/>
                  <w:hideMark/>
                </w:tcPr>
                <w:p w14:paraId="71ABC72E" w14:textId="77777777" w:rsidR="007B3093" w:rsidRDefault="0000000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         98.965,93 </w:t>
                  </w:r>
                </w:p>
              </w:tc>
            </w:tr>
            <w:tr w:rsidR="007B3093" w14:paraId="50CA74CF"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C20C2F6"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TOTAL</w:t>
                  </w:r>
                </w:p>
              </w:tc>
              <w:tc>
                <w:tcPr>
                  <w:tcW w:w="1595" w:type="dxa"/>
                  <w:tcBorders>
                    <w:top w:val="nil"/>
                    <w:left w:val="nil"/>
                    <w:bottom w:val="single" w:sz="4" w:space="0" w:color="auto"/>
                    <w:right w:val="single" w:sz="4" w:space="0" w:color="auto"/>
                  </w:tcBorders>
                  <w:shd w:val="clear" w:color="auto" w:fill="auto"/>
                  <w:noWrap/>
                  <w:vAlign w:val="bottom"/>
                  <w:hideMark/>
                </w:tcPr>
                <w:p w14:paraId="3FE45180"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12.399,00 </w:t>
                  </w:r>
                </w:p>
              </w:tc>
              <w:tc>
                <w:tcPr>
                  <w:tcW w:w="1447" w:type="dxa"/>
                  <w:tcBorders>
                    <w:top w:val="nil"/>
                    <w:left w:val="nil"/>
                    <w:bottom w:val="single" w:sz="4" w:space="0" w:color="auto"/>
                    <w:right w:val="single" w:sz="4" w:space="0" w:color="auto"/>
                  </w:tcBorders>
                  <w:shd w:val="clear" w:color="auto" w:fill="auto"/>
                  <w:noWrap/>
                  <w:vAlign w:val="bottom"/>
                  <w:hideMark/>
                </w:tcPr>
                <w:p w14:paraId="35177856"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w:t>
                  </w:r>
                </w:p>
              </w:tc>
              <w:tc>
                <w:tcPr>
                  <w:tcW w:w="1612" w:type="dxa"/>
                  <w:tcBorders>
                    <w:top w:val="nil"/>
                    <w:left w:val="nil"/>
                    <w:bottom w:val="single" w:sz="4" w:space="0" w:color="auto"/>
                    <w:right w:val="single" w:sz="4" w:space="0" w:color="auto"/>
                  </w:tcBorders>
                  <w:shd w:val="clear" w:color="auto" w:fill="auto"/>
                  <w:noWrap/>
                  <w:vAlign w:val="bottom"/>
                  <w:hideMark/>
                </w:tcPr>
                <w:p w14:paraId="6070571A"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231.349,52 </w:t>
                  </w:r>
                </w:p>
              </w:tc>
            </w:tr>
            <w:tr w:rsidR="007B3093" w14:paraId="4A7B03A2" w14:textId="77777777">
              <w:trPr>
                <w:trHeight w:val="294"/>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01F0066A"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PROMEDIO</w:t>
                  </w:r>
                </w:p>
              </w:tc>
              <w:tc>
                <w:tcPr>
                  <w:tcW w:w="1595" w:type="dxa"/>
                  <w:tcBorders>
                    <w:top w:val="nil"/>
                    <w:left w:val="nil"/>
                    <w:bottom w:val="single" w:sz="4" w:space="0" w:color="auto"/>
                    <w:right w:val="single" w:sz="4" w:space="0" w:color="auto"/>
                  </w:tcBorders>
                  <w:shd w:val="clear" w:color="auto" w:fill="auto"/>
                  <w:noWrap/>
                  <w:vAlign w:val="bottom"/>
                  <w:hideMark/>
                </w:tcPr>
                <w:p w14:paraId="7032C27B"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4.133,00 </w:t>
                  </w:r>
                </w:p>
              </w:tc>
              <w:tc>
                <w:tcPr>
                  <w:tcW w:w="1447" w:type="dxa"/>
                  <w:tcBorders>
                    <w:top w:val="nil"/>
                    <w:left w:val="nil"/>
                    <w:bottom w:val="single" w:sz="4" w:space="0" w:color="auto"/>
                    <w:right w:val="single" w:sz="4" w:space="0" w:color="auto"/>
                  </w:tcBorders>
                  <w:shd w:val="clear" w:color="auto" w:fill="auto"/>
                  <w:noWrap/>
                  <w:vAlign w:val="bottom"/>
                  <w:hideMark/>
                </w:tcPr>
                <w:p w14:paraId="665BEECE"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18,66 </w:t>
                  </w:r>
                </w:p>
              </w:tc>
              <w:tc>
                <w:tcPr>
                  <w:tcW w:w="1612" w:type="dxa"/>
                  <w:tcBorders>
                    <w:top w:val="nil"/>
                    <w:left w:val="nil"/>
                    <w:bottom w:val="single" w:sz="4" w:space="0" w:color="auto"/>
                    <w:right w:val="single" w:sz="4" w:space="0" w:color="auto"/>
                  </w:tcBorders>
                  <w:shd w:val="clear" w:color="auto" w:fill="auto"/>
                  <w:noWrap/>
                  <w:vAlign w:val="bottom"/>
                  <w:hideMark/>
                </w:tcPr>
                <w:p w14:paraId="6FE54AFF"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w:t>
                  </w:r>
                </w:p>
              </w:tc>
            </w:tr>
          </w:tbl>
          <w:p w14:paraId="6C474660" w14:textId="77777777" w:rsidR="007B3093" w:rsidRDefault="007B3093">
            <w:pPr>
              <w:spacing w:after="0" w:line="240" w:lineRule="auto"/>
              <w:rPr>
                <w:rFonts w:eastAsia="Times New Roman" w:cstheme="minorHAnsi"/>
                <w:b/>
                <w:bCs/>
                <w:color w:val="000000"/>
                <w:lang w:eastAsia="es-EC"/>
              </w:rPr>
            </w:pPr>
          </w:p>
        </w:tc>
      </w:tr>
    </w:tbl>
    <w:p w14:paraId="5DD50691" w14:textId="77777777" w:rsidR="007B3093" w:rsidRDefault="00000000">
      <w:pPr>
        <w:spacing w:after="0" w:line="360" w:lineRule="auto"/>
        <w:ind w:firstLine="708"/>
        <w:contextualSpacing/>
        <w:rPr>
          <w:rFonts w:cstheme="minorHAnsi"/>
          <w:b/>
          <w:sz w:val="20"/>
        </w:rPr>
      </w:pPr>
      <w:r>
        <w:rPr>
          <w:rFonts w:cstheme="minorHAnsi"/>
          <w:b/>
          <w:sz w:val="20"/>
        </w:rPr>
        <w:t xml:space="preserve">    Fuente:  Unidad de Informática de la PGE.</w:t>
      </w:r>
    </w:p>
    <w:p w14:paraId="5069C18A" w14:textId="77777777" w:rsidR="007B3093" w:rsidRDefault="00000000">
      <w:pPr>
        <w:spacing w:after="0" w:line="360" w:lineRule="auto"/>
        <w:ind w:firstLine="708"/>
        <w:contextualSpacing/>
        <w:rPr>
          <w:rFonts w:cstheme="minorHAnsi"/>
          <w:b/>
          <w:sz w:val="20"/>
        </w:rPr>
      </w:pPr>
      <w:r>
        <w:rPr>
          <w:rFonts w:cstheme="minorHAnsi"/>
          <w:b/>
          <w:sz w:val="20"/>
        </w:rPr>
        <w:t xml:space="preserve">    Elaboración: EDG PROFIP PGE</w:t>
      </w:r>
    </w:p>
    <w:p w14:paraId="0432B54F" w14:textId="77777777" w:rsidR="007B3093" w:rsidRDefault="007B3093">
      <w:pPr>
        <w:pStyle w:val="Prrafodelista"/>
        <w:spacing w:before="120" w:after="120" w:line="360" w:lineRule="auto"/>
        <w:ind w:left="142" w:firstLine="425"/>
        <w:contextualSpacing w:val="0"/>
        <w:jc w:val="both"/>
        <w:rPr>
          <w:rFonts w:cstheme="minorHAnsi"/>
        </w:rPr>
      </w:pPr>
    </w:p>
    <w:p w14:paraId="286259F0" w14:textId="77777777" w:rsidR="007B3093" w:rsidRDefault="007B3093">
      <w:pPr>
        <w:pStyle w:val="Prrafodelista"/>
        <w:spacing w:before="120" w:after="120" w:line="360" w:lineRule="auto"/>
        <w:ind w:left="142" w:firstLine="425"/>
        <w:contextualSpacing w:val="0"/>
        <w:jc w:val="both"/>
        <w:rPr>
          <w:rFonts w:cstheme="minorHAnsi"/>
        </w:rPr>
      </w:pPr>
    </w:p>
    <w:p w14:paraId="6021158A"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Para obtener los ahorros por costo del tiempo de trámite anual de la gestión interna, que se muestran en la Tabla No. 33, se obtuvo la columna número del promedio para cada proceso interno de los años 2016, 2017 y 2018; los días promedio de duración de cada trámite se obtuvieron como el promedio ponderado del tiempo en días de los mismos años y se estableció como un supuesto conservador que la ejecución del proyecto logrará reducirlos en un 10%; el costo por día en USD se tomó de los cálculos hechos por la SENPLADES para la elaboración de su proyecto “Fortalecimiento del Sistema de Planificación Nacional Mediante la Automatización de los Procesos Sustantivos de la Cadena de Valor de la SENPLADES” (que se explicará en el siguiente párrafo); y el ahorro del costo por la disminución del tiempo de trámite, de la última columna resulta del producto de las dos anteriores.  </w:t>
      </w:r>
    </w:p>
    <w:p w14:paraId="704448AA" w14:textId="77777777" w:rsidR="007B3093" w:rsidRDefault="007B3093">
      <w:pPr>
        <w:pStyle w:val="Sinespaciado"/>
      </w:pPr>
    </w:p>
    <w:p w14:paraId="06A4936E" w14:textId="77777777" w:rsidR="007B3093" w:rsidRDefault="00000000">
      <w:pPr>
        <w:spacing w:after="0" w:line="360" w:lineRule="auto"/>
        <w:contextualSpacing/>
        <w:jc w:val="center"/>
        <w:rPr>
          <w:rFonts w:cstheme="minorHAnsi"/>
          <w:b/>
        </w:rPr>
      </w:pPr>
      <w:r>
        <w:rPr>
          <w:rFonts w:cstheme="minorHAnsi"/>
          <w:b/>
        </w:rPr>
        <w:t>Tabla 34: Ahorros en costo del tiempo de trámite anual de la gestión interna.</w:t>
      </w:r>
    </w:p>
    <w:tbl>
      <w:tblPr>
        <w:tblW w:w="8562" w:type="dxa"/>
        <w:tblLook w:val="04A0" w:firstRow="1" w:lastRow="0" w:firstColumn="1" w:lastColumn="0" w:noHBand="0" w:noVBand="1"/>
      </w:tblPr>
      <w:tblGrid>
        <w:gridCol w:w="1550"/>
        <w:gridCol w:w="1467"/>
        <w:gridCol w:w="1296"/>
        <w:gridCol w:w="1467"/>
        <w:gridCol w:w="1301"/>
        <w:gridCol w:w="1481"/>
      </w:tblGrid>
      <w:tr w:rsidR="007B3093" w14:paraId="2DA015A9" w14:textId="77777777">
        <w:trPr>
          <w:trHeight w:val="633"/>
        </w:trPr>
        <w:tc>
          <w:tcPr>
            <w:tcW w:w="1550" w:type="dxa"/>
            <w:tcBorders>
              <w:top w:val="single" w:sz="4" w:space="0" w:color="auto"/>
              <w:left w:val="single" w:sz="4" w:space="0" w:color="auto"/>
              <w:bottom w:val="single" w:sz="4" w:space="0" w:color="auto"/>
              <w:right w:val="single" w:sz="4" w:space="0" w:color="auto"/>
            </w:tcBorders>
            <w:shd w:val="clear" w:color="000000" w:fill="244062"/>
            <w:vAlign w:val="center"/>
            <w:hideMark/>
          </w:tcPr>
          <w:p w14:paraId="72B88533" w14:textId="77777777" w:rsidR="007B3093" w:rsidRDefault="00000000">
            <w:pPr>
              <w:spacing w:after="0" w:line="240" w:lineRule="auto"/>
              <w:jc w:val="center"/>
              <w:rPr>
                <w:rFonts w:ascii="Calibri" w:eastAsia="Times New Roman" w:hAnsi="Calibri" w:cs="Calibri"/>
                <w:b/>
                <w:bCs/>
                <w:color w:val="FFFFFF"/>
                <w:sz w:val="20"/>
                <w:szCs w:val="20"/>
                <w:lang w:val="en-US"/>
              </w:rPr>
            </w:pPr>
            <w:proofErr w:type="spellStart"/>
            <w:r>
              <w:rPr>
                <w:rFonts w:ascii="Calibri" w:eastAsia="Times New Roman" w:hAnsi="Calibri" w:cs="Calibri"/>
                <w:b/>
                <w:bCs/>
                <w:color w:val="FFFFFF"/>
                <w:sz w:val="20"/>
                <w:szCs w:val="20"/>
                <w:lang w:val="en-US"/>
              </w:rPr>
              <w:t>Procesos</w:t>
            </w:r>
            <w:proofErr w:type="spellEnd"/>
            <w:r>
              <w:rPr>
                <w:rFonts w:ascii="Calibri" w:eastAsia="Times New Roman" w:hAnsi="Calibri" w:cs="Calibri"/>
                <w:b/>
                <w:bCs/>
                <w:color w:val="FFFFFF"/>
                <w:sz w:val="20"/>
                <w:szCs w:val="20"/>
                <w:lang w:val="en-US"/>
              </w:rPr>
              <w:t xml:space="preserve"> </w:t>
            </w:r>
          </w:p>
        </w:tc>
        <w:tc>
          <w:tcPr>
            <w:tcW w:w="1467" w:type="dxa"/>
            <w:tcBorders>
              <w:top w:val="single" w:sz="4" w:space="0" w:color="auto"/>
              <w:left w:val="nil"/>
              <w:bottom w:val="single" w:sz="4" w:space="0" w:color="auto"/>
              <w:right w:val="single" w:sz="4" w:space="0" w:color="auto"/>
            </w:tcBorders>
            <w:shd w:val="clear" w:color="000000" w:fill="244062"/>
            <w:vAlign w:val="center"/>
            <w:hideMark/>
          </w:tcPr>
          <w:p w14:paraId="2BDAF61B" w14:textId="77777777" w:rsidR="007B3093" w:rsidRDefault="00000000">
            <w:pPr>
              <w:spacing w:after="0" w:line="240" w:lineRule="auto"/>
              <w:jc w:val="center"/>
              <w:rPr>
                <w:rFonts w:ascii="Calibri" w:eastAsia="Times New Roman" w:hAnsi="Calibri" w:cs="Calibri"/>
                <w:b/>
                <w:bCs/>
                <w:color w:val="FFFFFF"/>
                <w:sz w:val="20"/>
                <w:szCs w:val="20"/>
                <w:lang w:val="en-US"/>
              </w:rPr>
            </w:pPr>
            <w:proofErr w:type="spellStart"/>
            <w:r>
              <w:rPr>
                <w:rFonts w:ascii="Calibri" w:eastAsia="Times New Roman" w:hAnsi="Calibri" w:cs="Calibri"/>
                <w:b/>
                <w:bCs/>
                <w:color w:val="FFFFFF"/>
                <w:sz w:val="20"/>
                <w:szCs w:val="20"/>
                <w:lang w:val="en-US"/>
              </w:rPr>
              <w:t>Número</w:t>
            </w:r>
            <w:proofErr w:type="spellEnd"/>
            <w:r>
              <w:rPr>
                <w:rFonts w:ascii="Calibri" w:eastAsia="Times New Roman" w:hAnsi="Calibri" w:cs="Calibri"/>
                <w:b/>
                <w:bCs/>
                <w:color w:val="FFFFFF"/>
                <w:sz w:val="20"/>
                <w:szCs w:val="20"/>
                <w:lang w:val="en-US"/>
              </w:rPr>
              <w:t xml:space="preserve"> </w:t>
            </w:r>
            <w:proofErr w:type="spellStart"/>
            <w:r>
              <w:rPr>
                <w:rFonts w:ascii="Calibri" w:eastAsia="Times New Roman" w:hAnsi="Calibri" w:cs="Calibri"/>
                <w:b/>
                <w:bCs/>
                <w:color w:val="FFFFFF"/>
                <w:sz w:val="20"/>
                <w:szCs w:val="20"/>
                <w:lang w:val="en-US"/>
              </w:rPr>
              <w:t>procesos</w:t>
            </w:r>
            <w:proofErr w:type="spellEnd"/>
            <w:r>
              <w:rPr>
                <w:rFonts w:ascii="Calibri" w:eastAsia="Times New Roman" w:hAnsi="Calibri" w:cs="Calibri"/>
                <w:b/>
                <w:bCs/>
                <w:color w:val="FFFFFF"/>
                <w:sz w:val="20"/>
                <w:szCs w:val="20"/>
                <w:lang w:val="en-US"/>
              </w:rPr>
              <w:br/>
              <w:t>(</w:t>
            </w:r>
            <w:proofErr w:type="spellStart"/>
            <w:r>
              <w:rPr>
                <w:rFonts w:ascii="Calibri" w:eastAsia="Times New Roman" w:hAnsi="Calibri" w:cs="Calibri"/>
                <w:b/>
                <w:bCs/>
                <w:color w:val="FFFFFF"/>
                <w:sz w:val="20"/>
                <w:szCs w:val="20"/>
                <w:lang w:val="en-US"/>
              </w:rPr>
              <w:t>Promedio</w:t>
            </w:r>
            <w:proofErr w:type="spellEnd"/>
            <w:r>
              <w:rPr>
                <w:rFonts w:ascii="Calibri" w:eastAsia="Times New Roman" w:hAnsi="Calibri" w:cs="Calibri"/>
                <w:b/>
                <w:bCs/>
                <w:color w:val="FFFFFF"/>
                <w:sz w:val="20"/>
                <w:szCs w:val="20"/>
                <w:lang w:val="en-US"/>
              </w:rPr>
              <w:t>)</w:t>
            </w:r>
          </w:p>
        </w:tc>
        <w:tc>
          <w:tcPr>
            <w:tcW w:w="1296" w:type="dxa"/>
            <w:tcBorders>
              <w:top w:val="single" w:sz="4" w:space="0" w:color="auto"/>
              <w:left w:val="nil"/>
              <w:bottom w:val="single" w:sz="4" w:space="0" w:color="auto"/>
              <w:right w:val="single" w:sz="4" w:space="0" w:color="auto"/>
            </w:tcBorders>
            <w:shd w:val="clear" w:color="000000" w:fill="244062"/>
            <w:vAlign w:val="center"/>
            <w:hideMark/>
          </w:tcPr>
          <w:p w14:paraId="0A2037F6" w14:textId="77777777" w:rsidR="007B3093" w:rsidRDefault="00000000">
            <w:pPr>
              <w:spacing w:after="0" w:line="240" w:lineRule="auto"/>
              <w:jc w:val="center"/>
              <w:rPr>
                <w:rFonts w:ascii="Calibri" w:eastAsia="Times New Roman" w:hAnsi="Calibri" w:cs="Calibri"/>
                <w:b/>
                <w:bCs/>
                <w:color w:val="FFFFFF"/>
                <w:sz w:val="20"/>
                <w:szCs w:val="20"/>
                <w:lang w:val="en-US"/>
              </w:rPr>
            </w:pPr>
            <w:r>
              <w:rPr>
                <w:rFonts w:ascii="Calibri" w:eastAsia="Times New Roman" w:hAnsi="Calibri" w:cs="Calibri"/>
                <w:b/>
                <w:bCs/>
                <w:color w:val="FFFFFF"/>
                <w:sz w:val="20"/>
                <w:szCs w:val="20"/>
                <w:lang w:val="en-US"/>
              </w:rPr>
              <w:t xml:space="preserve">Días </w:t>
            </w:r>
            <w:proofErr w:type="spellStart"/>
            <w:r>
              <w:rPr>
                <w:rFonts w:ascii="Calibri" w:eastAsia="Times New Roman" w:hAnsi="Calibri" w:cs="Calibri"/>
                <w:b/>
                <w:bCs/>
                <w:color w:val="FFFFFF"/>
                <w:sz w:val="20"/>
                <w:szCs w:val="20"/>
                <w:lang w:val="en-US"/>
              </w:rPr>
              <w:t>Promedio</w:t>
            </w:r>
            <w:proofErr w:type="spellEnd"/>
          </w:p>
        </w:tc>
        <w:tc>
          <w:tcPr>
            <w:tcW w:w="1467" w:type="dxa"/>
            <w:tcBorders>
              <w:top w:val="single" w:sz="4" w:space="0" w:color="auto"/>
              <w:left w:val="nil"/>
              <w:bottom w:val="single" w:sz="4" w:space="0" w:color="auto"/>
              <w:right w:val="single" w:sz="4" w:space="0" w:color="auto"/>
            </w:tcBorders>
            <w:shd w:val="clear" w:color="000000" w:fill="244062"/>
            <w:vAlign w:val="center"/>
            <w:hideMark/>
          </w:tcPr>
          <w:p w14:paraId="110F9D28" w14:textId="77777777" w:rsidR="007B3093" w:rsidRDefault="00000000">
            <w:pPr>
              <w:spacing w:after="0" w:line="240" w:lineRule="auto"/>
              <w:jc w:val="center"/>
              <w:rPr>
                <w:rFonts w:ascii="Calibri" w:eastAsia="Times New Roman" w:hAnsi="Calibri" w:cs="Calibri"/>
                <w:b/>
                <w:bCs/>
                <w:color w:val="FFFFFF"/>
                <w:sz w:val="20"/>
                <w:szCs w:val="20"/>
                <w:lang w:val="en-US"/>
              </w:rPr>
            </w:pPr>
            <w:r>
              <w:rPr>
                <w:rFonts w:ascii="Calibri" w:eastAsia="Times New Roman" w:hAnsi="Calibri" w:cs="Calibri"/>
                <w:b/>
                <w:bCs/>
                <w:color w:val="FFFFFF"/>
                <w:sz w:val="20"/>
                <w:szCs w:val="20"/>
                <w:lang w:val="en-US"/>
              </w:rPr>
              <w:t xml:space="preserve">10% del </w:t>
            </w:r>
            <w:proofErr w:type="spellStart"/>
            <w:r>
              <w:rPr>
                <w:rFonts w:ascii="Calibri" w:eastAsia="Times New Roman" w:hAnsi="Calibri" w:cs="Calibri"/>
                <w:b/>
                <w:bCs/>
                <w:color w:val="FFFFFF"/>
                <w:sz w:val="20"/>
                <w:szCs w:val="20"/>
                <w:lang w:val="en-US"/>
              </w:rPr>
              <w:t>tiempo</w:t>
            </w:r>
            <w:proofErr w:type="spellEnd"/>
            <w:r>
              <w:rPr>
                <w:rFonts w:ascii="Calibri" w:eastAsia="Times New Roman" w:hAnsi="Calibri" w:cs="Calibri"/>
                <w:b/>
                <w:bCs/>
                <w:color w:val="FFFFFF"/>
                <w:sz w:val="20"/>
                <w:szCs w:val="20"/>
                <w:lang w:val="en-US"/>
              </w:rPr>
              <w:t xml:space="preserve"> total (días)</w:t>
            </w:r>
          </w:p>
        </w:tc>
        <w:tc>
          <w:tcPr>
            <w:tcW w:w="1300" w:type="dxa"/>
            <w:tcBorders>
              <w:top w:val="single" w:sz="4" w:space="0" w:color="auto"/>
              <w:left w:val="nil"/>
              <w:bottom w:val="single" w:sz="4" w:space="0" w:color="auto"/>
              <w:right w:val="single" w:sz="4" w:space="0" w:color="auto"/>
            </w:tcBorders>
            <w:shd w:val="clear" w:color="000000" w:fill="244062"/>
            <w:vAlign w:val="center"/>
            <w:hideMark/>
          </w:tcPr>
          <w:p w14:paraId="1F0CB145" w14:textId="77777777" w:rsidR="007B3093" w:rsidRDefault="00000000">
            <w:pPr>
              <w:spacing w:after="0" w:line="240" w:lineRule="auto"/>
              <w:jc w:val="center"/>
              <w:rPr>
                <w:rFonts w:ascii="Calibri" w:eastAsia="Times New Roman" w:hAnsi="Calibri" w:cs="Calibri"/>
                <w:b/>
                <w:bCs/>
                <w:color w:val="FFFFFF"/>
                <w:sz w:val="20"/>
                <w:szCs w:val="20"/>
                <w:lang w:val="en-US"/>
              </w:rPr>
            </w:pPr>
            <w:r>
              <w:rPr>
                <w:rFonts w:ascii="Calibri" w:eastAsia="Times New Roman" w:hAnsi="Calibri" w:cs="Calibri"/>
                <w:b/>
                <w:bCs/>
                <w:color w:val="FFFFFF"/>
                <w:sz w:val="20"/>
                <w:szCs w:val="20"/>
                <w:lang w:val="en-US"/>
              </w:rPr>
              <w:t xml:space="preserve">Costo </w:t>
            </w:r>
            <w:proofErr w:type="spellStart"/>
            <w:r>
              <w:rPr>
                <w:rFonts w:ascii="Calibri" w:eastAsia="Times New Roman" w:hAnsi="Calibri" w:cs="Calibri"/>
                <w:b/>
                <w:bCs/>
                <w:color w:val="FFFFFF"/>
                <w:sz w:val="20"/>
                <w:szCs w:val="20"/>
                <w:lang w:val="en-US"/>
              </w:rPr>
              <w:t>por</w:t>
            </w:r>
            <w:proofErr w:type="spellEnd"/>
            <w:r>
              <w:rPr>
                <w:rFonts w:ascii="Calibri" w:eastAsia="Times New Roman" w:hAnsi="Calibri" w:cs="Calibri"/>
                <w:b/>
                <w:bCs/>
                <w:color w:val="FFFFFF"/>
                <w:sz w:val="20"/>
                <w:szCs w:val="20"/>
                <w:lang w:val="en-US"/>
              </w:rPr>
              <w:t xml:space="preserve"> día (USD)</w:t>
            </w:r>
          </w:p>
        </w:tc>
        <w:tc>
          <w:tcPr>
            <w:tcW w:w="1481" w:type="dxa"/>
            <w:tcBorders>
              <w:top w:val="single" w:sz="4" w:space="0" w:color="auto"/>
              <w:left w:val="nil"/>
              <w:bottom w:val="single" w:sz="4" w:space="0" w:color="auto"/>
              <w:right w:val="single" w:sz="4" w:space="0" w:color="auto"/>
            </w:tcBorders>
            <w:shd w:val="clear" w:color="000000" w:fill="244062"/>
            <w:vAlign w:val="center"/>
            <w:hideMark/>
          </w:tcPr>
          <w:p w14:paraId="44F95E36" w14:textId="77777777" w:rsidR="007B3093" w:rsidRDefault="00000000">
            <w:pPr>
              <w:spacing w:after="0" w:line="240" w:lineRule="auto"/>
              <w:jc w:val="center"/>
              <w:rPr>
                <w:rFonts w:ascii="Calibri" w:eastAsia="Times New Roman" w:hAnsi="Calibri" w:cs="Calibri"/>
                <w:b/>
                <w:bCs/>
                <w:color w:val="FFFFFF"/>
                <w:sz w:val="20"/>
                <w:szCs w:val="20"/>
                <w:lang w:val="es-MX"/>
              </w:rPr>
            </w:pPr>
            <w:r>
              <w:rPr>
                <w:rFonts w:ascii="Calibri" w:eastAsia="Times New Roman" w:hAnsi="Calibri" w:cs="Calibri"/>
                <w:b/>
                <w:bCs/>
                <w:color w:val="FFFFFF"/>
                <w:sz w:val="20"/>
                <w:szCs w:val="20"/>
                <w:lang w:val="es-MX"/>
              </w:rPr>
              <w:t>Ahorro en tiempo de trámite (USD)</w:t>
            </w:r>
          </w:p>
        </w:tc>
      </w:tr>
      <w:tr w:rsidR="007B3093" w14:paraId="73F7D65D" w14:textId="77777777">
        <w:trPr>
          <w:trHeight w:val="248"/>
        </w:trPr>
        <w:tc>
          <w:tcPr>
            <w:tcW w:w="1550" w:type="dxa"/>
            <w:tcBorders>
              <w:top w:val="nil"/>
              <w:left w:val="single" w:sz="4" w:space="0" w:color="auto"/>
              <w:bottom w:val="single" w:sz="4" w:space="0" w:color="auto"/>
              <w:right w:val="single" w:sz="4" w:space="0" w:color="auto"/>
            </w:tcBorders>
            <w:shd w:val="clear" w:color="000000" w:fill="244062"/>
            <w:noWrap/>
            <w:vAlign w:val="bottom"/>
            <w:hideMark/>
          </w:tcPr>
          <w:p w14:paraId="716BB847" w14:textId="77777777" w:rsidR="007B3093" w:rsidRDefault="00000000">
            <w:pPr>
              <w:spacing w:after="0" w:line="240" w:lineRule="auto"/>
              <w:rPr>
                <w:rFonts w:ascii="Calibri" w:eastAsia="Times New Roman" w:hAnsi="Calibri" w:cs="Calibri"/>
                <w:b/>
                <w:bCs/>
                <w:color w:val="FFFFFF"/>
                <w:sz w:val="20"/>
                <w:szCs w:val="20"/>
                <w:lang w:val="en-US"/>
              </w:rPr>
            </w:pPr>
            <w:r>
              <w:rPr>
                <w:rFonts w:ascii="Calibri" w:eastAsia="Times New Roman" w:hAnsi="Calibri" w:cs="Calibri"/>
                <w:b/>
                <w:bCs/>
                <w:color w:val="FFFFFF"/>
                <w:sz w:val="20"/>
                <w:szCs w:val="20"/>
                <w:lang w:val="en-US"/>
              </w:rPr>
              <w:t>Hojas de Ruta</w:t>
            </w:r>
          </w:p>
        </w:tc>
        <w:tc>
          <w:tcPr>
            <w:tcW w:w="1467" w:type="dxa"/>
            <w:tcBorders>
              <w:top w:val="nil"/>
              <w:left w:val="nil"/>
              <w:bottom w:val="single" w:sz="4" w:space="0" w:color="auto"/>
              <w:right w:val="single" w:sz="4" w:space="0" w:color="auto"/>
            </w:tcBorders>
            <w:shd w:val="clear" w:color="auto" w:fill="auto"/>
            <w:noWrap/>
            <w:vAlign w:val="bottom"/>
            <w:hideMark/>
          </w:tcPr>
          <w:p w14:paraId="4C896B5C"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1.777,00 </w:t>
            </w:r>
          </w:p>
        </w:tc>
        <w:tc>
          <w:tcPr>
            <w:tcW w:w="1296" w:type="dxa"/>
            <w:tcBorders>
              <w:top w:val="nil"/>
              <w:left w:val="nil"/>
              <w:bottom w:val="single" w:sz="4" w:space="0" w:color="auto"/>
              <w:right w:val="single" w:sz="4" w:space="0" w:color="auto"/>
            </w:tcBorders>
            <w:shd w:val="clear" w:color="auto" w:fill="auto"/>
            <w:noWrap/>
            <w:vAlign w:val="bottom"/>
            <w:hideMark/>
          </w:tcPr>
          <w:p w14:paraId="4EE89418"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15,4</w:t>
            </w:r>
          </w:p>
        </w:tc>
        <w:tc>
          <w:tcPr>
            <w:tcW w:w="1467" w:type="dxa"/>
            <w:tcBorders>
              <w:top w:val="nil"/>
              <w:left w:val="nil"/>
              <w:bottom w:val="single" w:sz="4" w:space="0" w:color="auto"/>
              <w:right w:val="single" w:sz="4" w:space="0" w:color="auto"/>
            </w:tcBorders>
            <w:shd w:val="clear" w:color="auto" w:fill="auto"/>
            <w:noWrap/>
            <w:vAlign w:val="bottom"/>
            <w:hideMark/>
          </w:tcPr>
          <w:p w14:paraId="4B86373B"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2.736,58 </w:t>
            </w:r>
          </w:p>
        </w:tc>
        <w:tc>
          <w:tcPr>
            <w:tcW w:w="1300" w:type="dxa"/>
            <w:tcBorders>
              <w:top w:val="nil"/>
              <w:left w:val="nil"/>
              <w:bottom w:val="single" w:sz="4" w:space="0" w:color="auto"/>
              <w:right w:val="single" w:sz="4" w:space="0" w:color="auto"/>
            </w:tcBorders>
            <w:shd w:val="clear" w:color="auto" w:fill="auto"/>
            <w:noWrap/>
            <w:vAlign w:val="bottom"/>
            <w:hideMark/>
          </w:tcPr>
          <w:p w14:paraId="7701BC74"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40,4</w:t>
            </w:r>
          </w:p>
        </w:tc>
        <w:tc>
          <w:tcPr>
            <w:tcW w:w="1481" w:type="dxa"/>
            <w:tcBorders>
              <w:top w:val="nil"/>
              <w:left w:val="nil"/>
              <w:bottom w:val="single" w:sz="4" w:space="0" w:color="auto"/>
              <w:right w:val="single" w:sz="4" w:space="0" w:color="auto"/>
            </w:tcBorders>
            <w:shd w:val="clear" w:color="auto" w:fill="auto"/>
            <w:noWrap/>
            <w:vAlign w:val="bottom"/>
            <w:hideMark/>
          </w:tcPr>
          <w:p w14:paraId="18A7AF2B"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110.557,83 </w:t>
            </w:r>
          </w:p>
        </w:tc>
      </w:tr>
      <w:tr w:rsidR="007B3093" w14:paraId="621B6934" w14:textId="77777777">
        <w:trPr>
          <w:trHeight w:val="248"/>
        </w:trPr>
        <w:tc>
          <w:tcPr>
            <w:tcW w:w="1550" w:type="dxa"/>
            <w:tcBorders>
              <w:top w:val="nil"/>
              <w:left w:val="single" w:sz="4" w:space="0" w:color="auto"/>
              <w:bottom w:val="single" w:sz="4" w:space="0" w:color="auto"/>
              <w:right w:val="single" w:sz="4" w:space="0" w:color="auto"/>
            </w:tcBorders>
            <w:shd w:val="clear" w:color="000000" w:fill="244062"/>
            <w:noWrap/>
            <w:vAlign w:val="bottom"/>
            <w:hideMark/>
          </w:tcPr>
          <w:p w14:paraId="05E7B483" w14:textId="77777777" w:rsidR="007B3093" w:rsidRDefault="00000000">
            <w:pPr>
              <w:spacing w:after="0" w:line="240" w:lineRule="auto"/>
              <w:rPr>
                <w:rFonts w:ascii="Calibri" w:eastAsia="Times New Roman" w:hAnsi="Calibri" w:cs="Calibri"/>
                <w:b/>
                <w:bCs/>
                <w:color w:val="FFFFFF"/>
                <w:sz w:val="20"/>
                <w:szCs w:val="20"/>
                <w:lang w:val="en-US"/>
              </w:rPr>
            </w:pPr>
            <w:proofErr w:type="spellStart"/>
            <w:r>
              <w:rPr>
                <w:rFonts w:ascii="Calibri" w:eastAsia="Times New Roman" w:hAnsi="Calibri" w:cs="Calibri"/>
                <w:b/>
                <w:bCs/>
                <w:color w:val="FFFFFF"/>
                <w:sz w:val="20"/>
                <w:szCs w:val="20"/>
                <w:lang w:val="en-US"/>
              </w:rPr>
              <w:t>Boletas</w:t>
            </w:r>
            <w:proofErr w:type="spellEnd"/>
            <w:r>
              <w:rPr>
                <w:rFonts w:ascii="Calibri" w:eastAsia="Times New Roman" w:hAnsi="Calibri" w:cs="Calibri"/>
                <w:b/>
                <w:bCs/>
                <w:color w:val="FFFFFF"/>
                <w:sz w:val="20"/>
                <w:szCs w:val="20"/>
                <w:lang w:val="en-US"/>
              </w:rPr>
              <w:t xml:space="preserve"> </w:t>
            </w:r>
          </w:p>
        </w:tc>
        <w:tc>
          <w:tcPr>
            <w:tcW w:w="1467" w:type="dxa"/>
            <w:tcBorders>
              <w:top w:val="nil"/>
              <w:left w:val="nil"/>
              <w:bottom w:val="single" w:sz="4" w:space="0" w:color="auto"/>
              <w:right w:val="single" w:sz="4" w:space="0" w:color="auto"/>
            </w:tcBorders>
            <w:shd w:val="clear" w:color="auto" w:fill="auto"/>
            <w:noWrap/>
            <w:vAlign w:val="bottom"/>
            <w:hideMark/>
          </w:tcPr>
          <w:p w14:paraId="2504A97C"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65.755,00 </w:t>
            </w:r>
          </w:p>
        </w:tc>
        <w:tc>
          <w:tcPr>
            <w:tcW w:w="1296" w:type="dxa"/>
            <w:tcBorders>
              <w:top w:val="nil"/>
              <w:left w:val="nil"/>
              <w:bottom w:val="single" w:sz="4" w:space="0" w:color="auto"/>
              <w:right w:val="single" w:sz="4" w:space="0" w:color="auto"/>
            </w:tcBorders>
            <w:shd w:val="clear" w:color="auto" w:fill="auto"/>
            <w:noWrap/>
            <w:vAlign w:val="bottom"/>
            <w:hideMark/>
          </w:tcPr>
          <w:p w14:paraId="3EE6ADBF"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5,31</w:t>
            </w:r>
          </w:p>
        </w:tc>
        <w:tc>
          <w:tcPr>
            <w:tcW w:w="1467" w:type="dxa"/>
            <w:tcBorders>
              <w:top w:val="nil"/>
              <w:left w:val="nil"/>
              <w:bottom w:val="single" w:sz="4" w:space="0" w:color="auto"/>
              <w:right w:val="single" w:sz="4" w:space="0" w:color="auto"/>
            </w:tcBorders>
            <w:shd w:val="clear" w:color="auto" w:fill="auto"/>
            <w:noWrap/>
            <w:vAlign w:val="bottom"/>
            <w:hideMark/>
          </w:tcPr>
          <w:p w14:paraId="32A45EF7"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34.915,91 </w:t>
            </w:r>
          </w:p>
        </w:tc>
        <w:tc>
          <w:tcPr>
            <w:tcW w:w="1300" w:type="dxa"/>
            <w:tcBorders>
              <w:top w:val="nil"/>
              <w:left w:val="nil"/>
              <w:bottom w:val="single" w:sz="4" w:space="0" w:color="auto"/>
              <w:right w:val="single" w:sz="4" w:space="0" w:color="auto"/>
            </w:tcBorders>
            <w:shd w:val="clear" w:color="auto" w:fill="auto"/>
            <w:noWrap/>
            <w:vAlign w:val="bottom"/>
            <w:hideMark/>
          </w:tcPr>
          <w:p w14:paraId="66DBF6C1"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40,4</w:t>
            </w:r>
          </w:p>
        </w:tc>
        <w:tc>
          <w:tcPr>
            <w:tcW w:w="1481" w:type="dxa"/>
            <w:tcBorders>
              <w:top w:val="nil"/>
              <w:left w:val="nil"/>
              <w:bottom w:val="single" w:sz="4" w:space="0" w:color="auto"/>
              <w:right w:val="single" w:sz="4" w:space="0" w:color="auto"/>
            </w:tcBorders>
            <w:shd w:val="clear" w:color="auto" w:fill="auto"/>
            <w:noWrap/>
            <w:vAlign w:val="bottom"/>
            <w:hideMark/>
          </w:tcPr>
          <w:p w14:paraId="1F963FD4"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1.410.602,56 </w:t>
            </w:r>
          </w:p>
        </w:tc>
      </w:tr>
      <w:tr w:rsidR="007B3093" w14:paraId="6CA20D8A" w14:textId="77777777">
        <w:trPr>
          <w:trHeight w:val="248"/>
        </w:trPr>
        <w:tc>
          <w:tcPr>
            <w:tcW w:w="1550" w:type="dxa"/>
            <w:tcBorders>
              <w:top w:val="nil"/>
              <w:left w:val="single" w:sz="4" w:space="0" w:color="auto"/>
              <w:bottom w:val="single" w:sz="4" w:space="0" w:color="auto"/>
              <w:right w:val="single" w:sz="4" w:space="0" w:color="auto"/>
            </w:tcBorders>
            <w:shd w:val="clear" w:color="000000" w:fill="244062"/>
            <w:noWrap/>
            <w:vAlign w:val="bottom"/>
            <w:hideMark/>
          </w:tcPr>
          <w:p w14:paraId="509FCAC7" w14:textId="77777777" w:rsidR="007B3093" w:rsidRDefault="00000000">
            <w:pPr>
              <w:spacing w:after="0" w:line="240" w:lineRule="auto"/>
              <w:rPr>
                <w:rFonts w:ascii="Calibri" w:eastAsia="Times New Roman" w:hAnsi="Calibri" w:cs="Calibri"/>
                <w:b/>
                <w:bCs/>
                <w:color w:val="FFFFFF"/>
                <w:sz w:val="20"/>
                <w:szCs w:val="20"/>
                <w:lang w:val="en-US"/>
              </w:rPr>
            </w:pPr>
            <w:proofErr w:type="spellStart"/>
            <w:r>
              <w:rPr>
                <w:rFonts w:ascii="Calibri" w:eastAsia="Times New Roman" w:hAnsi="Calibri" w:cs="Calibri"/>
                <w:b/>
                <w:bCs/>
                <w:color w:val="FFFFFF"/>
                <w:sz w:val="20"/>
                <w:szCs w:val="20"/>
                <w:lang w:val="en-US"/>
              </w:rPr>
              <w:t>Citaciones</w:t>
            </w:r>
            <w:proofErr w:type="spellEnd"/>
          </w:p>
        </w:tc>
        <w:tc>
          <w:tcPr>
            <w:tcW w:w="1467" w:type="dxa"/>
            <w:tcBorders>
              <w:top w:val="nil"/>
              <w:left w:val="nil"/>
              <w:bottom w:val="single" w:sz="4" w:space="0" w:color="auto"/>
              <w:right w:val="single" w:sz="4" w:space="0" w:color="auto"/>
            </w:tcBorders>
            <w:shd w:val="clear" w:color="auto" w:fill="auto"/>
            <w:noWrap/>
            <w:vAlign w:val="bottom"/>
            <w:hideMark/>
          </w:tcPr>
          <w:p w14:paraId="1D331ACC"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4.133,00 </w:t>
            </w:r>
          </w:p>
        </w:tc>
        <w:tc>
          <w:tcPr>
            <w:tcW w:w="1296" w:type="dxa"/>
            <w:tcBorders>
              <w:top w:val="nil"/>
              <w:left w:val="nil"/>
              <w:bottom w:val="single" w:sz="4" w:space="0" w:color="auto"/>
              <w:right w:val="single" w:sz="4" w:space="0" w:color="auto"/>
            </w:tcBorders>
            <w:shd w:val="clear" w:color="auto" w:fill="auto"/>
            <w:noWrap/>
            <w:vAlign w:val="bottom"/>
            <w:hideMark/>
          </w:tcPr>
          <w:p w14:paraId="4C97CA2B"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18,66</w:t>
            </w:r>
          </w:p>
        </w:tc>
        <w:tc>
          <w:tcPr>
            <w:tcW w:w="1467" w:type="dxa"/>
            <w:tcBorders>
              <w:top w:val="nil"/>
              <w:left w:val="nil"/>
              <w:bottom w:val="single" w:sz="4" w:space="0" w:color="auto"/>
              <w:right w:val="single" w:sz="4" w:space="0" w:color="auto"/>
            </w:tcBorders>
            <w:shd w:val="clear" w:color="auto" w:fill="auto"/>
            <w:noWrap/>
            <w:vAlign w:val="bottom"/>
            <w:hideMark/>
          </w:tcPr>
          <w:p w14:paraId="7633A717"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7.712,18 </w:t>
            </w:r>
          </w:p>
        </w:tc>
        <w:tc>
          <w:tcPr>
            <w:tcW w:w="1300" w:type="dxa"/>
            <w:tcBorders>
              <w:top w:val="nil"/>
              <w:left w:val="nil"/>
              <w:bottom w:val="single" w:sz="4" w:space="0" w:color="auto"/>
              <w:right w:val="single" w:sz="4" w:space="0" w:color="auto"/>
            </w:tcBorders>
            <w:shd w:val="clear" w:color="auto" w:fill="auto"/>
            <w:noWrap/>
            <w:vAlign w:val="bottom"/>
            <w:hideMark/>
          </w:tcPr>
          <w:p w14:paraId="369E0488"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40,4</w:t>
            </w:r>
          </w:p>
        </w:tc>
        <w:tc>
          <w:tcPr>
            <w:tcW w:w="1481" w:type="dxa"/>
            <w:tcBorders>
              <w:top w:val="nil"/>
              <w:left w:val="nil"/>
              <w:bottom w:val="single" w:sz="4" w:space="0" w:color="auto"/>
              <w:right w:val="single" w:sz="4" w:space="0" w:color="auto"/>
            </w:tcBorders>
            <w:shd w:val="clear" w:color="auto" w:fill="auto"/>
            <w:noWrap/>
            <w:vAlign w:val="bottom"/>
            <w:hideMark/>
          </w:tcPr>
          <w:p w14:paraId="6720B3E4"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311.571,99 </w:t>
            </w:r>
          </w:p>
        </w:tc>
      </w:tr>
      <w:tr w:rsidR="007B3093" w14:paraId="02DCC2E2" w14:textId="77777777">
        <w:trPr>
          <w:trHeight w:val="248"/>
        </w:trPr>
        <w:tc>
          <w:tcPr>
            <w:tcW w:w="7081" w:type="dxa"/>
            <w:gridSpan w:val="5"/>
            <w:tcBorders>
              <w:top w:val="single" w:sz="4" w:space="0" w:color="auto"/>
              <w:left w:val="single" w:sz="4" w:space="0" w:color="auto"/>
              <w:bottom w:val="single" w:sz="4" w:space="0" w:color="auto"/>
              <w:right w:val="single" w:sz="4" w:space="0" w:color="auto"/>
            </w:tcBorders>
            <w:shd w:val="clear" w:color="000000" w:fill="244062"/>
            <w:noWrap/>
            <w:vAlign w:val="bottom"/>
            <w:hideMark/>
          </w:tcPr>
          <w:p w14:paraId="1FEE4D90" w14:textId="77777777" w:rsidR="007B3093" w:rsidRDefault="00000000">
            <w:pPr>
              <w:spacing w:after="0" w:line="240" w:lineRule="auto"/>
              <w:rPr>
                <w:rFonts w:ascii="Calibri" w:eastAsia="Times New Roman" w:hAnsi="Calibri" w:cs="Calibri"/>
                <w:b/>
                <w:bCs/>
                <w:color w:val="FFFFFF"/>
                <w:sz w:val="20"/>
                <w:szCs w:val="20"/>
                <w:lang w:val="en-US"/>
              </w:rPr>
            </w:pPr>
            <w:r>
              <w:rPr>
                <w:rFonts w:ascii="Calibri" w:eastAsia="Times New Roman" w:hAnsi="Calibri" w:cs="Calibri"/>
                <w:b/>
                <w:bCs/>
                <w:color w:val="FFFFFF"/>
                <w:sz w:val="20"/>
                <w:szCs w:val="20"/>
                <w:lang w:val="en-US"/>
              </w:rPr>
              <w:t>Total</w:t>
            </w:r>
          </w:p>
        </w:tc>
        <w:tc>
          <w:tcPr>
            <w:tcW w:w="1481" w:type="dxa"/>
            <w:tcBorders>
              <w:top w:val="nil"/>
              <w:left w:val="nil"/>
              <w:bottom w:val="single" w:sz="4" w:space="0" w:color="auto"/>
              <w:right w:val="single" w:sz="4" w:space="0" w:color="auto"/>
            </w:tcBorders>
            <w:shd w:val="clear" w:color="auto" w:fill="auto"/>
            <w:noWrap/>
            <w:vAlign w:val="bottom"/>
            <w:hideMark/>
          </w:tcPr>
          <w:p w14:paraId="14224C7B" w14:textId="77777777" w:rsidR="007B3093" w:rsidRDefault="00000000">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 xml:space="preserve">   1.832.732,39 </w:t>
            </w:r>
          </w:p>
        </w:tc>
      </w:tr>
    </w:tbl>
    <w:p w14:paraId="6A2D146B" w14:textId="77777777" w:rsidR="007B3093" w:rsidRDefault="00000000">
      <w:pPr>
        <w:spacing w:after="0" w:line="360" w:lineRule="auto"/>
        <w:contextualSpacing/>
        <w:rPr>
          <w:rFonts w:cstheme="minorHAnsi"/>
          <w:b/>
        </w:rPr>
      </w:pPr>
      <w:r>
        <w:t>E</w:t>
      </w:r>
      <w:r>
        <w:rPr>
          <w:rFonts w:cstheme="minorHAnsi"/>
          <w:b/>
          <w:sz w:val="20"/>
        </w:rPr>
        <w:t>laboración: EDG PROFIP PGE</w:t>
      </w:r>
    </w:p>
    <w:p w14:paraId="5E752F2E" w14:textId="77777777" w:rsidR="007B3093" w:rsidRDefault="007B3093">
      <w:pPr>
        <w:pStyle w:val="Prrafodelista"/>
        <w:spacing w:before="120" w:after="120" w:line="360" w:lineRule="auto"/>
        <w:ind w:left="142" w:firstLine="425"/>
        <w:contextualSpacing w:val="0"/>
        <w:jc w:val="both"/>
        <w:rPr>
          <w:rFonts w:cstheme="minorHAnsi"/>
        </w:rPr>
      </w:pPr>
    </w:p>
    <w:p w14:paraId="509FCE2D" w14:textId="77777777" w:rsidR="007B3093" w:rsidRDefault="00000000">
      <w:pPr>
        <w:pStyle w:val="Prrafodelista"/>
        <w:spacing w:before="120" w:after="120" w:line="360" w:lineRule="auto"/>
        <w:ind w:left="142"/>
        <w:contextualSpacing w:val="0"/>
        <w:jc w:val="both"/>
        <w:rPr>
          <w:rFonts w:cstheme="minorHAnsi"/>
        </w:rPr>
      </w:pPr>
      <w:r>
        <w:rPr>
          <w:rFonts w:cstheme="minorHAnsi"/>
        </w:rPr>
        <w:t>La Ex SENPLADES dentro de la evaluación económica que realizó para su proyecto “Fortalecimiento del Sistema de Planificación Nacional Mediante la Automatización de los Procesos Sustantivos de la Cadena de Valor de la Ex SENPLADES”, estimó el costo de hora promedio del trabajo del talento humano que utilizan sus sistemas institucionales fuera de dicha entidad, tomando como referencia el costo de un  funcionario de la función ejecutiva perteneciente a la categoría “SP5”, obteniendo como resultado un “Costo promedio hora de trabajo” de USD 5,05. Este valor ha sido multiplicado por las 8 horas para obtener el valor de USD 40,40 que se utilizan como costo de un día de trabajo en la Tabla No. 34.</w:t>
      </w:r>
    </w:p>
    <w:p w14:paraId="1DB585B7" w14:textId="77777777" w:rsidR="007B3093" w:rsidRDefault="007B3093">
      <w:pPr>
        <w:pStyle w:val="Prrafodelista"/>
        <w:spacing w:before="120" w:after="120" w:line="360" w:lineRule="auto"/>
        <w:ind w:left="142" w:firstLine="425"/>
        <w:contextualSpacing w:val="0"/>
        <w:jc w:val="both"/>
        <w:rPr>
          <w:rFonts w:cstheme="minorHAnsi"/>
        </w:rPr>
      </w:pPr>
    </w:p>
    <w:p w14:paraId="57D79080" w14:textId="77777777" w:rsidR="007B3093" w:rsidRDefault="00000000">
      <w:pPr>
        <w:pStyle w:val="Ttulo2"/>
        <w:numPr>
          <w:ilvl w:val="2"/>
          <w:numId w:val="24"/>
        </w:numPr>
        <w:spacing w:before="0" w:line="360" w:lineRule="auto"/>
        <w:ind w:left="851"/>
        <w:rPr>
          <w:rFonts w:asciiTheme="minorHAnsi" w:hAnsiTheme="minorHAnsi" w:cstheme="minorHAnsi"/>
          <w:b/>
          <w:color w:val="auto"/>
          <w:sz w:val="22"/>
          <w:szCs w:val="22"/>
        </w:rPr>
      </w:pPr>
      <w:bookmarkStart w:id="82" w:name="_Toc195010092"/>
      <w:r>
        <w:rPr>
          <w:rFonts w:asciiTheme="minorHAnsi" w:hAnsiTheme="minorHAnsi" w:cstheme="minorHAnsi"/>
          <w:b/>
          <w:color w:val="auto"/>
          <w:sz w:val="22"/>
          <w:szCs w:val="22"/>
        </w:rPr>
        <w:lastRenderedPageBreak/>
        <w:t>Flujo económico</w:t>
      </w:r>
      <w:bookmarkEnd w:id="82"/>
    </w:p>
    <w:p w14:paraId="03CF623C" w14:textId="77777777" w:rsidR="007B3093" w:rsidRDefault="00000000">
      <w:pPr>
        <w:pStyle w:val="Prrafodelista"/>
        <w:spacing w:before="120" w:after="120" w:line="360" w:lineRule="auto"/>
        <w:ind w:left="142"/>
        <w:contextualSpacing w:val="0"/>
        <w:jc w:val="both"/>
        <w:rPr>
          <w:rFonts w:cstheme="minorHAnsi"/>
        </w:rPr>
      </w:pPr>
      <w:r>
        <w:rPr>
          <w:rFonts w:cstheme="minorHAnsi"/>
        </w:rPr>
        <w:t>Se ha elaborado el flujo económico del proyecto, anualizando la inversión de acuerdo al cronograma de ejecución del proyecto y teniendo en cuenta que los ingresos por ahorro generados, así como los costos de operación y mantenimiento del equipo coordinador de la ejecución del proyecto, con el fin de demostrar la bondad del proyecto los ingresos por beneficios del proyecto se calculan desde 2025, año en que acorde a lo programado se implantarían los procesos automatizados, probablemente a medio año.</w:t>
      </w:r>
    </w:p>
    <w:p w14:paraId="45F84235" w14:textId="77777777" w:rsidR="007B3093" w:rsidRDefault="00000000">
      <w:pPr>
        <w:pStyle w:val="Prrafodelista"/>
        <w:spacing w:before="120" w:after="120" w:line="360" w:lineRule="auto"/>
        <w:ind w:left="142"/>
        <w:contextualSpacing w:val="0"/>
        <w:jc w:val="both"/>
        <w:rPr>
          <w:rFonts w:cstheme="minorHAnsi"/>
        </w:rPr>
      </w:pPr>
      <w:r>
        <w:rPr>
          <w:rFonts w:cstheme="minorHAnsi"/>
        </w:rPr>
        <w:t>Con esta implantación de los procesos automatizados y la depuración de causas, se considera que a 2025 el beneficio por concepto de ahorro de tiempo se hará al 33% anual, y para 2026 y 2027 el beneficio se estima en el 50% del ahorro, de 2028 en adelante se considera el beneficio al 100%, para efectos del cálculo en este proyecto se estiman 8 años de beneficios posterior al cierre del proyecto.</w:t>
      </w:r>
    </w:p>
    <w:p w14:paraId="6010BDC0" w14:textId="77777777" w:rsidR="007B3093" w:rsidRDefault="00000000">
      <w:pPr>
        <w:pStyle w:val="Prrafodelista"/>
        <w:spacing w:before="120" w:after="120" w:line="360" w:lineRule="auto"/>
        <w:ind w:left="142"/>
        <w:contextualSpacing w:val="0"/>
        <w:jc w:val="both"/>
        <w:rPr>
          <w:rFonts w:cstheme="minorHAnsi"/>
        </w:rPr>
      </w:pPr>
      <w:r>
        <w:rPr>
          <w:rFonts w:cstheme="minorHAnsi"/>
        </w:rPr>
        <w:t>Esto se presenta en la Tabla siguiente:</w:t>
      </w:r>
    </w:p>
    <w:p w14:paraId="7D4C4810" w14:textId="77777777" w:rsidR="007B3093" w:rsidRDefault="007B3093">
      <w:pPr>
        <w:pStyle w:val="Prrafodelista"/>
        <w:spacing w:before="120" w:after="120" w:line="360" w:lineRule="auto"/>
        <w:ind w:left="142"/>
        <w:contextualSpacing w:val="0"/>
        <w:jc w:val="both"/>
        <w:rPr>
          <w:rFonts w:cstheme="minorHAnsi"/>
        </w:rPr>
      </w:pPr>
    </w:p>
    <w:p w14:paraId="72757B6E" w14:textId="77777777" w:rsidR="007B3093" w:rsidRDefault="00000000">
      <w:pPr>
        <w:pStyle w:val="Prrafodelista"/>
        <w:spacing w:before="120" w:after="120" w:line="360" w:lineRule="auto"/>
        <w:ind w:left="142" w:firstLine="566"/>
        <w:contextualSpacing w:val="0"/>
        <w:jc w:val="both"/>
        <w:rPr>
          <w:rFonts w:cstheme="minorHAnsi"/>
        </w:rPr>
      </w:pPr>
      <w:r>
        <w:rPr>
          <w:rFonts w:cstheme="minorHAnsi"/>
          <w:b/>
        </w:rPr>
        <w:t>Tabla 35: Ahorros en costo del tiempo de trámite anual de la gestión interna</w:t>
      </w:r>
    </w:p>
    <w:tbl>
      <w:tblPr>
        <w:tblW w:w="6574" w:type="dxa"/>
        <w:tblInd w:w="956" w:type="dxa"/>
        <w:tblLook w:val="04A0" w:firstRow="1" w:lastRow="0" w:firstColumn="1" w:lastColumn="0" w:noHBand="0" w:noVBand="1"/>
      </w:tblPr>
      <w:tblGrid>
        <w:gridCol w:w="1972"/>
        <w:gridCol w:w="2361"/>
        <w:gridCol w:w="2241"/>
      </w:tblGrid>
      <w:tr w:rsidR="007B3093" w14:paraId="06B2F28D" w14:textId="77777777">
        <w:trPr>
          <w:trHeight w:val="264"/>
        </w:trPr>
        <w:tc>
          <w:tcPr>
            <w:tcW w:w="1972" w:type="dxa"/>
            <w:tcBorders>
              <w:top w:val="single" w:sz="4" w:space="0" w:color="auto"/>
              <w:left w:val="single" w:sz="4" w:space="0" w:color="auto"/>
              <w:bottom w:val="single" w:sz="4" w:space="0" w:color="auto"/>
              <w:right w:val="single" w:sz="4" w:space="0" w:color="auto"/>
            </w:tcBorders>
            <w:shd w:val="clear" w:color="000000" w:fill="244062"/>
            <w:noWrap/>
            <w:vAlign w:val="bottom"/>
            <w:hideMark/>
          </w:tcPr>
          <w:p w14:paraId="200D2146" w14:textId="77777777" w:rsidR="007B3093" w:rsidRDefault="00000000">
            <w:pPr>
              <w:spacing w:after="0" w:line="240" w:lineRule="auto"/>
              <w:jc w:val="center"/>
              <w:rPr>
                <w:rFonts w:ascii="Calibri" w:eastAsia="Times New Roman" w:hAnsi="Calibri" w:cs="Calibri"/>
                <w:b/>
                <w:bCs/>
                <w:color w:val="FFFFFF"/>
                <w:lang w:val="en-US"/>
              </w:rPr>
            </w:pPr>
            <w:r>
              <w:rPr>
                <w:rFonts w:ascii="Calibri" w:eastAsia="Times New Roman" w:hAnsi="Calibri" w:cs="Calibri"/>
                <w:b/>
                <w:bCs/>
                <w:color w:val="FFFFFF"/>
                <w:lang w:val="en-US"/>
              </w:rPr>
              <w:t>#</w:t>
            </w:r>
          </w:p>
        </w:tc>
        <w:tc>
          <w:tcPr>
            <w:tcW w:w="2361" w:type="dxa"/>
            <w:tcBorders>
              <w:top w:val="single" w:sz="4" w:space="0" w:color="auto"/>
              <w:left w:val="nil"/>
              <w:bottom w:val="single" w:sz="4" w:space="0" w:color="auto"/>
              <w:right w:val="single" w:sz="4" w:space="0" w:color="auto"/>
            </w:tcBorders>
            <w:shd w:val="clear" w:color="000000" w:fill="244062"/>
            <w:noWrap/>
            <w:vAlign w:val="bottom"/>
            <w:hideMark/>
          </w:tcPr>
          <w:p w14:paraId="32C24D14" w14:textId="77777777" w:rsidR="007B3093" w:rsidRDefault="00000000">
            <w:pPr>
              <w:spacing w:after="0" w:line="240" w:lineRule="auto"/>
              <w:jc w:val="center"/>
              <w:rPr>
                <w:rFonts w:ascii="Calibri" w:eastAsia="Times New Roman" w:hAnsi="Calibri" w:cs="Calibri"/>
                <w:b/>
                <w:bCs/>
                <w:color w:val="FFFFFF"/>
                <w:lang w:val="en-US"/>
              </w:rPr>
            </w:pPr>
            <w:proofErr w:type="spellStart"/>
            <w:r>
              <w:rPr>
                <w:rFonts w:ascii="Calibri" w:eastAsia="Times New Roman" w:hAnsi="Calibri" w:cs="Calibri"/>
                <w:b/>
                <w:bCs/>
                <w:color w:val="FFFFFF"/>
                <w:lang w:val="en-US"/>
              </w:rPr>
              <w:t>Años</w:t>
            </w:r>
            <w:proofErr w:type="spellEnd"/>
          </w:p>
        </w:tc>
        <w:tc>
          <w:tcPr>
            <w:tcW w:w="2241" w:type="dxa"/>
            <w:tcBorders>
              <w:top w:val="single" w:sz="4" w:space="0" w:color="auto"/>
              <w:left w:val="nil"/>
              <w:bottom w:val="single" w:sz="4" w:space="0" w:color="auto"/>
              <w:right w:val="single" w:sz="4" w:space="0" w:color="auto"/>
            </w:tcBorders>
            <w:shd w:val="clear" w:color="000000" w:fill="244062"/>
            <w:noWrap/>
            <w:vAlign w:val="bottom"/>
            <w:hideMark/>
          </w:tcPr>
          <w:p w14:paraId="6313B927" w14:textId="77777777" w:rsidR="007B3093" w:rsidRDefault="00000000">
            <w:pPr>
              <w:spacing w:after="0" w:line="240" w:lineRule="auto"/>
              <w:jc w:val="center"/>
              <w:rPr>
                <w:rFonts w:ascii="Calibri" w:eastAsia="Times New Roman" w:hAnsi="Calibri" w:cs="Calibri"/>
                <w:b/>
                <w:bCs/>
                <w:color w:val="FFFFFF"/>
                <w:lang w:val="en-US"/>
              </w:rPr>
            </w:pPr>
            <w:proofErr w:type="spellStart"/>
            <w:r>
              <w:rPr>
                <w:rFonts w:ascii="Calibri" w:eastAsia="Times New Roman" w:hAnsi="Calibri" w:cs="Calibri"/>
                <w:b/>
                <w:bCs/>
                <w:color w:val="FFFFFF"/>
                <w:lang w:val="en-US"/>
              </w:rPr>
              <w:t>Beneficios</w:t>
            </w:r>
            <w:proofErr w:type="spellEnd"/>
          </w:p>
        </w:tc>
      </w:tr>
      <w:tr w:rsidR="007B3093" w14:paraId="21564428"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1A0FB57C"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0</w:t>
            </w:r>
          </w:p>
        </w:tc>
        <w:tc>
          <w:tcPr>
            <w:tcW w:w="2361" w:type="dxa"/>
            <w:tcBorders>
              <w:top w:val="nil"/>
              <w:left w:val="nil"/>
              <w:bottom w:val="single" w:sz="4" w:space="0" w:color="auto"/>
              <w:right w:val="single" w:sz="4" w:space="0" w:color="auto"/>
            </w:tcBorders>
            <w:shd w:val="clear" w:color="auto" w:fill="auto"/>
            <w:noWrap/>
            <w:vAlign w:val="bottom"/>
            <w:hideMark/>
          </w:tcPr>
          <w:p w14:paraId="67B21A9B"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2022</w:t>
            </w:r>
          </w:p>
        </w:tc>
        <w:tc>
          <w:tcPr>
            <w:tcW w:w="2241" w:type="dxa"/>
            <w:tcBorders>
              <w:top w:val="nil"/>
              <w:left w:val="nil"/>
              <w:bottom w:val="single" w:sz="4" w:space="0" w:color="auto"/>
              <w:right w:val="single" w:sz="4" w:space="0" w:color="auto"/>
            </w:tcBorders>
            <w:shd w:val="clear" w:color="auto" w:fill="auto"/>
            <w:noWrap/>
            <w:vAlign w:val="bottom"/>
            <w:hideMark/>
          </w:tcPr>
          <w:p w14:paraId="36B38DDE"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0</w:t>
            </w:r>
          </w:p>
        </w:tc>
      </w:tr>
      <w:tr w:rsidR="007B3093" w14:paraId="4D0BF98C"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05818974"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0</w:t>
            </w:r>
          </w:p>
        </w:tc>
        <w:tc>
          <w:tcPr>
            <w:tcW w:w="2361" w:type="dxa"/>
            <w:tcBorders>
              <w:top w:val="nil"/>
              <w:left w:val="nil"/>
              <w:bottom w:val="single" w:sz="4" w:space="0" w:color="auto"/>
              <w:right w:val="single" w:sz="4" w:space="0" w:color="auto"/>
            </w:tcBorders>
            <w:shd w:val="clear" w:color="auto" w:fill="auto"/>
            <w:noWrap/>
            <w:vAlign w:val="bottom"/>
            <w:hideMark/>
          </w:tcPr>
          <w:p w14:paraId="5582CF3A"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2023</w:t>
            </w:r>
          </w:p>
        </w:tc>
        <w:tc>
          <w:tcPr>
            <w:tcW w:w="2241" w:type="dxa"/>
            <w:tcBorders>
              <w:top w:val="nil"/>
              <w:left w:val="nil"/>
              <w:bottom w:val="single" w:sz="4" w:space="0" w:color="auto"/>
              <w:right w:val="single" w:sz="4" w:space="0" w:color="auto"/>
            </w:tcBorders>
            <w:shd w:val="clear" w:color="auto" w:fill="auto"/>
            <w:noWrap/>
            <w:vAlign w:val="bottom"/>
            <w:hideMark/>
          </w:tcPr>
          <w:p w14:paraId="1654C4BB"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0</w:t>
            </w:r>
          </w:p>
        </w:tc>
      </w:tr>
      <w:tr w:rsidR="007B3093" w14:paraId="3EFEAA33"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5F7151DD"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0</w:t>
            </w:r>
          </w:p>
        </w:tc>
        <w:tc>
          <w:tcPr>
            <w:tcW w:w="2361" w:type="dxa"/>
            <w:tcBorders>
              <w:top w:val="nil"/>
              <w:left w:val="nil"/>
              <w:bottom w:val="single" w:sz="4" w:space="0" w:color="auto"/>
              <w:right w:val="single" w:sz="4" w:space="0" w:color="auto"/>
            </w:tcBorders>
            <w:shd w:val="clear" w:color="auto" w:fill="auto"/>
            <w:noWrap/>
            <w:vAlign w:val="bottom"/>
            <w:hideMark/>
          </w:tcPr>
          <w:p w14:paraId="195E7B9B"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2024</w:t>
            </w:r>
          </w:p>
        </w:tc>
        <w:tc>
          <w:tcPr>
            <w:tcW w:w="2241" w:type="dxa"/>
            <w:tcBorders>
              <w:top w:val="nil"/>
              <w:left w:val="nil"/>
              <w:bottom w:val="single" w:sz="4" w:space="0" w:color="auto"/>
              <w:right w:val="single" w:sz="4" w:space="0" w:color="auto"/>
            </w:tcBorders>
            <w:shd w:val="clear" w:color="auto" w:fill="auto"/>
            <w:noWrap/>
            <w:vAlign w:val="bottom"/>
            <w:hideMark/>
          </w:tcPr>
          <w:p w14:paraId="58B8A77F"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0</w:t>
            </w:r>
          </w:p>
        </w:tc>
      </w:tr>
      <w:tr w:rsidR="007B3093" w14:paraId="1E2616B6"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4AD4320E"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0</w:t>
            </w:r>
          </w:p>
        </w:tc>
        <w:tc>
          <w:tcPr>
            <w:tcW w:w="2361" w:type="dxa"/>
            <w:tcBorders>
              <w:top w:val="nil"/>
              <w:left w:val="nil"/>
              <w:bottom w:val="single" w:sz="4" w:space="0" w:color="auto"/>
              <w:right w:val="single" w:sz="4" w:space="0" w:color="auto"/>
            </w:tcBorders>
            <w:shd w:val="clear" w:color="auto" w:fill="auto"/>
            <w:noWrap/>
            <w:vAlign w:val="bottom"/>
            <w:hideMark/>
          </w:tcPr>
          <w:p w14:paraId="49912085" w14:textId="77777777" w:rsidR="007B3093" w:rsidRDefault="00000000">
            <w:pPr>
              <w:spacing w:after="0" w:line="240" w:lineRule="auto"/>
              <w:jc w:val="center"/>
              <w:rPr>
                <w:rFonts w:ascii="Calibri" w:eastAsia="Times New Roman" w:hAnsi="Calibri" w:cs="Calibri"/>
                <w:lang w:val="en-US"/>
              </w:rPr>
            </w:pPr>
            <w:r>
              <w:rPr>
                <w:rFonts w:ascii="Calibri" w:eastAsia="Times New Roman" w:hAnsi="Calibri" w:cs="Calibri"/>
                <w:lang w:val="en-US"/>
              </w:rPr>
              <w:t>2025</w:t>
            </w:r>
          </w:p>
        </w:tc>
        <w:tc>
          <w:tcPr>
            <w:tcW w:w="2241" w:type="dxa"/>
            <w:tcBorders>
              <w:top w:val="nil"/>
              <w:left w:val="nil"/>
              <w:bottom w:val="single" w:sz="4" w:space="0" w:color="auto"/>
              <w:right w:val="single" w:sz="4" w:space="0" w:color="auto"/>
            </w:tcBorders>
            <w:shd w:val="clear" w:color="auto" w:fill="auto"/>
            <w:noWrap/>
            <w:vAlign w:val="bottom"/>
            <w:hideMark/>
          </w:tcPr>
          <w:p w14:paraId="5F997B8F" w14:textId="77777777" w:rsidR="007B3093" w:rsidRDefault="00000000">
            <w:pPr>
              <w:spacing w:after="0" w:line="240" w:lineRule="auto"/>
              <w:jc w:val="right"/>
              <w:rPr>
                <w:rFonts w:ascii="Calibri" w:eastAsia="Times New Roman" w:hAnsi="Calibri" w:cs="Calibri"/>
                <w:lang w:val="en-US"/>
              </w:rPr>
            </w:pPr>
            <w:r>
              <w:rPr>
                <w:rFonts w:ascii="Calibri" w:eastAsia="Times New Roman" w:hAnsi="Calibri" w:cs="Calibri"/>
                <w:lang w:val="en-US"/>
              </w:rPr>
              <w:t xml:space="preserve">      610.910,18 </w:t>
            </w:r>
          </w:p>
        </w:tc>
      </w:tr>
      <w:tr w:rsidR="007B3093" w14:paraId="398472CE"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3641FDF6"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w:t>
            </w:r>
          </w:p>
        </w:tc>
        <w:tc>
          <w:tcPr>
            <w:tcW w:w="2361" w:type="dxa"/>
            <w:tcBorders>
              <w:top w:val="nil"/>
              <w:left w:val="nil"/>
              <w:bottom w:val="single" w:sz="4" w:space="0" w:color="auto"/>
              <w:right w:val="single" w:sz="4" w:space="0" w:color="auto"/>
            </w:tcBorders>
            <w:shd w:val="clear" w:color="auto" w:fill="auto"/>
            <w:noWrap/>
            <w:vAlign w:val="bottom"/>
            <w:hideMark/>
          </w:tcPr>
          <w:p w14:paraId="1CB8A8E6"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2026</w:t>
            </w:r>
          </w:p>
        </w:tc>
        <w:tc>
          <w:tcPr>
            <w:tcW w:w="2241" w:type="dxa"/>
            <w:tcBorders>
              <w:top w:val="nil"/>
              <w:left w:val="nil"/>
              <w:bottom w:val="single" w:sz="4" w:space="0" w:color="auto"/>
              <w:right w:val="single" w:sz="4" w:space="0" w:color="auto"/>
            </w:tcBorders>
            <w:shd w:val="clear" w:color="auto" w:fill="auto"/>
            <w:noWrap/>
            <w:vAlign w:val="bottom"/>
            <w:hideMark/>
          </w:tcPr>
          <w:p w14:paraId="733453EC"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1.221.822,20 </w:t>
            </w:r>
          </w:p>
        </w:tc>
      </w:tr>
      <w:tr w:rsidR="007B3093" w14:paraId="3C421F9E"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29351C3C"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w:t>
            </w:r>
          </w:p>
        </w:tc>
        <w:tc>
          <w:tcPr>
            <w:tcW w:w="2361" w:type="dxa"/>
            <w:tcBorders>
              <w:top w:val="nil"/>
              <w:left w:val="nil"/>
              <w:bottom w:val="single" w:sz="4" w:space="0" w:color="auto"/>
              <w:right w:val="single" w:sz="4" w:space="0" w:color="auto"/>
            </w:tcBorders>
            <w:shd w:val="clear" w:color="auto" w:fill="auto"/>
            <w:noWrap/>
            <w:vAlign w:val="bottom"/>
            <w:hideMark/>
          </w:tcPr>
          <w:p w14:paraId="7588E3A3"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2027</w:t>
            </w:r>
          </w:p>
        </w:tc>
        <w:tc>
          <w:tcPr>
            <w:tcW w:w="2241" w:type="dxa"/>
            <w:tcBorders>
              <w:top w:val="nil"/>
              <w:left w:val="nil"/>
              <w:bottom w:val="single" w:sz="4" w:space="0" w:color="auto"/>
              <w:right w:val="single" w:sz="4" w:space="0" w:color="auto"/>
            </w:tcBorders>
            <w:shd w:val="clear" w:color="auto" w:fill="auto"/>
            <w:noWrap/>
            <w:vAlign w:val="bottom"/>
            <w:hideMark/>
          </w:tcPr>
          <w:p w14:paraId="1F91ED1C"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1.221.822,20 </w:t>
            </w:r>
          </w:p>
        </w:tc>
      </w:tr>
      <w:tr w:rsidR="007B3093" w14:paraId="7BDC2893"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4FC3BF13"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w:t>
            </w:r>
          </w:p>
        </w:tc>
        <w:tc>
          <w:tcPr>
            <w:tcW w:w="2361" w:type="dxa"/>
            <w:tcBorders>
              <w:top w:val="nil"/>
              <w:left w:val="nil"/>
              <w:bottom w:val="single" w:sz="4" w:space="0" w:color="auto"/>
              <w:right w:val="single" w:sz="4" w:space="0" w:color="auto"/>
            </w:tcBorders>
            <w:shd w:val="clear" w:color="auto" w:fill="auto"/>
            <w:noWrap/>
            <w:vAlign w:val="bottom"/>
            <w:hideMark/>
          </w:tcPr>
          <w:p w14:paraId="23860B1B"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2028</w:t>
            </w:r>
          </w:p>
        </w:tc>
        <w:tc>
          <w:tcPr>
            <w:tcW w:w="2241" w:type="dxa"/>
            <w:tcBorders>
              <w:top w:val="nil"/>
              <w:left w:val="nil"/>
              <w:bottom w:val="single" w:sz="4" w:space="0" w:color="auto"/>
              <w:right w:val="single" w:sz="4" w:space="0" w:color="auto"/>
            </w:tcBorders>
            <w:shd w:val="clear" w:color="auto" w:fill="auto"/>
            <w:noWrap/>
            <w:vAlign w:val="bottom"/>
            <w:hideMark/>
          </w:tcPr>
          <w:p w14:paraId="6864BE0F"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1.832.732,39 </w:t>
            </w:r>
          </w:p>
        </w:tc>
      </w:tr>
      <w:tr w:rsidR="007B3093" w14:paraId="6055C5A6"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480D9B85"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w:t>
            </w:r>
          </w:p>
        </w:tc>
        <w:tc>
          <w:tcPr>
            <w:tcW w:w="2361" w:type="dxa"/>
            <w:tcBorders>
              <w:top w:val="nil"/>
              <w:left w:val="nil"/>
              <w:bottom w:val="single" w:sz="4" w:space="0" w:color="auto"/>
              <w:right w:val="single" w:sz="4" w:space="0" w:color="auto"/>
            </w:tcBorders>
            <w:shd w:val="clear" w:color="auto" w:fill="auto"/>
            <w:noWrap/>
            <w:vAlign w:val="bottom"/>
            <w:hideMark/>
          </w:tcPr>
          <w:p w14:paraId="4D140A91"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2029</w:t>
            </w:r>
          </w:p>
        </w:tc>
        <w:tc>
          <w:tcPr>
            <w:tcW w:w="2241" w:type="dxa"/>
            <w:tcBorders>
              <w:top w:val="nil"/>
              <w:left w:val="nil"/>
              <w:bottom w:val="single" w:sz="4" w:space="0" w:color="auto"/>
              <w:right w:val="single" w:sz="4" w:space="0" w:color="auto"/>
            </w:tcBorders>
            <w:shd w:val="clear" w:color="auto" w:fill="auto"/>
            <w:noWrap/>
            <w:vAlign w:val="bottom"/>
            <w:hideMark/>
          </w:tcPr>
          <w:p w14:paraId="14E640EF"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1.832.732,39 </w:t>
            </w:r>
          </w:p>
        </w:tc>
      </w:tr>
      <w:tr w:rsidR="007B3093" w14:paraId="27C3B135"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558C4D51"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w:t>
            </w:r>
          </w:p>
        </w:tc>
        <w:tc>
          <w:tcPr>
            <w:tcW w:w="2361" w:type="dxa"/>
            <w:tcBorders>
              <w:top w:val="nil"/>
              <w:left w:val="nil"/>
              <w:bottom w:val="single" w:sz="4" w:space="0" w:color="auto"/>
              <w:right w:val="single" w:sz="4" w:space="0" w:color="auto"/>
            </w:tcBorders>
            <w:shd w:val="clear" w:color="auto" w:fill="auto"/>
            <w:noWrap/>
            <w:vAlign w:val="bottom"/>
            <w:hideMark/>
          </w:tcPr>
          <w:p w14:paraId="027EF85E"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2030</w:t>
            </w:r>
          </w:p>
        </w:tc>
        <w:tc>
          <w:tcPr>
            <w:tcW w:w="2241" w:type="dxa"/>
            <w:tcBorders>
              <w:top w:val="nil"/>
              <w:left w:val="nil"/>
              <w:bottom w:val="single" w:sz="4" w:space="0" w:color="auto"/>
              <w:right w:val="single" w:sz="4" w:space="0" w:color="auto"/>
            </w:tcBorders>
            <w:shd w:val="clear" w:color="auto" w:fill="auto"/>
            <w:noWrap/>
            <w:vAlign w:val="bottom"/>
            <w:hideMark/>
          </w:tcPr>
          <w:p w14:paraId="5C0ADCC1"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1.832.732,39 </w:t>
            </w:r>
          </w:p>
        </w:tc>
      </w:tr>
      <w:tr w:rsidR="007B3093" w14:paraId="1E6D8776"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1972079D"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6</w:t>
            </w:r>
          </w:p>
        </w:tc>
        <w:tc>
          <w:tcPr>
            <w:tcW w:w="2361" w:type="dxa"/>
            <w:tcBorders>
              <w:top w:val="nil"/>
              <w:left w:val="nil"/>
              <w:bottom w:val="single" w:sz="4" w:space="0" w:color="auto"/>
              <w:right w:val="single" w:sz="4" w:space="0" w:color="auto"/>
            </w:tcBorders>
            <w:shd w:val="clear" w:color="auto" w:fill="auto"/>
            <w:noWrap/>
            <w:vAlign w:val="bottom"/>
            <w:hideMark/>
          </w:tcPr>
          <w:p w14:paraId="469ABED8"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2031</w:t>
            </w:r>
          </w:p>
        </w:tc>
        <w:tc>
          <w:tcPr>
            <w:tcW w:w="2241" w:type="dxa"/>
            <w:tcBorders>
              <w:top w:val="nil"/>
              <w:left w:val="nil"/>
              <w:bottom w:val="single" w:sz="4" w:space="0" w:color="auto"/>
              <w:right w:val="single" w:sz="4" w:space="0" w:color="auto"/>
            </w:tcBorders>
            <w:shd w:val="clear" w:color="auto" w:fill="auto"/>
            <w:noWrap/>
            <w:vAlign w:val="bottom"/>
            <w:hideMark/>
          </w:tcPr>
          <w:p w14:paraId="39982FC6"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1.832.732,39 </w:t>
            </w:r>
          </w:p>
        </w:tc>
      </w:tr>
      <w:tr w:rsidR="007B3093" w14:paraId="0848B41D"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6AF28D1C"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7</w:t>
            </w:r>
          </w:p>
        </w:tc>
        <w:tc>
          <w:tcPr>
            <w:tcW w:w="2361" w:type="dxa"/>
            <w:tcBorders>
              <w:top w:val="nil"/>
              <w:left w:val="nil"/>
              <w:bottom w:val="single" w:sz="4" w:space="0" w:color="auto"/>
              <w:right w:val="single" w:sz="4" w:space="0" w:color="auto"/>
            </w:tcBorders>
            <w:shd w:val="clear" w:color="auto" w:fill="auto"/>
            <w:noWrap/>
            <w:vAlign w:val="bottom"/>
            <w:hideMark/>
          </w:tcPr>
          <w:p w14:paraId="761C63CE"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2032</w:t>
            </w:r>
          </w:p>
        </w:tc>
        <w:tc>
          <w:tcPr>
            <w:tcW w:w="2241" w:type="dxa"/>
            <w:tcBorders>
              <w:top w:val="nil"/>
              <w:left w:val="nil"/>
              <w:bottom w:val="single" w:sz="4" w:space="0" w:color="auto"/>
              <w:right w:val="single" w:sz="4" w:space="0" w:color="auto"/>
            </w:tcBorders>
            <w:shd w:val="clear" w:color="auto" w:fill="auto"/>
            <w:noWrap/>
            <w:vAlign w:val="bottom"/>
            <w:hideMark/>
          </w:tcPr>
          <w:p w14:paraId="3A2DC0C2"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1.832.732,39 </w:t>
            </w:r>
          </w:p>
        </w:tc>
      </w:tr>
      <w:tr w:rsidR="007B3093" w14:paraId="1CF51234" w14:textId="77777777">
        <w:trPr>
          <w:trHeight w:val="264"/>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14:paraId="683263A5"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8</w:t>
            </w:r>
          </w:p>
        </w:tc>
        <w:tc>
          <w:tcPr>
            <w:tcW w:w="2361" w:type="dxa"/>
            <w:tcBorders>
              <w:top w:val="nil"/>
              <w:left w:val="nil"/>
              <w:bottom w:val="single" w:sz="4" w:space="0" w:color="auto"/>
              <w:right w:val="single" w:sz="4" w:space="0" w:color="auto"/>
            </w:tcBorders>
            <w:shd w:val="clear" w:color="auto" w:fill="auto"/>
            <w:noWrap/>
            <w:vAlign w:val="bottom"/>
            <w:hideMark/>
          </w:tcPr>
          <w:p w14:paraId="7025AA19" w14:textId="77777777" w:rsidR="007B3093" w:rsidRDefault="000000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2033</w:t>
            </w:r>
          </w:p>
        </w:tc>
        <w:tc>
          <w:tcPr>
            <w:tcW w:w="2241" w:type="dxa"/>
            <w:tcBorders>
              <w:top w:val="nil"/>
              <w:left w:val="nil"/>
              <w:bottom w:val="single" w:sz="4" w:space="0" w:color="auto"/>
              <w:right w:val="single" w:sz="4" w:space="0" w:color="auto"/>
            </w:tcBorders>
            <w:shd w:val="clear" w:color="auto" w:fill="auto"/>
            <w:noWrap/>
            <w:vAlign w:val="bottom"/>
            <w:hideMark/>
          </w:tcPr>
          <w:p w14:paraId="6FFB7644" w14:textId="77777777" w:rsidR="007B3093" w:rsidRDefault="0000000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 xml:space="preserve">   1.832.732,39 </w:t>
            </w:r>
          </w:p>
        </w:tc>
      </w:tr>
    </w:tbl>
    <w:p w14:paraId="00C82658" w14:textId="77777777" w:rsidR="007B3093" w:rsidRDefault="007B3093">
      <w:pPr>
        <w:pStyle w:val="Prrafodelista"/>
        <w:spacing w:before="120" w:after="120" w:line="360" w:lineRule="auto"/>
        <w:ind w:left="142"/>
        <w:contextualSpacing w:val="0"/>
        <w:jc w:val="both"/>
        <w:rPr>
          <w:rFonts w:cstheme="minorHAnsi"/>
        </w:rPr>
        <w:sectPr w:rsidR="007B3093">
          <w:pgSz w:w="11906" w:h="16838"/>
          <w:pgMar w:top="1843" w:right="1701" w:bottom="1417" w:left="1701" w:header="568" w:footer="708" w:gutter="0"/>
          <w:cols w:space="708"/>
          <w:docGrid w:linePitch="360"/>
        </w:sectPr>
      </w:pPr>
    </w:p>
    <w:p w14:paraId="19739C18" w14:textId="77777777" w:rsidR="007B3093" w:rsidRDefault="00000000">
      <w:pPr>
        <w:pStyle w:val="Ttulo2"/>
        <w:numPr>
          <w:ilvl w:val="2"/>
          <w:numId w:val="24"/>
        </w:numPr>
        <w:spacing w:before="0" w:line="360" w:lineRule="auto"/>
        <w:ind w:left="851"/>
        <w:rPr>
          <w:rFonts w:asciiTheme="minorHAnsi" w:hAnsiTheme="minorHAnsi" w:cstheme="minorHAnsi"/>
          <w:b/>
          <w:color w:val="auto"/>
          <w:sz w:val="22"/>
          <w:szCs w:val="22"/>
        </w:rPr>
      </w:pPr>
      <w:bookmarkStart w:id="83" w:name="_Toc195010093"/>
      <w:r>
        <w:rPr>
          <w:rFonts w:asciiTheme="minorHAnsi" w:hAnsiTheme="minorHAnsi" w:cstheme="minorHAnsi"/>
          <w:b/>
          <w:color w:val="auto"/>
          <w:sz w:val="22"/>
          <w:szCs w:val="22"/>
        </w:rPr>
        <w:lastRenderedPageBreak/>
        <w:t>Flujo Económico del Proyecto</w:t>
      </w:r>
      <w:bookmarkEnd w:id="83"/>
    </w:p>
    <w:p w14:paraId="5051C609" w14:textId="6C03C876" w:rsidR="0065022A" w:rsidRDefault="00000000" w:rsidP="0065022A">
      <w:pPr>
        <w:spacing w:after="0" w:line="360" w:lineRule="auto"/>
        <w:contextualSpacing/>
        <w:jc w:val="center"/>
        <w:rPr>
          <w:rFonts w:cstheme="minorHAnsi"/>
          <w:b/>
        </w:rPr>
      </w:pPr>
      <w:r>
        <w:rPr>
          <w:rFonts w:cstheme="minorHAnsi"/>
          <w:b/>
        </w:rPr>
        <w:t>Tabla No. 36: Flujo económico del proyec</w:t>
      </w:r>
      <w:r w:rsidR="0065022A">
        <w:rPr>
          <w:rFonts w:cstheme="minorHAnsi"/>
          <w:b/>
        </w:rPr>
        <w:t>to</w:t>
      </w:r>
    </w:p>
    <w:tbl>
      <w:tblPr>
        <w:tblW w:w="5000" w:type="pct"/>
        <w:tblCellMar>
          <w:left w:w="70" w:type="dxa"/>
          <w:right w:w="70" w:type="dxa"/>
        </w:tblCellMar>
        <w:tblLook w:val="04A0" w:firstRow="1" w:lastRow="0" w:firstColumn="1" w:lastColumn="0" w:noHBand="0" w:noVBand="1"/>
      </w:tblPr>
      <w:tblGrid>
        <w:gridCol w:w="2784"/>
        <w:gridCol w:w="858"/>
        <w:gridCol w:w="645"/>
        <w:gridCol w:w="660"/>
        <w:gridCol w:w="660"/>
        <w:gridCol w:w="660"/>
        <w:gridCol w:w="696"/>
        <w:gridCol w:w="757"/>
        <w:gridCol w:w="731"/>
        <w:gridCol w:w="732"/>
        <w:gridCol w:w="736"/>
        <w:gridCol w:w="736"/>
        <w:gridCol w:w="736"/>
        <w:gridCol w:w="736"/>
        <w:gridCol w:w="740"/>
        <w:gridCol w:w="696"/>
      </w:tblGrid>
      <w:tr w:rsidR="00D60D2E" w:rsidRPr="00D60D2E" w14:paraId="2A36EE59" w14:textId="77777777" w:rsidTr="00D60D2E">
        <w:trPr>
          <w:trHeight w:val="167"/>
          <w:tblHeader/>
        </w:trPr>
        <w:tc>
          <w:tcPr>
            <w:tcW w:w="1026" w:type="pct"/>
            <w:tcBorders>
              <w:top w:val="single" w:sz="8" w:space="0" w:color="auto"/>
              <w:left w:val="single" w:sz="8" w:space="0" w:color="auto"/>
              <w:bottom w:val="single" w:sz="4" w:space="0" w:color="auto"/>
              <w:right w:val="single" w:sz="4" w:space="0" w:color="auto"/>
            </w:tcBorders>
            <w:shd w:val="clear" w:color="000000" w:fill="16365C"/>
            <w:noWrap/>
            <w:vAlign w:val="center"/>
            <w:hideMark/>
          </w:tcPr>
          <w:p w14:paraId="1A49C893" w14:textId="77777777" w:rsidR="00D60D2E" w:rsidRPr="00D60D2E" w:rsidRDefault="00D60D2E" w:rsidP="00D60D2E">
            <w:pPr>
              <w:spacing w:after="0" w:line="240" w:lineRule="auto"/>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Período</w:t>
            </w:r>
          </w:p>
        </w:tc>
        <w:tc>
          <w:tcPr>
            <w:tcW w:w="316" w:type="pct"/>
            <w:tcBorders>
              <w:top w:val="single" w:sz="8" w:space="0" w:color="auto"/>
              <w:left w:val="nil"/>
              <w:bottom w:val="single" w:sz="4" w:space="0" w:color="auto"/>
              <w:right w:val="single" w:sz="4" w:space="0" w:color="auto"/>
            </w:tcBorders>
            <w:shd w:val="clear" w:color="000000" w:fill="16365C"/>
            <w:noWrap/>
            <w:vAlign w:val="center"/>
            <w:hideMark/>
          </w:tcPr>
          <w:p w14:paraId="1BA07A8F"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0</w:t>
            </w:r>
          </w:p>
        </w:tc>
        <w:tc>
          <w:tcPr>
            <w:tcW w:w="238" w:type="pct"/>
            <w:tcBorders>
              <w:top w:val="single" w:sz="8" w:space="0" w:color="auto"/>
              <w:left w:val="nil"/>
              <w:bottom w:val="single" w:sz="4" w:space="0" w:color="auto"/>
              <w:right w:val="single" w:sz="4" w:space="0" w:color="auto"/>
            </w:tcBorders>
            <w:shd w:val="clear" w:color="000000" w:fill="16365C"/>
            <w:noWrap/>
            <w:vAlign w:val="center"/>
            <w:hideMark/>
          </w:tcPr>
          <w:p w14:paraId="768A7A8A"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1</w:t>
            </w:r>
          </w:p>
        </w:tc>
        <w:tc>
          <w:tcPr>
            <w:tcW w:w="243" w:type="pct"/>
            <w:tcBorders>
              <w:top w:val="single" w:sz="8" w:space="0" w:color="auto"/>
              <w:left w:val="nil"/>
              <w:bottom w:val="single" w:sz="4" w:space="0" w:color="auto"/>
              <w:right w:val="single" w:sz="4" w:space="0" w:color="auto"/>
            </w:tcBorders>
            <w:shd w:val="clear" w:color="000000" w:fill="16365C"/>
            <w:noWrap/>
            <w:vAlign w:val="center"/>
            <w:hideMark/>
          </w:tcPr>
          <w:p w14:paraId="398C01FC"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2</w:t>
            </w:r>
          </w:p>
        </w:tc>
        <w:tc>
          <w:tcPr>
            <w:tcW w:w="243" w:type="pct"/>
            <w:tcBorders>
              <w:top w:val="single" w:sz="8" w:space="0" w:color="auto"/>
              <w:left w:val="nil"/>
              <w:bottom w:val="single" w:sz="4" w:space="0" w:color="auto"/>
              <w:right w:val="single" w:sz="4" w:space="0" w:color="auto"/>
            </w:tcBorders>
            <w:shd w:val="clear" w:color="000000" w:fill="16365C"/>
            <w:noWrap/>
            <w:vAlign w:val="center"/>
            <w:hideMark/>
          </w:tcPr>
          <w:p w14:paraId="4B34F225"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3</w:t>
            </w:r>
          </w:p>
        </w:tc>
        <w:tc>
          <w:tcPr>
            <w:tcW w:w="243" w:type="pct"/>
            <w:tcBorders>
              <w:top w:val="single" w:sz="8" w:space="0" w:color="auto"/>
              <w:left w:val="nil"/>
              <w:bottom w:val="single" w:sz="4" w:space="0" w:color="auto"/>
              <w:right w:val="single" w:sz="4" w:space="0" w:color="auto"/>
            </w:tcBorders>
            <w:shd w:val="clear" w:color="000000" w:fill="16365C"/>
            <w:noWrap/>
            <w:vAlign w:val="center"/>
            <w:hideMark/>
          </w:tcPr>
          <w:p w14:paraId="493A47DD"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4</w:t>
            </w:r>
          </w:p>
        </w:tc>
        <w:tc>
          <w:tcPr>
            <w:tcW w:w="257" w:type="pct"/>
            <w:tcBorders>
              <w:top w:val="single" w:sz="8" w:space="0" w:color="auto"/>
              <w:left w:val="nil"/>
              <w:bottom w:val="single" w:sz="4" w:space="0" w:color="auto"/>
              <w:right w:val="single" w:sz="4" w:space="0" w:color="auto"/>
            </w:tcBorders>
            <w:shd w:val="clear" w:color="000000" w:fill="16365C"/>
            <w:noWrap/>
            <w:vAlign w:val="center"/>
            <w:hideMark/>
          </w:tcPr>
          <w:p w14:paraId="5BE3BBA1"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5</w:t>
            </w:r>
          </w:p>
        </w:tc>
        <w:tc>
          <w:tcPr>
            <w:tcW w:w="279" w:type="pct"/>
            <w:tcBorders>
              <w:top w:val="single" w:sz="8" w:space="0" w:color="auto"/>
              <w:left w:val="nil"/>
              <w:bottom w:val="single" w:sz="4" w:space="0" w:color="auto"/>
              <w:right w:val="single" w:sz="4" w:space="0" w:color="auto"/>
            </w:tcBorders>
            <w:shd w:val="clear" w:color="000000" w:fill="16365C"/>
            <w:noWrap/>
            <w:vAlign w:val="center"/>
            <w:hideMark/>
          </w:tcPr>
          <w:p w14:paraId="4AA2013B"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6</w:t>
            </w:r>
          </w:p>
        </w:tc>
        <w:tc>
          <w:tcPr>
            <w:tcW w:w="269" w:type="pct"/>
            <w:tcBorders>
              <w:top w:val="single" w:sz="8" w:space="0" w:color="auto"/>
              <w:left w:val="nil"/>
              <w:bottom w:val="single" w:sz="4" w:space="0" w:color="auto"/>
              <w:right w:val="single" w:sz="4" w:space="0" w:color="auto"/>
            </w:tcBorders>
            <w:shd w:val="clear" w:color="000000" w:fill="16365C"/>
            <w:noWrap/>
            <w:vAlign w:val="center"/>
            <w:hideMark/>
          </w:tcPr>
          <w:p w14:paraId="441603EF"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7</w:t>
            </w:r>
          </w:p>
        </w:tc>
        <w:tc>
          <w:tcPr>
            <w:tcW w:w="270" w:type="pct"/>
            <w:tcBorders>
              <w:top w:val="single" w:sz="8" w:space="0" w:color="auto"/>
              <w:left w:val="nil"/>
              <w:bottom w:val="single" w:sz="4" w:space="0" w:color="auto"/>
              <w:right w:val="single" w:sz="4" w:space="0" w:color="auto"/>
            </w:tcBorders>
            <w:shd w:val="clear" w:color="000000" w:fill="16365C"/>
            <w:noWrap/>
            <w:vAlign w:val="center"/>
            <w:hideMark/>
          </w:tcPr>
          <w:p w14:paraId="1BA1B6F3"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8</w:t>
            </w:r>
          </w:p>
        </w:tc>
        <w:tc>
          <w:tcPr>
            <w:tcW w:w="271" w:type="pct"/>
            <w:tcBorders>
              <w:top w:val="single" w:sz="8" w:space="0" w:color="auto"/>
              <w:left w:val="nil"/>
              <w:bottom w:val="single" w:sz="4" w:space="0" w:color="auto"/>
              <w:right w:val="single" w:sz="4" w:space="0" w:color="auto"/>
            </w:tcBorders>
            <w:shd w:val="clear" w:color="000000" w:fill="16365C"/>
            <w:noWrap/>
            <w:vAlign w:val="center"/>
            <w:hideMark/>
          </w:tcPr>
          <w:p w14:paraId="25F45AED"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9</w:t>
            </w:r>
          </w:p>
        </w:tc>
        <w:tc>
          <w:tcPr>
            <w:tcW w:w="271" w:type="pct"/>
            <w:tcBorders>
              <w:top w:val="single" w:sz="8" w:space="0" w:color="auto"/>
              <w:left w:val="nil"/>
              <w:bottom w:val="single" w:sz="4" w:space="0" w:color="auto"/>
              <w:right w:val="single" w:sz="4" w:space="0" w:color="auto"/>
            </w:tcBorders>
            <w:shd w:val="clear" w:color="000000" w:fill="16365C"/>
            <w:noWrap/>
            <w:vAlign w:val="center"/>
            <w:hideMark/>
          </w:tcPr>
          <w:p w14:paraId="2A50F6FD"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10</w:t>
            </w:r>
          </w:p>
        </w:tc>
        <w:tc>
          <w:tcPr>
            <w:tcW w:w="271" w:type="pct"/>
            <w:tcBorders>
              <w:top w:val="single" w:sz="8" w:space="0" w:color="auto"/>
              <w:left w:val="nil"/>
              <w:bottom w:val="single" w:sz="4" w:space="0" w:color="auto"/>
              <w:right w:val="single" w:sz="4" w:space="0" w:color="auto"/>
            </w:tcBorders>
            <w:shd w:val="clear" w:color="000000" w:fill="16365C"/>
            <w:noWrap/>
            <w:vAlign w:val="center"/>
            <w:hideMark/>
          </w:tcPr>
          <w:p w14:paraId="7F2006EC"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11</w:t>
            </w:r>
          </w:p>
        </w:tc>
        <w:tc>
          <w:tcPr>
            <w:tcW w:w="271" w:type="pct"/>
            <w:tcBorders>
              <w:top w:val="single" w:sz="8" w:space="0" w:color="auto"/>
              <w:left w:val="nil"/>
              <w:bottom w:val="single" w:sz="4" w:space="0" w:color="auto"/>
              <w:right w:val="single" w:sz="4" w:space="0" w:color="auto"/>
            </w:tcBorders>
            <w:shd w:val="clear" w:color="000000" w:fill="16365C"/>
            <w:noWrap/>
            <w:vAlign w:val="center"/>
            <w:hideMark/>
          </w:tcPr>
          <w:p w14:paraId="0AB682B9"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12</w:t>
            </w:r>
          </w:p>
        </w:tc>
        <w:tc>
          <w:tcPr>
            <w:tcW w:w="273" w:type="pct"/>
            <w:tcBorders>
              <w:top w:val="single" w:sz="8" w:space="0" w:color="auto"/>
              <w:left w:val="nil"/>
              <w:bottom w:val="single" w:sz="4" w:space="0" w:color="auto"/>
              <w:right w:val="single" w:sz="4" w:space="0" w:color="auto"/>
            </w:tcBorders>
            <w:shd w:val="clear" w:color="000000" w:fill="16365C"/>
            <w:vAlign w:val="center"/>
            <w:hideMark/>
          </w:tcPr>
          <w:p w14:paraId="16C1B7C5" w14:textId="77777777" w:rsidR="00D60D2E" w:rsidRPr="00D60D2E" w:rsidRDefault="00D60D2E" w:rsidP="00D60D2E">
            <w:pPr>
              <w:spacing w:after="0" w:line="240" w:lineRule="auto"/>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13</w:t>
            </w:r>
          </w:p>
        </w:tc>
        <w:tc>
          <w:tcPr>
            <w:tcW w:w="257" w:type="pct"/>
            <w:tcBorders>
              <w:top w:val="single" w:sz="8" w:space="0" w:color="auto"/>
              <w:left w:val="nil"/>
              <w:bottom w:val="single" w:sz="4" w:space="0" w:color="auto"/>
              <w:right w:val="single" w:sz="4" w:space="0" w:color="auto"/>
            </w:tcBorders>
            <w:shd w:val="clear" w:color="000000" w:fill="16365C"/>
            <w:vAlign w:val="center"/>
            <w:hideMark/>
          </w:tcPr>
          <w:p w14:paraId="20B3BBC3" w14:textId="77777777" w:rsidR="00D60D2E" w:rsidRPr="00D60D2E" w:rsidRDefault="00D60D2E" w:rsidP="00D60D2E">
            <w:pPr>
              <w:spacing w:after="0" w:line="240" w:lineRule="auto"/>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 14</w:t>
            </w:r>
          </w:p>
        </w:tc>
      </w:tr>
      <w:tr w:rsidR="00D60D2E" w:rsidRPr="00D60D2E" w14:paraId="01312CC0" w14:textId="77777777" w:rsidTr="00D60D2E">
        <w:trPr>
          <w:trHeight w:val="136"/>
          <w:tblHeader/>
        </w:trPr>
        <w:tc>
          <w:tcPr>
            <w:tcW w:w="1026" w:type="pct"/>
            <w:tcBorders>
              <w:top w:val="nil"/>
              <w:left w:val="single" w:sz="8" w:space="0" w:color="auto"/>
              <w:bottom w:val="single" w:sz="8" w:space="0" w:color="auto"/>
              <w:right w:val="single" w:sz="4" w:space="0" w:color="auto"/>
            </w:tcBorders>
            <w:shd w:val="clear" w:color="000000" w:fill="16365C"/>
            <w:noWrap/>
            <w:vAlign w:val="bottom"/>
            <w:hideMark/>
          </w:tcPr>
          <w:p w14:paraId="1862A340" w14:textId="77777777" w:rsidR="00D60D2E" w:rsidRPr="00D60D2E" w:rsidRDefault="00D60D2E" w:rsidP="00D60D2E">
            <w:pPr>
              <w:spacing w:after="0" w:line="240" w:lineRule="auto"/>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Año</w:t>
            </w:r>
          </w:p>
        </w:tc>
        <w:tc>
          <w:tcPr>
            <w:tcW w:w="316" w:type="pct"/>
            <w:tcBorders>
              <w:top w:val="nil"/>
              <w:left w:val="nil"/>
              <w:bottom w:val="single" w:sz="8" w:space="0" w:color="auto"/>
              <w:right w:val="single" w:sz="4" w:space="0" w:color="auto"/>
            </w:tcBorders>
            <w:shd w:val="clear" w:color="000000" w:fill="16365C"/>
            <w:noWrap/>
            <w:vAlign w:val="bottom"/>
            <w:hideMark/>
          </w:tcPr>
          <w:p w14:paraId="1B1D9CB4"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2019</w:t>
            </w:r>
          </w:p>
        </w:tc>
        <w:tc>
          <w:tcPr>
            <w:tcW w:w="238" w:type="pct"/>
            <w:tcBorders>
              <w:top w:val="nil"/>
              <w:left w:val="nil"/>
              <w:bottom w:val="single" w:sz="8" w:space="0" w:color="auto"/>
              <w:right w:val="single" w:sz="4" w:space="0" w:color="auto"/>
            </w:tcBorders>
            <w:shd w:val="clear" w:color="000000" w:fill="16365C"/>
            <w:noWrap/>
            <w:vAlign w:val="bottom"/>
            <w:hideMark/>
          </w:tcPr>
          <w:p w14:paraId="5A115FAF"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2020</w:t>
            </w:r>
          </w:p>
        </w:tc>
        <w:tc>
          <w:tcPr>
            <w:tcW w:w="243" w:type="pct"/>
            <w:tcBorders>
              <w:top w:val="nil"/>
              <w:left w:val="nil"/>
              <w:bottom w:val="single" w:sz="8" w:space="0" w:color="auto"/>
              <w:right w:val="single" w:sz="4" w:space="0" w:color="auto"/>
            </w:tcBorders>
            <w:shd w:val="clear" w:color="000000" w:fill="16365C"/>
            <w:noWrap/>
            <w:vAlign w:val="bottom"/>
            <w:hideMark/>
          </w:tcPr>
          <w:p w14:paraId="6790A28D"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2021</w:t>
            </w:r>
          </w:p>
        </w:tc>
        <w:tc>
          <w:tcPr>
            <w:tcW w:w="243" w:type="pct"/>
            <w:tcBorders>
              <w:top w:val="nil"/>
              <w:left w:val="nil"/>
              <w:bottom w:val="single" w:sz="8" w:space="0" w:color="auto"/>
              <w:right w:val="single" w:sz="4" w:space="0" w:color="auto"/>
            </w:tcBorders>
            <w:shd w:val="clear" w:color="000000" w:fill="16365C"/>
            <w:noWrap/>
            <w:vAlign w:val="bottom"/>
            <w:hideMark/>
          </w:tcPr>
          <w:p w14:paraId="32B8DD3B"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2022</w:t>
            </w:r>
          </w:p>
        </w:tc>
        <w:tc>
          <w:tcPr>
            <w:tcW w:w="243" w:type="pct"/>
            <w:tcBorders>
              <w:top w:val="nil"/>
              <w:left w:val="nil"/>
              <w:bottom w:val="single" w:sz="8" w:space="0" w:color="auto"/>
              <w:right w:val="single" w:sz="4" w:space="0" w:color="auto"/>
            </w:tcBorders>
            <w:shd w:val="clear" w:color="000000" w:fill="16365C"/>
            <w:noWrap/>
            <w:vAlign w:val="bottom"/>
            <w:hideMark/>
          </w:tcPr>
          <w:p w14:paraId="790BEA62"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2023</w:t>
            </w:r>
          </w:p>
        </w:tc>
        <w:tc>
          <w:tcPr>
            <w:tcW w:w="257" w:type="pct"/>
            <w:tcBorders>
              <w:top w:val="nil"/>
              <w:left w:val="nil"/>
              <w:bottom w:val="single" w:sz="8" w:space="0" w:color="auto"/>
              <w:right w:val="single" w:sz="4" w:space="0" w:color="auto"/>
            </w:tcBorders>
            <w:shd w:val="clear" w:color="000000" w:fill="16365C"/>
            <w:noWrap/>
            <w:vAlign w:val="bottom"/>
            <w:hideMark/>
          </w:tcPr>
          <w:p w14:paraId="592BBC84"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2024</w:t>
            </w:r>
          </w:p>
        </w:tc>
        <w:tc>
          <w:tcPr>
            <w:tcW w:w="279" w:type="pct"/>
            <w:tcBorders>
              <w:top w:val="nil"/>
              <w:left w:val="nil"/>
              <w:bottom w:val="single" w:sz="8" w:space="0" w:color="auto"/>
              <w:right w:val="single" w:sz="4" w:space="0" w:color="auto"/>
            </w:tcBorders>
            <w:shd w:val="clear" w:color="000000" w:fill="16365C"/>
            <w:noWrap/>
            <w:vAlign w:val="bottom"/>
            <w:hideMark/>
          </w:tcPr>
          <w:p w14:paraId="7DEC0B29"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2025</w:t>
            </w:r>
          </w:p>
        </w:tc>
        <w:tc>
          <w:tcPr>
            <w:tcW w:w="269" w:type="pct"/>
            <w:tcBorders>
              <w:top w:val="nil"/>
              <w:left w:val="nil"/>
              <w:bottom w:val="single" w:sz="8" w:space="0" w:color="auto"/>
              <w:right w:val="single" w:sz="4" w:space="0" w:color="auto"/>
            </w:tcBorders>
            <w:shd w:val="clear" w:color="000000" w:fill="16365C"/>
            <w:noWrap/>
            <w:vAlign w:val="bottom"/>
            <w:hideMark/>
          </w:tcPr>
          <w:p w14:paraId="637523B8"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2026</w:t>
            </w:r>
          </w:p>
        </w:tc>
        <w:tc>
          <w:tcPr>
            <w:tcW w:w="270" w:type="pct"/>
            <w:tcBorders>
              <w:top w:val="nil"/>
              <w:left w:val="nil"/>
              <w:bottom w:val="single" w:sz="8" w:space="0" w:color="auto"/>
              <w:right w:val="single" w:sz="4" w:space="0" w:color="auto"/>
            </w:tcBorders>
            <w:shd w:val="clear" w:color="000000" w:fill="16365C"/>
            <w:noWrap/>
            <w:vAlign w:val="bottom"/>
            <w:hideMark/>
          </w:tcPr>
          <w:p w14:paraId="1FE8458D"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2027</w:t>
            </w:r>
          </w:p>
        </w:tc>
        <w:tc>
          <w:tcPr>
            <w:tcW w:w="271" w:type="pct"/>
            <w:tcBorders>
              <w:top w:val="nil"/>
              <w:left w:val="nil"/>
              <w:bottom w:val="single" w:sz="8" w:space="0" w:color="auto"/>
              <w:right w:val="single" w:sz="4" w:space="0" w:color="auto"/>
            </w:tcBorders>
            <w:shd w:val="clear" w:color="000000" w:fill="16365C"/>
            <w:noWrap/>
            <w:vAlign w:val="bottom"/>
            <w:hideMark/>
          </w:tcPr>
          <w:p w14:paraId="2CC107CB"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2028</w:t>
            </w:r>
          </w:p>
        </w:tc>
        <w:tc>
          <w:tcPr>
            <w:tcW w:w="271" w:type="pct"/>
            <w:tcBorders>
              <w:top w:val="nil"/>
              <w:left w:val="nil"/>
              <w:bottom w:val="single" w:sz="8" w:space="0" w:color="auto"/>
              <w:right w:val="single" w:sz="4" w:space="0" w:color="auto"/>
            </w:tcBorders>
            <w:shd w:val="clear" w:color="000000" w:fill="16365C"/>
            <w:noWrap/>
            <w:vAlign w:val="bottom"/>
            <w:hideMark/>
          </w:tcPr>
          <w:p w14:paraId="0454BADC"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2029</w:t>
            </w:r>
          </w:p>
        </w:tc>
        <w:tc>
          <w:tcPr>
            <w:tcW w:w="271" w:type="pct"/>
            <w:tcBorders>
              <w:top w:val="nil"/>
              <w:left w:val="nil"/>
              <w:bottom w:val="single" w:sz="8" w:space="0" w:color="auto"/>
              <w:right w:val="single" w:sz="4" w:space="0" w:color="auto"/>
            </w:tcBorders>
            <w:shd w:val="clear" w:color="000000" w:fill="16365C"/>
            <w:noWrap/>
            <w:vAlign w:val="bottom"/>
            <w:hideMark/>
          </w:tcPr>
          <w:p w14:paraId="419141AB"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2030</w:t>
            </w:r>
          </w:p>
        </w:tc>
        <w:tc>
          <w:tcPr>
            <w:tcW w:w="271" w:type="pct"/>
            <w:tcBorders>
              <w:top w:val="nil"/>
              <w:left w:val="nil"/>
              <w:bottom w:val="single" w:sz="8" w:space="0" w:color="auto"/>
              <w:right w:val="single" w:sz="4" w:space="0" w:color="auto"/>
            </w:tcBorders>
            <w:shd w:val="clear" w:color="000000" w:fill="16365C"/>
            <w:noWrap/>
            <w:vAlign w:val="bottom"/>
            <w:hideMark/>
          </w:tcPr>
          <w:p w14:paraId="7C911C5A"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2031</w:t>
            </w:r>
          </w:p>
        </w:tc>
        <w:tc>
          <w:tcPr>
            <w:tcW w:w="273" w:type="pct"/>
            <w:tcBorders>
              <w:top w:val="nil"/>
              <w:left w:val="nil"/>
              <w:bottom w:val="single" w:sz="8" w:space="0" w:color="auto"/>
              <w:right w:val="single" w:sz="4" w:space="0" w:color="auto"/>
            </w:tcBorders>
            <w:shd w:val="clear" w:color="000000" w:fill="16365C"/>
            <w:noWrap/>
            <w:vAlign w:val="bottom"/>
            <w:hideMark/>
          </w:tcPr>
          <w:p w14:paraId="65F9A3BA"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2032</w:t>
            </w:r>
          </w:p>
        </w:tc>
        <w:tc>
          <w:tcPr>
            <w:tcW w:w="257" w:type="pct"/>
            <w:tcBorders>
              <w:top w:val="nil"/>
              <w:left w:val="nil"/>
              <w:bottom w:val="single" w:sz="8" w:space="0" w:color="auto"/>
              <w:right w:val="single" w:sz="4" w:space="0" w:color="auto"/>
            </w:tcBorders>
            <w:shd w:val="clear" w:color="000000" w:fill="16365C"/>
            <w:noWrap/>
            <w:vAlign w:val="bottom"/>
            <w:hideMark/>
          </w:tcPr>
          <w:p w14:paraId="350AFA4D" w14:textId="77777777" w:rsidR="00D60D2E" w:rsidRPr="00D60D2E" w:rsidRDefault="00D60D2E" w:rsidP="00D60D2E">
            <w:pPr>
              <w:spacing w:after="0" w:line="240" w:lineRule="auto"/>
              <w:jc w:val="center"/>
              <w:rPr>
                <w:rFonts w:ascii="Calibri" w:eastAsia="Times New Roman" w:hAnsi="Calibri" w:cs="Calibri"/>
                <w:b/>
                <w:bCs/>
                <w:color w:val="FFFFFF"/>
                <w:sz w:val="12"/>
                <w:szCs w:val="12"/>
                <w:lang w:eastAsia="es-EC"/>
              </w:rPr>
            </w:pPr>
            <w:r w:rsidRPr="00D60D2E">
              <w:rPr>
                <w:rFonts w:ascii="Calibri" w:eastAsia="Times New Roman" w:hAnsi="Calibri" w:cs="Calibri"/>
                <w:b/>
                <w:bCs/>
                <w:color w:val="FFFFFF"/>
                <w:sz w:val="12"/>
                <w:szCs w:val="12"/>
                <w:lang w:eastAsia="es-EC"/>
              </w:rPr>
              <w:t>2033</w:t>
            </w:r>
          </w:p>
        </w:tc>
      </w:tr>
      <w:tr w:rsidR="00D60D2E" w:rsidRPr="00D60D2E" w14:paraId="57AB458E" w14:textId="77777777" w:rsidTr="00D60D2E">
        <w:trPr>
          <w:trHeight w:val="288"/>
        </w:trPr>
        <w:tc>
          <w:tcPr>
            <w:tcW w:w="1026" w:type="pct"/>
            <w:tcBorders>
              <w:top w:val="nil"/>
              <w:left w:val="single" w:sz="8" w:space="0" w:color="auto"/>
              <w:bottom w:val="nil"/>
              <w:right w:val="nil"/>
            </w:tcBorders>
            <w:shd w:val="clear" w:color="auto" w:fill="auto"/>
            <w:noWrap/>
            <w:vAlign w:val="bottom"/>
            <w:hideMark/>
          </w:tcPr>
          <w:p w14:paraId="7A3FD47D"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INGRESOS (USD Corrientes) (a)</w:t>
            </w:r>
          </w:p>
        </w:tc>
        <w:tc>
          <w:tcPr>
            <w:tcW w:w="316" w:type="pct"/>
            <w:tcBorders>
              <w:top w:val="nil"/>
              <w:left w:val="nil"/>
              <w:bottom w:val="nil"/>
              <w:right w:val="nil"/>
            </w:tcBorders>
            <w:shd w:val="clear" w:color="auto" w:fill="auto"/>
            <w:noWrap/>
            <w:vAlign w:val="bottom"/>
            <w:hideMark/>
          </w:tcPr>
          <w:p w14:paraId="7DC7B4E5"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238" w:type="pct"/>
            <w:tcBorders>
              <w:top w:val="nil"/>
              <w:left w:val="nil"/>
              <w:bottom w:val="nil"/>
              <w:right w:val="nil"/>
            </w:tcBorders>
            <w:shd w:val="clear" w:color="auto" w:fill="auto"/>
            <w:noWrap/>
            <w:vAlign w:val="bottom"/>
            <w:hideMark/>
          </w:tcPr>
          <w:p w14:paraId="7173AE33"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243" w:type="pct"/>
            <w:tcBorders>
              <w:top w:val="nil"/>
              <w:left w:val="nil"/>
              <w:bottom w:val="nil"/>
              <w:right w:val="nil"/>
            </w:tcBorders>
            <w:shd w:val="clear" w:color="auto" w:fill="auto"/>
            <w:noWrap/>
            <w:vAlign w:val="bottom"/>
            <w:hideMark/>
          </w:tcPr>
          <w:p w14:paraId="7DEEC1DA"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243" w:type="pct"/>
            <w:tcBorders>
              <w:top w:val="nil"/>
              <w:left w:val="nil"/>
              <w:bottom w:val="nil"/>
              <w:right w:val="nil"/>
            </w:tcBorders>
            <w:shd w:val="clear" w:color="auto" w:fill="auto"/>
            <w:noWrap/>
            <w:vAlign w:val="bottom"/>
            <w:hideMark/>
          </w:tcPr>
          <w:p w14:paraId="4B8FB49E"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243" w:type="pct"/>
            <w:tcBorders>
              <w:top w:val="nil"/>
              <w:left w:val="nil"/>
              <w:bottom w:val="nil"/>
              <w:right w:val="nil"/>
            </w:tcBorders>
            <w:shd w:val="clear" w:color="auto" w:fill="auto"/>
            <w:noWrap/>
            <w:vAlign w:val="bottom"/>
            <w:hideMark/>
          </w:tcPr>
          <w:p w14:paraId="6310E4F1"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257" w:type="pct"/>
            <w:tcBorders>
              <w:top w:val="nil"/>
              <w:left w:val="nil"/>
              <w:bottom w:val="nil"/>
              <w:right w:val="nil"/>
            </w:tcBorders>
            <w:shd w:val="clear" w:color="auto" w:fill="auto"/>
            <w:noWrap/>
            <w:vAlign w:val="bottom"/>
            <w:hideMark/>
          </w:tcPr>
          <w:p w14:paraId="1A2BDFB3"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   </w:t>
            </w:r>
          </w:p>
        </w:tc>
        <w:tc>
          <w:tcPr>
            <w:tcW w:w="279" w:type="pct"/>
            <w:tcBorders>
              <w:top w:val="nil"/>
              <w:left w:val="nil"/>
              <w:bottom w:val="nil"/>
              <w:right w:val="nil"/>
            </w:tcBorders>
            <w:shd w:val="clear" w:color="auto" w:fill="auto"/>
            <w:noWrap/>
            <w:vAlign w:val="bottom"/>
            <w:hideMark/>
          </w:tcPr>
          <w:p w14:paraId="203189F4"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610.910,18 </w:t>
            </w:r>
          </w:p>
        </w:tc>
        <w:tc>
          <w:tcPr>
            <w:tcW w:w="269" w:type="pct"/>
            <w:tcBorders>
              <w:top w:val="nil"/>
              <w:left w:val="nil"/>
              <w:bottom w:val="nil"/>
              <w:right w:val="nil"/>
            </w:tcBorders>
            <w:shd w:val="clear" w:color="auto" w:fill="auto"/>
            <w:noWrap/>
            <w:vAlign w:val="bottom"/>
            <w:hideMark/>
          </w:tcPr>
          <w:p w14:paraId="27862AC3"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1.221.822,20 </w:t>
            </w:r>
          </w:p>
        </w:tc>
        <w:tc>
          <w:tcPr>
            <w:tcW w:w="270" w:type="pct"/>
            <w:tcBorders>
              <w:top w:val="nil"/>
              <w:left w:val="nil"/>
              <w:bottom w:val="nil"/>
              <w:right w:val="nil"/>
            </w:tcBorders>
            <w:shd w:val="clear" w:color="auto" w:fill="auto"/>
            <w:noWrap/>
            <w:vAlign w:val="bottom"/>
            <w:hideMark/>
          </w:tcPr>
          <w:p w14:paraId="61233B80"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1.221.822,20 </w:t>
            </w:r>
          </w:p>
        </w:tc>
        <w:tc>
          <w:tcPr>
            <w:tcW w:w="271" w:type="pct"/>
            <w:tcBorders>
              <w:top w:val="nil"/>
              <w:left w:val="nil"/>
              <w:bottom w:val="nil"/>
              <w:right w:val="nil"/>
            </w:tcBorders>
            <w:shd w:val="clear" w:color="auto" w:fill="auto"/>
            <w:noWrap/>
            <w:vAlign w:val="bottom"/>
            <w:hideMark/>
          </w:tcPr>
          <w:p w14:paraId="1FAE9457"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1.832.732,39 </w:t>
            </w:r>
          </w:p>
        </w:tc>
        <w:tc>
          <w:tcPr>
            <w:tcW w:w="271" w:type="pct"/>
            <w:tcBorders>
              <w:top w:val="nil"/>
              <w:left w:val="nil"/>
              <w:bottom w:val="nil"/>
              <w:right w:val="nil"/>
            </w:tcBorders>
            <w:shd w:val="clear" w:color="auto" w:fill="auto"/>
            <w:noWrap/>
            <w:vAlign w:val="bottom"/>
            <w:hideMark/>
          </w:tcPr>
          <w:p w14:paraId="077D843B"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1.832.732,39 </w:t>
            </w:r>
          </w:p>
        </w:tc>
        <w:tc>
          <w:tcPr>
            <w:tcW w:w="271" w:type="pct"/>
            <w:tcBorders>
              <w:top w:val="nil"/>
              <w:left w:val="nil"/>
              <w:bottom w:val="nil"/>
              <w:right w:val="nil"/>
            </w:tcBorders>
            <w:shd w:val="clear" w:color="auto" w:fill="auto"/>
            <w:noWrap/>
            <w:vAlign w:val="bottom"/>
            <w:hideMark/>
          </w:tcPr>
          <w:p w14:paraId="75468EDE"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1.832.732,39 </w:t>
            </w:r>
          </w:p>
        </w:tc>
        <w:tc>
          <w:tcPr>
            <w:tcW w:w="271" w:type="pct"/>
            <w:tcBorders>
              <w:top w:val="nil"/>
              <w:left w:val="nil"/>
              <w:bottom w:val="nil"/>
              <w:right w:val="nil"/>
            </w:tcBorders>
            <w:shd w:val="clear" w:color="auto" w:fill="auto"/>
            <w:noWrap/>
            <w:vAlign w:val="bottom"/>
            <w:hideMark/>
          </w:tcPr>
          <w:p w14:paraId="2EE3C6C5"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1.832.732,39 </w:t>
            </w:r>
          </w:p>
        </w:tc>
        <w:tc>
          <w:tcPr>
            <w:tcW w:w="273" w:type="pct"/>
            <w:tcBorders>
              <w:top w:val="nil"/>
              <w:left w:val="nil"/>
              <w:bottom w:val="nil"/>
              <w:right w:val="nil"/>
            </w:tcBorders>
            <w:shd w:val="clear" w:color="auto" w:fill="auto"/>
            <w:noWrap/>
            <w:vAlign w:val="bottom"/>
            <w:hideMark/>
          </w:tcPr>
          <w:p w14:paraId="734D5199"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1.832.732,39 </w:t>
            </w:r>
          </w:p>
        </w:tc>
        <w:tc>
          <w:tcPr>
            <w:tcW w:w="257" w:type="pct"/>
            <w:tcBorders>
              <w:top w:val="nil"/>
              <w:left w:val="nil"/>
              <w:bottom w:val="nil"/>
              <w:right w:val="nil"/>
            </w:tcBorders>
            <w:shd w:val="clear" w:color="auto" w:fill="auto"/>
            <w:noWrap/>
            <w:vAlign w:val="bottom"/>
            <w:hideMark/>
          </w:tcPr>
          <w:p w14:paraId="78405935"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1.832.732,39 </w:t>
            </w:r>
          </w:p>
        </w:tc>
      </w:tr>
      <w:tr w:rsidR="00D60D2E" w:rsidRPr="00D60D2E" w14:paraId="7C8B8FDF" w14:textId="77777777" w:rsidTr="00D60D2E">
        <w:trPr>
          <w:trHeight w:val="288"/>
        </w:trPr>
        <w:tc>
          <w:tcPr>
            <w:tcW w:w="1026" w:type="pct"/>
            <w:tcBorders>
              <w:top w:val="nil"/>
              <w:left w:val="single" w:sz="8" w:space="0" w:color="auto"/>
              <w:bottom w:val="nil"/>
              <w:right w:val="nil"/>
            </w:tcBorders>
            <w:shd w:val="clear" w:color="auto" w:fill="auto"/>
            <w:noWrap/>
            <w:vAlign w:val="bottom"/>
            <w:hideMark/>
          </w:tcPr>
          <w:p w14:paraId="6F2F564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Financieros (detallar)</w:t>
            </w:r>
          </w:p>
        </w:tc>
        <w:tc>
          <w:tcPr>
            <w:tcW w:w="316" w:type="pct"/>
            <w:tcBorders>
              <w:top w:val="nil"/>
              <w:left w:val="nil"/>
              <w:bottom w:val="nil"/>
              <w:right w:val="nil"/>
            </w:tcBorders>
            <w:shd w:val="clear" w:color="auto" w:fill="auto"/>
            <w:noWrap/>
            <w:vAlign w:val="bottom"/>
            <w:hideMark/>
          </w:tcPr>
          <w:p w14:paraId="060DB53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38" w:type="pct"/>
            <w:tcBorders>
              <w:top w:val="nil"/>
              <w:left w:val="nil"/>
              <w:bottom w:val="nil"/>
              <w:right w:val="nil"/>
            </w:tcBorders>
            <w:shd w:val="clear" w:color="auto" w:fill="auto"/>
            <w:noWrap/>
            <w:vAlign w:val="bottom"/>
            <w:hideMark/>
          </w:tcPr>
          <w:p w14:paraId="56ECD2B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nil"/>
              <w:right w:val="nil"/>
            </w:tcBorders>
            <w:shd w:val="clear" w:color="auto" w:fill="auto"/>
            <w:noWrap/>
            <w:vAlign w:val="bottom"/>
            <w:hideMark/>
          </w:tcPr>
          <w:p w14:paraId="565CC65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nil"/>
              <w:right w:val="nil"/>
            </w:tcBorders>
            <w:shd w:val="clear" w:color="auto" w:fill="auto"/>
            <w:noWrap/>
            <w:vAlign w:val="bottom"/>
            <w:hideMark/>
          </w:tcPr>
          <w:p w14:paraId="4031EE3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nil"/>
              <w:right w:val="nil"/>
            </w:tcBorders>
            <w:shd w:val="clear" w:color="auto" w:fill="auto"/>
            <w:noWrap/>
            <w:vAlign w:val="bottom"/>
            <w:hideMark/>
          </w:tcPr>
          <w:p w14:paraId="568CA26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nil"/>
              <w:left w:val="nil"/>
              <w:bottom w:val="nil"/>
              <w:right w:val="nil"/>
            </w:tcBorders>
            <w:shd w:val="clear" w:color="auto" w:fill="auto"/>
            <w:noWrap/>
            <w:vAlign w:val="bottom"/>
            <w:hideMark/>
          </w:tcPr>
          <w:p w14:paraId="6C3FFF6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9" w:type="pct"/>
            <w:tcBorders>
              <w:top w:val="nil"/>
              <w:left w:val="nil"/>
              <w:bottom w:val="nil"/>
              <w:right w:val="nil"/>
            </w:tcBorders>
            <w:shd w:val="clear" w:color="auto" w:fill="auto"/>
            <w:noWrap/>
            <w:vAlign w:val="bottom"/>
            <w:hideMark/>
          </w:tcPr>
          <w:p w14:paraId="6E35B0B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610.910,18 </w:t>
            </w:r>
          </w:p>
        </w:tc>
        <w:tc>
          <w:tcPr>
            <w:tcW w:w="269" w:type="pct"/>
            <w:tcBorders>
              <w:top w:val="nil"/>
              <w:left w:val="nil"/>
              <w:bottom w:val="nil"/>
              <w:right w:val="nil"/>
            </w:tcBorders>
            <w:shd w:val="clear" w:color="auto" w:fill="auto"/>
            <w:noWrap/>
            <w:vAlign w:val="bottom"/>
            <w:hideMark/>
          </w:tcPr>
          <w:p w14:paraId="1CC83877"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1.221.822,20 </w:t>
            </w:r>
          </w:p>
        </w:tc>
        <w:tc>
          <w:tcPr>
            <w:tcW w:w="270" w:type="pct"/>
            <w:tcBorders>
              <w:top w:val="nil"/>
              <w:left w:val="nil"/>
              <w:bottom w:val="nil"/>
              <w:right w:val="nil"/>
            </w:tcBorders>
            <w:shd w:val="clear" w:color="auto" w:fill="auto"/>
            <w:noWrap/>
            <w:vAlign w:val="bottom"/>
            <w:hideMark/>
          </w:tcPr>
          <w:p w14:paraId="482AEFB1"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1.221.822,20 </w:t>
            </w:r>
          </w:p>
        </w:tc>
        <w:tc>
          <w:tcPr>
            <w:tcW w:w="271" w:type="pct"/>
            <w:tcBorders>
              <w:top w:val="nil"/>
              <w:left w:val="nil"/>
              <w:bottom w:val="nil"/>
              <w:right w:val="nil"/>
            </w:tcBorders>
            <w:shd w:val="clear" w:color="auto" w:fill="auto"/>
            <w:noWrap/>
            <w:vAlign w:val="bottom"/>
            <w:hideMark/>
          </w:tcPr>
          <w:p w14:paraId="323A3790"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c>
          <w:tcPr>
            <w:tcW w:w="271" w:type="pct"/>
            <w:tcBorders>
              <w:top w:val="nil"/>
              <w:left w:val="nil"/>
              <w:bottom w:val="nil"/>
              <w:right w:val="nil"/>
            </w:tcBorders>
            <w:shd w:val="clear" w:color="auto" w:fill="auto"/>
            <w:noWrap/>
            <w:vAlign w:val="bottom"/>
            <w:hideMark/>
          </w:tcPr>
          <w:p w14:paraId="7E72561E"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c>
          <w:tcPr>
            <w:tcW w:w="271" w:type="pct"/>
            <w:tcBorders>
              <w:top w:val="nil"/>
              <w:left w:val="nil"/>
              <w:bottom w:val="nil"/>
              <w:right w:val="nil"/>
            </w:tcBorders>
            <w:shd w:val="clear" w:color="auto" w:fill="auto"/>
            <w:noWrap/>
            <w:vAlign w:val="bottom"/>
            <w:hideMark/>
          </w:tcPr>
          <w:p w14:paraId="035EAFB1"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c>
          <w:tcPr>
            <w:tcW w:w="271" w:type="pct"/>
            <w:tcBorders>
              <w:top w:val="nil"/>
              <w:left w:val="nil"/>
              <w:bottom w:val="nil"/>
              <w:right w:val="nil"/>
            </w:tcBorders>
            <w:shd w:val="clear" w:color="auto" w:fill="auto"/>
            <w:noWrap/>
            <w:vAlign w:val="bottom"/>
            <w:hideMark/>
          </w:tcPr>
          <w:p w14:paraId="6286D744"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c>
          <w:tcPr>
            <w:tcW w:w="273" w:type="pct"/>
            <w:tcBorders>
              <w:top w:val="nil"/>
              <w:left w:val="nil"/>
              <w:bottom w:val="nil"/>
              <w:right w:val="nil"/>
            </w:tcBorders>
            <w:shd w:val="clear" w:color="auto" w:fill="auto"/>
            <w:noWrap/>
            <w:vAlign w:val="bottom"/>
            <w:hideMark/>
          </w:tcPr>
          <w:p w14:paraId="69FD2DDB"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c>
          <w:tcPr>
            <w:tcW w:w="257" w:type="pct"/>
            <w:tcBorders>
              <w:top w:val="nil"/>
              <w:left w:val="nil"/>
              <w:bottom w:val="nil"/>
              <w:right w:val="nil"/>
            </w:tcBorders>
            <w:shd w:val="clear" w:color="auto" w:fill="auto"/>
            <w:noWrap/>
            <w:vAlign w:val="bottom"/>
            <w:hideMark/>
          </w:tcPr>
          <w:p w14:paraId="30D528D0"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r>
      <w:tr w:rsidR="00D60D2E" w:rsidRPr="00D60D2E" w14:paraId="1DCAD70E" w14:textId="77777777" w:rsidTr="00D60D2E">
        <w:trPr>
          <w:trHeight w:val="76"/>
        </w:trPr>
        <w:tc>
          <w:tcPr>
            <w:tcW w:w="10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B55D3" w14:textId="77777777" w:rsidR="00D60D2E" w:rsidRPr="00D60D2E" w:rsidRDefault="00D60D2E" w:rsidP="00D60D2E">
            <w:pPr>
              <w:spacing w:after="0" w:line="240" w:lineRule="auto"/>
              <w:ind w:firstLineChars="200" w:firstLine="240"/>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14:paraId="60B8443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bottom"/>
            <w:hideMark/>
          </w:tcPr>
          <w:p w14:paraId="181DAD2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14:paraId="45895DD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14:paraId="41E2717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14:paraId="272823C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49F11D3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9" w:type="pct"/>
            <w:tcBorders>
              <w:top w:val="single" w:sz="4" w:space="0" w:color="auto"/>
              <w:left w:val="nil"/>
              <w:bottom w:val="single" w:sz="4" w:space="0" w:color="auto"/>
              <w:right w:val="single" w:sz="4" w:space="0" w:color="auto"/>
            </w:tcBorders>
            <w:shd w:val="clear" w:color="auto" w:fill="auto"/>
            <w:noWrap/>
            <w:vAlign w:val="bottom"/>
            <w:hideMark/>
          </w:tcPr>
          <w:p w14:paraId="41FAF9A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610.910,18 </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54499094"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1.221.822,20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253C6E16"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1.221.822,20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1A58002F"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3D0BDBC6"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0AFB0676"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5B3393F0"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14:paraId="64BF4B6E"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19BDB4B9"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1.832.732,39 </w:t>
            </w:r>
          </w:p>
        </w:tc>
      </w:tr>
      <w:tr w:rsidR="00D60D2E" w:rsidRPr="00D60D2E" w14:paraId="3F924F0D" w14:textId="77777777" w:rsidTr="00D60D2E">
        <w:trPr>
          <w:trHeight w:val="63"/>
        </w:trPr>
        <w:tc>
          <w:tcPr>
            <w:tcW w:w="1026" w:type="pct"/>
            <w:tcBorders>
              <w:top w:val="nil"/>
              <w:left w:val="single" w:sz="4" w:space="0" w:color="auto"/>
              <w:bottom w:val="single" w:sz="4" w:space="0" w:color="auto"/>
              <w:right w:val="single" w:sz="4" w:space="0" w:color="auto"/>
            </w:tcBorders>
            <w:shd w:val="clear" w:color="auto" w:fill="auto"/>
            <w:noWrap/>
            <w:vAlign w:val="bottom"/>
            <w:hideMark/>
          </w:tcPr>
          <w:p w14:paraId="09A8F042" w14:textId="77777777" w:rsidR="00D60D2E" w:rsidRPr="00D60D2E" w:rsidRDefault="00D60D2E" w:rsidP="00D60D2E">
            <w:pPr>
              <w:spacing w:after="0" w:line="240" w:lineRule="auto"/>
              <w:ind w:firstLineChars="200" w:firstLine="240"/>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316" w:type="pct"/>
            <w:tcBorders>
              <w:top w:val="nil"/>
              <w:left w:val="nil"/>
              <w:bottom w:val="single" w:sz="4" w:space="0" w:color="auto"/>
              <w:right w:val="single" w:sz="4" w:space="0" w:color="auto"/>
            </w:tcBorders>
            <w:shd w:val="clear" w:color="auto" w:fill="auto"/>
            <w:noWrap/>
            <w:vAlign w:val="bottom"/>
            <w:hideMark/>
          </w:tcPr>
          <w:p w14:paraId="3115C1F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38" w:type="pct"/>
            <w:tcBorders>
              <w:top w:val="nil"/>
              <w:left w:val="nil"/>
              <w:bottom w:val="single" w:sz="4" w:space="0" w:color="auto"/>
              <w:right w:val="single" w:sz="4" w:space="0" w:color="auto"/>
            </w:tcBorders>
            <w:shd w:val="clear" w:color="auto" w:fill="auto"/>
            <w:noWrap/>
            <w:vAlign w:val="bottom"/>
            <w:hideMark/>
          </w:tcPr>
          <w:p w14:paraId="2ABFA84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4" w:space="0" w:color="auto"/>
              <w:right w:val="single" w:sz="4" w:space="0" w:color="auto"/>
            </w:tcBorders>
            <w:shd w:val="clear" w:color="auto" w:fill="auto"/>
            <w:noWrap/>
            <w:vAlign w:val="bottom"/>
            <w:hideMark/>
          </w:tcPr>
          <w:p w14:paraId="15A698F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4" w:space="0" w:color="auto"/>
              <w:right w:val="single" w:sz="4" w:space="0" w:color="auto"/>
            </w:tcBorders>
            <w:shd w:val="clear" w:color="auto" w:fill="auto"/>
            <w:noWrap/>
            <w:vAlign w:val="bottom"/>
            <w:hideMark/>
          </w:tcPr>
          <w:p w14:paraId="3345E21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4" w:space="0" w:color="auto"/>
              <w:right w:val="single" w:sz="4" w:space="0" w:color="auto"/>
            </w:tcBorders>
            <w:shd w:val="clear" w:color="auto" w:fill="auto"/>
            <w:noWrap/>
            <w:vAlign w:val="bottom"/>
            <w:hideMark/>
          </w:tcPr>
          <w:p w14:paraId="1AFE667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2CADB73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9" w:type="pct"/>
            <w:tcBorders>
              <w:top w:val="nil"/>
              <w:left w:val="nil"/>
              <w:bottom w:val="single" w:sz="4" w:space="0" w:color="auto"/>
              <w:right w:val="single" w:sz="4" w:space="0" w:color="auto"/>
            </w:tcBorders>
            <w:shd w:val="clear" w:color="auto" w:fill="auto"/>
            <w:noWrap/>
            <w:vAlign w:val="bottom"/>
            <w:hideMark/>
          </w:tcPr>
          <w:p w14:paraId="1F5AF74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7FCE068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1DDD8D2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577C49C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562693B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20FD66B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345B2E4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290B874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3A508F3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3AE212D2" w14:textId="77777777" w:rsidTr="00D60D2E">
        <w:trPr>
          <w:trHeight w:val="158"/>
        </w:trPr>
        <w:tc>
          <w:tcPr>
            <w:tcW w:w="1026" w:type="pct"/>
            <w:tcBorders>
              <w:top w:val="nil"/>
              <w:left w:val="single" w:sz="4" w:space="0" w:color="auto"/>
              <w:bottom w:val="single" w:sz="4" w:space="0" w:color="auto"/>
              <w:right w:val="single" w:sz="4" w:space="0" w:color="auto"/>
            </w:tcBorders>
            <w:shd w:val="clear" w:color="auto" w:fill="auto"/>
            <w:noWrap/>
            <w:vAlign w:val="bottom"/>
            <w:hideMark/>
          </w:tcPr>
          <w:p w14:paraId="6AEF700D" w14:textId="77777777" w:rsidR="00D60D2E" w:rsidRPr="00D60D2E" w:rsidRDefault="00D60D2E" w:rsidP="00D60D2E">
            <w:pPr>
              <w:spacing w:after="0" w:line="240" w:lineRule="auto"/>
              <w:ind w:firstLineChars="200" w:firstLine="240"/>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316" w:type="pct"/>
            <w:tcBorders>
              <w:top w:val="nil"/>
              <w:left w:val="nil"/>
              <w:bottom w:val="single" w:sz="4" w:space="0" w:color="auto"/>
              <w:right w:val="single" w:sz="4" w:space="0" w:color="auto"/>
            </w:tcBorders>
            <w:shd w:val="clear" w:color="auto" w:fill="auto"/>
            <w:noWrap/>
            <w:vAlign w:val="bottom"/>
            <w:hideMark/>
          </w:tcPr>
          <w:p w14:paraId="7EAA83C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38" w:type="pct"/>
            <w:tcBorders>
              <w:top w:val="nil"/>
              <w:left w:val="nil"/>
              <w:bottom w:val="single" w:sz="4" w:space="0" w:color="auto"/>
              <w:right w:val="single" w:sz="4" w:space="0" w:color="auto"/>
            </w:tcBorders>
            <w:shd w:val="clear" w:color="auto" w:fill="auto"/>
            <w:noWrap/>
            <w:vAlign w:val="bottom"/>
            <w:hideMark/>
          </w:tcPr>
          <w:p w14:paraId="6E8D65A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4" w:space="0" w:color="auto"/>
              <w:right w:val="single" w:sz="4" w:space="0" w:color="auto"/>
            </w:tcBorders>
            <w:shd w:val="clear" w:color="auto" w:fill="auto"/>
            <w:noWrap/>
            <w:vAlign w:val="bottom"/>
            <w:hideMark/>
          </w:tcPr>
          <w:p w14:paraId="41813F6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4" w:space="0" w:color="auto"/>
              <w:right w:val="single" w:sz="4" w:space="0" w:color="auto"/>
            </w:tcBorders>
            <w:shd w:val="clear" w:color="auto" w:fill="auto"/>
            <w:noWrap/>
            <w:vAlign w:val="bottom"/>
            <w:hideMark/>
          </w:tcPr>
          <w:p w14:paraId="166987B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4" w:space="0" w:color="auto"/>
              <w:right w:val="single" w:sz="4" w:space="0" w:color="auto"/>
            </w:tcBorders>
            <w:shd w:val="clear" w:color="auto" w:fill="auto"/>
            <w:noWrap/>
            <w:vAlign w:val="bottom"/>
            <w:hideMark/>
          </w:tcPr>
          <w:p w14:paraId="69884DA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2D17AEC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9" w:type="pct"/>
            <w:tcBorders>
              <w:top w:val="nil"/>
              <w:left w:val="nil"/>
              <w:bottom w:val="single" w:sz="4" w:space="0" w:color="auto"/>
              <w:right w:val="single" w:sz="4" w:space="0" w:color="auto"/>
            </w:tcBorders>
            <w:shd w:val="clear" w:color="auto" w:fill="auto"/>
            <w:noWrap/>
            <w:vAlign w:val="bottom"/>
            <w:hideMark/>
          </w:tcPr>
          <w:p w14:paraId="0099AB9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2259884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5FCD779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6870B30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46900DD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1F70FC0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4C8268F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4201E1A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5D3AFBF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7D25059E" w14:textId="77777777" w:rsidTr="00D60D2E">
        <w:trPr>
          <w:trHeight w:val="288"/>
        </w:trPr>
        <w:tc>
          <w:tcPr>
            <w:tcW w:w="1026" w:type="pct"/>
            <w:tcBorders>
              <w:top w:val="nil"/>
              <w:left w:val="single" w:sz="8" w:space="0" w:color="auto"/>
              <w:bottom w:val="nil"/>
              <w:right w:val="nil"/>
            </w:tcBorders>
            <w:shd w:val="clear" w:color="auto" w:fill="auto"/>
            <w:noWrap/>
            <w:vAlign w:val="bottom"/>
            <w:hideMark/>
          </w:tcPr>
          <w:p w14:paraId="0CEB512C"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EGRESOS (b)</w:t>
            </w:r>
          </w:p>
        </w:tc>
        <w:tc>
          <w:tcPr>
            <w:tcW w:w="316" w:type="pct"/>
            <w:tcBorders>
              <w:top w:val="nil"/>
              <w:left w:val="nil"/>
              <w:bottom w:val="nil"/>
              <w:right w:val="nil"/>
            </w:tcBorders>
            <w:shd w:val="clear" w:color="auto" w:fill="auto"/>
            <w:noWrap/>
            <w:vAlign w:val="bottom"/>
            <w:hideMark/>
          </w:tcPr>
          <w:p w14:paraId="3A95BFCE"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14.774,58 </w:t>
            </w:r>
          </w:p>
        </w:tc>
        <w:tc>
          <w:tcPr>
            <w:tcW w:w="238" w:type="pct"/>
            <w:tcBorders>
              <w:top w:val="nil"/>
              <w:left w:val="nil"/>
              <w:bottom w:val="nil"/>
              <w:right w:val="nil"/>
            </w:tcBorders>
            <w:shd w:val="clear" w:color="auto" w:fill="auto"/>
            <w:noWrap/>
            <w:vAlign w:val="bottom"/>
            <w:hideMark/>
          </w:tcPr>
          <w:p w14:paraId="1DEC0BDE"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263.644,43 </w:t>
            </w:r>
          </w:p>
        </w:tc>
        <w:tc>
          <w:tcPr>
            <w:tcW w:w="243" w:type="pct"/>
            <w:tcBorders>
              <w:top w:val="nil"/>
              <w:left w:val="nil"/>
              <w:bottom w:val="nil"/>
              <w:right w:val="nil"/>
            </w:tcBorders>
            <w:shd w:val="clear" w:color="auto" w:fill="auto"/>
            <w:noWrap/>
            <w:vAlign w:val="bottom"/>
            <w:hideMark/>
          </w:tcPr>
          <w:p w14:paraId="039008D0"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621.140,14 </w:t>
            </w:r>
          </w:p>
        </w:tc>
        <w:tc>
          <w:tcPr>
            <w:tcW w:w="243" w:type="pct"/>
            <w:tcBorders>
              <w:top w:val="nil"/>
              <w:left w:val="nil"/>
              <w:bottom w:val="nil"/>
              <w:right w:val="nil"/>
            </w:tcBorders>
            <w:shd w:val="clear" w:color="auto" w:fill="auto"/>
            <w:noWrap/>
            <w:vAlign w:val="bottom"/>
            <w:hideMark/>
          </w:tcPr>
          <w:p w14:paraId="47AEB9C7"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808.942,27 </w:t>
            </w:r>
          </w:p>
        </w:tc>
        <w:tc>
          <w:tcPr>
            <w:tcW w:w="243" w:type="pct"/>
            <w:tcBorders>
              <w:top w:val="nil"/>
              <w:left w:val="nil"/>
              <w:bottom w:val="nil"/>
              <w:right w:val="nil"/>
            </w:tcBorders>
            <w:shd w:val="clear" w:color="auto" w:fill="auto"/>
            <w:noWrap/>
            <w:vAlign w:val="bottom"/>
            <w:hideMark/>
          </w:tcPr>
          <w:p w14:paraId="1519D333"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527.411,16 </w:t>
            </w:r>
          </w:p>
        </w:tc>
        <w:tc>
          <w:tcPr>
            <w:tcW w:w="257" w:type="pct"/>
            <w:tcBorders>
              <w:top w:val="nil"/>
              <w:left w:val="nil"/>
              <w:bottom w:val="nil"/>
              <w:right w:val="nil"/>
            </w:tcBorders>
            <w:shd w:val="clear" w:color="auto" w:fill="auto"/>
            <w:noWrap/>
            <w:vAlign w:val="bottom"/>
            <w:hideMark/>
          </w:tcPr>
          <w:p w14:paraId="1AC7FF15"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297.701,90 </w:t>
            </w:r>
          </w:p>
        </w:tc>
        <w:tc>
          <w:tcPr>
            <w:tcW w:w="279" w:type="pct"/>
            <w:tcBorders>
              <w:top w:val="nil"/>
              <w:left w:val="nil"/>
              <w:bottom w:val="nil"/>
              <w:right w:val="nil"/>
            </w:tcBorders>
            <w:shd w:val="clear" w:color="auto" w:fill="auto"/>
            <w:noWrap/>
            <w:vAlign w:val="bottom"/>
            <w:hideMark/>
          </w:tcPr>
          <w:p w14:paraId="05917AE9"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2.641.181,01 </w:t>
            </w:r>
          </w:p>
        </w:tc>
        <w:tc>
          <w:tcPr>
            <w:tcW w:w="269" w:type="pct"/>
            <w:tcBorders>
              <w:top w:val="nil"/>
              <w:left w:val="nil"/>
              <w:bottom w:val="nil"/>
              <w:right w:val="nil"/>
            </w:tcBorders>
            <w:shd w:val="clear" w:color="auto" w:fill="auto"/>
            <w:noWrap/>
            <w:vAlign w:val="bottom"/>
            <w:hideMark/>
          </w:tcPr>
          <w:p w14:paraId="3924EB8D" w14:textId="77777777" w:rsidR="00D60D2E" w:rsidRPr="00D60D2E" w:rsidRDefault="00D60D2E" w:rsidP="00D60D2E">
            <w:pPr>
              <w:spacing w:after="0" w:line="240" w:lineRule="auto"/>
              <w:rPr>
                <w:rFonts w:ascii="Calibri" w:eastAsia="Times New Roman" w:hAnsi="Calibri" w:cs="Calibri"/>
                <w:b/>
                <w:bCs/>
                <w:color w:val="FF6600"/>
                <w:sz w:val="10"/>
                <w:szCs w:val="10"/>
                <w:lang w:eastAsia="es-EC"/>
              </w:rPr>
            </w:pPr>
            <w:r w:rsidRPr="00D60D2E">
              <w:rPr>
                <w:rFonts w:ascii="Calibri" w:eastAsia="Times New Roman" w:hAnsi="Calibri" w:cs="Calibri"/>
                <w:b/>
                <w:bCs/>
                <w:color w:val="FF6600"/>
                <w:sz w:val="10"/>
                <w:szCs w:val="10"/>
                <w:lang w:eastAsia="es-EC"/>
              </w:rPr>
              <w:t xml:space="preserve">         27.400,00 </w:t>
            </w:r>
          </w:p>
        </w:tc>
        <w:tc>
          <w:tcPr>
            <w:tcW w:w="270" w:type="pct"/>
            <w:tcBorders>
              <w:top w:val="nil"/>
              <w:left w:val="nil"/>
              <w:bottom w:val="nil"/>
              <w:right w:val="nil"/>
            </w:tcBorders>
            <w:shd w:val="clear" w:color="auto" w:fill="auto"/>
            <w:noWrap/>
            <w:vAlign w:val="bottom"/>
            <w:hideMark/>
          </w:tcPr>
          <w:p w14:paraId="586D4ED2"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27.400,00 </w:t>
            </w:r>
          </w:p>
        </w:tc>
        <w:tc>
          <w:tcPr>
            <w:tcW w:w="271" w:type="pct"/>
            <w:tcBorders>
              <w:top w:val="nil"/>
              <w:left w:val="nil"/>
              <w:bottom w:val="nil"/>
              <w:right w:val="nil"/>
            </w:tcBorders>
            <w:shd w:val="clear" w:color="auto" w:fill="auto"/>
            <w:noWrap/>
            <w:vAlign w:val="bottom"/>
            <w:hideMark/>
          </w:tcPr>
          <w:p w14:paraId="7475BCE1"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227.400,00 </w:t>
            </w:r>
          </w:p>
        </w:tc>
        <w:tc>
          <w:tcPr>
            <w:tcW w:w="271" w:type="pct"/>
            <w:tcBorders>
              <w:top w:val="nil"/>
              <w:left w:val="nil"/>
              <w:bottom w:val="nil"/>
              <w:right w:val="nil"/>
            </w:tcBorders>
            <w:shd w:val="clear" w:color="auto" w:fill="auto"/>
            <w:noWrap/>
            <w:vAlign w:val="bottom"/>
            <w:hideMark/>
          </w:tcPr>
          <w:p w14:paraId="63DC07D6"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227.400,00 </w:t>
            </w:r>
          </w:p>
        </w:tc>
        <w:tc>
          <w:tcPr>
            <w:tcW w:w="271" w:type="pct"/>
            <w:tcBorders>
              <w:top w:val="nil"/>
              <w:left w:val="nil"/>
              <w:bottom w:val="nil"/>
              <w:right w:val="nil"/>
            </w:tcBorders>
            <w:shd w:val="clear" w:color="auto" w:fill="auto"/>
            <w:noWrap/>
            <w:vAlign w:val="bottom"/>
            <w:hideMark/>
          </w:tcPr>
          <w:p w14:paraId="0B257F93"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227.400,00 </w:t>
            </w:r>
          </w:p>
        </w:tc>
        <w:tc>
          <w:tcPr>
            <w:tcW w:w="271" w:type="pct"/>
            <w:tcBorders>
              <w:top w:val="nil"/>
              <w:left w:val="nil"/>
              <w:bottom w:val="nil"/>
              <w:right w:val="nil"/>
            </w:tcBorders>
            <w:shd w:val="clear" w:color="auto" w:fill="auto"/>
            <w:noWrap/>
            <w:vAlign w:val="bottom"/>
            <w:hideMark/>
          </w:tcPr>
          <w:p w14:paraId="389BF448"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227.400,00 </w:t>
            </w:r>
          </w:p>
        </w:tc>
        <w:tc>
          <w:tcPr>
            <w:tcW w:w="273" w:type="pct"/>
            <w:tcBorders>
              <w:top w:val="nil"/>
              <w:left w:val="nil"/>
              <w:bottom w:val="nil"/>
              <w:right w:val="nil"/>
            </w:tcBorders>
            <w:shd w:val="clear" w:color="auto" w:fill="auto"/>
            <w:noWrap/>
            <w:vAlign w:val="bottom"/>
            <w:hideMark/>
          </w:tcPr>
          <w:p w14:paraId="51F74BBE"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c>
          <w:tcPr>
            <w:tcW w:w="257" w:type="pct"/>
            <w:tcBorders>
              <w:top w:val="nil"/>
              <w:left w:val="nil"/>
              <w:bottom w:val="nil"/>
              <w:right w:val="nil"/>
            </w:tcBorders>
            <w:shd w:val="clear" w:color="auto" w:fill="auto"/>
            <w:noWrap/>
            <w:vAlign w:val="bottom"/>
            <w:hideMark/>
          </w:tcPr>
          <w:p w14:paraId="17218CD8"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   </w:t>
            </w:r>
          </w:p>
        </w:tc>
      </w:tr>
      <w:tr w:rsidR="00D60D2E" w:rsidRPr="00D60D2E" w14:paraId="75A57E8A" w14:textId="77777777" w:rsidTr="00D60D2E">
        <w:trPr>
          <w:trHeight w:val="345"/>
        </w:trPr>
        <w:tc>
          <w:tcPr>
            <w:tcW w:w="1026" w:type="pct"/>
            <w:tcBorders>
              <w:top w:val="nil"/>
              <w:left w:val="single" w:sz="8" w:space="0" w:color="auto"/>
              <w:bottom w:val="nil"/>
              <w:right w:val="nil"/>
            </w:tcBorders>
            <w:shd w:val="clear" w:color="auto" w:fill="auto"/>
            <w:noWrap/>
            <w:vAlign w:val="bottom"/>
            <w:hideMark/>
          </w:tcPr>
          <w:p w14:paraId="5FE5D4D3" w14:textId="77777777" w:rsidR="00D60D2E" w:rsidRPr="00D60D2E" w:rsidRDefault="00D60D2E" w:rsidP="00D60D2E">
            <w:pPr>
              <w:spacing w:after="0" w:line="240" w:lineRule="auto"/>
              <w:rPr>
                <w:rFonts w:ascii="Calibri" w:eastAsia="Times New Roman" w:hAnsi="Calibri" w:cs="Calibri"/>
                <w:b/>
                <w:bCs/>
                <w:color w:val="000000"/>
                <w:sz w:val="12"/>
                <w:szCs w:val="12"/>
                <w:lang w:eastAsia="es-EC"/>
              </w:rPr>
            </w:pPr>
            <w:r w:rsidRPr="00D60D2E">
              <w:rPr>
                <w:rFonts w:ascii="Calibri" w:eastAsia="Times New Roman" w:hAnsi="Calibri" w:cs="Calibri"/>
                <w:b/>
                <w:bCs/>
                <w:color w:val="000000"/>
                <w:sz w:val="12"/>
                <w:szCs w:val="12"/>
                <w:lang w:eastAsia="es-EC"/>
              </w:rPr>
              <w:t>INVERSIÓN (COMPONENTES Y ACTIVIDADES DEL MARCO LÓGICO)</w:t>
            </w:r>
          </w:p>
        </w:tc>
        <w:tc>
          <w:tcPr>
            <w:tcW w:w="316" w:type="pct"/>
            <w:tcBorders>
              <w:top w:val="nil"/>
              <w:left w:val="nil"/>
              <w:bottom w:val="nil"/>
              <w:right w:val="nil"/>
            </w:tcBorders>
            <w:shd w:val="clear" w:color="auto" w:fill="auto"/>
            <w:noWrap/>
            <w:vAlign w:val="bottom"/>
            <w:hideMark/>
          </w:tcPr>
          <w:p w14:paraId="0F229AE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14.774,58 </w:t>
            </w:r>
          </w:p>
        </w:tc>
        <w:tc>
          <w:tcPr>
            <w:tcW w:w="238" w:type="pct"/>
            <w:tcBorders>
              <w:top w:val="nil"/>
              <w:left w:val="nil"/>
              <w:bottom w:val="nil"/>
              <w:right w:val="nil"/>
            </w:tcBorders>
            <w:shd w:val="clear" w:color="auto" w:fill="auto"/>
            <w:noWrap/>
            <w:vAlign w:val="bottom"/>
            <w:hideMark/>
          </w:tcPr>
          <w:p w14:paraId="3D9DCAF0"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263.644,43 </w:t>
            </w:r>
          </w:p>
        </w:tc>
        <w:tc>
          <w:tcPr>
            <w:tcW w:w="243" w:type="pct"/>
            <w:tcBorders>
              <w:top w:val="nil"/>
              <w:left w:val="nil"/>
              <w:bottom w:val="nil"/>
              <w:right w:val="nil"/>
            </w:tcBorders>
            <w:shd w:val="clear" w:color="auto" w:fill="auto"/>
            <w:noWrap/>
            <w:vAlign w:val="bottom"/>
            <w:hideMark/>
          </w:tcPr>
          <w:p w14:paraId="697F4169"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621.140,14 </w:t>
            </w:r>
          </w:p>
        </w:tc>
        <w:tc>
          <w:tcPr>
            <w:tcW w:w="243" w:type="pct"/>
            <w:tcBorders>
              <w:top w:val="nil"/>
              <w:left w:val="nil"/>
              <w:bottom w:val="nil"/>
              <w:right w:val="nil"/>
            </w:tcBorders>
            <w:shd w:val="clear" w:color="auto" w:fill="auto"/>
            <w:noWrap/>
            <w:vAlign w:val="bottom"/>
            <w:hideMark/>
          </w:tcPr>
          <w:p w14:paraId="51FD4C62"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808.942,27 </w:t>
            </w:r>
          </w:p>
        </w:tc>
        <w:tc>
          <w:tcPr>
            <w:tcW w:w="243" w:type="pct"/>
            <w:tcBorders>
              <w:top w:val="nil"/>
              <w:left w:val="nil"/>
              <w:bottom w:val="nil"/>
              <w:right w:val="nil"/>
            </w:tcBorders>
            <w:shd w:val="clear" w:color="auto" w:fill="auto"/>
            <w:noWrap/>
            <w:vAlign w:val="bottom"/>
            <w:hideMark/>
          </w:tcPr>
          <w:p w14:paraId="7D683360"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527.411,16 </w:t>
            </w:r>
          </w:p>
        </w:tc>
        <w:tc>
          <w:tcPr>
            <w:tcW w:w="257" w:type="pct"/>
            <w:tcBorders>
              <w:top w:val="nil"/>
              <w:left w:val="nil"/>
              <w:bottom w:val="nil"/>
              <w:right w:val="nil"/>
            </w:tcBorders>
            <w:shd w:val="clear" w:color="auto" w:fill="auto"/>
            <w:noWrap/>
            <w:vAlign w:val="bottom"/>
            <w:hideMark/>
          </w:tcPr>
          <w:p w14:paraId="2187D9AC"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297.701,90 </w:t>
            </w:r>
          </w:p>
        </w:tc>
        <w:tc>
          <w:tcPr>
            <w:tcW w:w="279" w:type="pct"/>
            <w:tcBorders>
              <w:top w:val="nil"/>
              <w:left w:val="nil"/>
              <w:bottom w:val="nil"/>
              <w:right w:val="nil"/>
            </w:tcBorders>
            <w:shd w:val="clear" w:color="auto" w:fill="auto"/>
            <w:noWrap/>
            <w:vAlign w:val="bottom"/>
            <w:hideMark/>
          </w:tcPr>
          <w:p w14:paraId="73B64F42" w14:textId="77777777" w:rsidR="00D60D2E" w:rsidRPr="00D60D2E" w:rsidRDefault="00D60D2E" w:rsidP="00D60D2E">
            <w:pPr>
              <w:spacing w:after="0" w:line="240" w:lineRule="auto"/>
              <w:rPr>
                <w:rFonts w:ascii="Calibri" w:eastAsia="Times New Roman" w:hAnsi="Calibri" w:cs="Calibri"/>
                <w:color w:val="000000"/>
                <w:sz w:val="10"/>
                <w:szCs w:val="10"/>
                <w:lang w:eastAsia="es-EC"/>
              </w:rPr>
            </w:pPr>
            <w:r w:rsidRPr="00D60D2E">
              <w:rPr>
                <w:rFonts w:ascii="Calibri" w:eastAsia="Times New Roman" w:hAnsi="Calibri" w:cs="Calibri"/>
                <w:color w:val="000000"/>
                <w:sz w:val="10"/>
                <w:szCs w:val="10"/>
                <w:lang w:eastAsia="es-EC"/>
              </w:rPr>
              <w:t xml:space="preserve">     2.641.181,01 </w:t>
            </w:r>
          </w:p>
        </w:tc>
        <w:tc>
          <w:tcPr>
            <w:tcW w:w="269" w:type="pct"/>
            <w:tcBorders>
              <w:top w:val="nil"/>
              <w:left w:val="nil"/>
              <w:bottom w:val="nil"/>
              <w:right w:val="nil"/>
            </w:tcBorders>
            <w:shd w:val="clear" w:color="auto" w:fill="auto"/>
            <w:noWrap/>
            <w:vAlign w:val="bottom"/>
            <w:hideMark/>
          </w:tcPr>
          <w:p w14:paraId="340B848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0" w:type="pct"/>
            <w:tcBorders>
              <w:top w:val="nil"/>
              <w:left w:val="nil"/>
              <w:bottom w:val="nil"/>
              <w:right w:val="nil"/>
            </w:tcBorders>
            <w:shd w:val="clear" w:color="auto" w:fill="auto"/>
            <w:noWrap/>
            <w:vAlign w:val="bottom"/>
            <w:hideMark/>
          </w:tcPr>
          <w:p w14:paraId="38E7D1B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1" w:type="pct"/>
            <w:tcBorders>
              <w:top w:val="nil"/>
              <w:left w:val="nil"/>
              <w:bottom w:val="nil"/>
              <w:right w:val="nil"/>
            </w:tcBorders>
            <w:shd w:val="clear" w:color="auto" w:fill="auto"/>
            <w:noWrap/>
            <w:vAlign w:val="bottom"/>
            <w:hideMark/>
          </w:tcPr>
          <w:p w14:paraId="3065F6F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1" w:type="pct"/>
            <w:tcBorders>
              <w:top w:val="nil"/>
              <w:left w:val="nil"/>
              <w:bottom w:val="nil"/>
              <w:right w:val="nil"/>
            </w:tcBorders>
            <w:shd w:val="clear" w:color="auto" w:fill="auto"/>
            <w:noWrap/>
            <w:vAlign w:val="bottom"/>
            <w:hideMark/>
          </w:tcPr>
          <w:p w14:paraId="52BFF0C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1" w:type="pct"/>
            <w:tcBorders>
              <w:top w:val="nil"/>
              <w:left w:val="nil"/>
              <w:bottom w:val="nil"/>
              <w:right w:val="nil"/>
            </w:tcBorders>
            <w:shd w:val="clear" w:color="auto" w:fill="auto"/>
            <w:noWrap/>
            <w:vAlign w:val="bottom"/>
            <w:hideMark/>
          </w:tcPr>
          <w:p w14:paraId="288562C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1" w:type="pct"/>
            <w:tcBorders>
              <w:top w:val="nil"/>
              <w:left w:val="nil"/>
              <w:bottom w:val="nil"/>
              <w:right w:val="nil"/>
            </w:tcBorders>
            <w:shd w:val="clear" w:color="auto" w:fill="auto"/>
            <w:noWrap/>
            <w:vAlign w:val="bottom"/>
            <w:hideMark/>
          </w:tcPr>
          <w:p w14:paraId="202B4DA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3" w:type="pct"/>
            <w:tcBorders>
              <w:top w:val="nil"/>
              <w:left w:val="nil"/>
              <w:bottom w:val="nil"/>
              <w:right w:val="nil"/>
            </w:tcBorders>
            <w:shd w:val="clear" w:color="auto" w:fill="auto"/>
            <w:noWrap/>
            <w:vAlign w:val="bottom"/>
            <w:hideMark/>
          </w:tcPr>
          <w:p w14:paraId="384DCB1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nil"/>
              <w:left w:val="nil"/>
              <w:bottom w:val="nil"/>
              <w:right w:val="nil"/>
            </w:tcBorders>
            <w:shd w:val="clear" w:color="auto" w:fill="auto"/>
            <w:noWrap/>
            <w:vAlign w:val="bottom"/>
            <w:hideMark/>
          </w:tcPr>
          <w:p w14:paraId="1B7514A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r>
      <w:tr w:rsidR="00D60D2E" w:rsidRPr="00D60D2E" w14:paraId="23985AB7" w14:textId="77777777" w:rsidTr="00D60D2E">
        <w:trPr>
          <w:trHeight w:val="300"/>
        </w:trPr>
        <w:tc>
          <w:tcPr>
            <w:tcW w:w="1026" w:type="pct"/>
            <w:tcBorders>
              <w:top w:val="nil"/>
              <w:left w:val="single" w:sz="8" w:space="0" w:color="auto"/>
              <w:bottom w:val="nil"/>
              <w:right w:val="nil"/>
            </w:tcBorders>
            <w:shd w:val="clear" w:color="auto" w:fill="auto"/>
            <w:noWrap/>
            <w:vAlign w:val="bottom"/>
            <w:hideMark/>
          </w:tcPr>
          <w:p w14:paraId="68F45F5A" w14:textId="77777777" w:rsidR="00D60D2E" w:rsidRPr="00D60D2E" w:rsidRDefault="00D60D2E" w:rsidP="00D60D2E">
            <w:pPr>
              <w:spacing w:after="0" w:line="240" w:lineRule="auto"/>
              <w:rPr>
                <w:rFonts w:ascii="Calibri" w:eastAsia="Times New Roman" w:hAnsi="Calibri" w:cs="Calibri"/>
                <w:b/>
                <w:bCs/>
                <w:color w:val="000000"/>
                <w:sz w:val="12"/>
                <w:szCs w:val="12"/>
                <w:lang w:eastAsia="es-EC"/>
              </w:rPr>
            </w:pPr>
            <w:r w:rsidRPr="00D60D2E">
              <w:rPr>
                <w:rFonts w:ascii="Calibri" w:eastAsia="Times New Roman" w:hAnsi="Calibri" w:cs="Calibri"/>
                <w:b/>
                <w:bCs/>
                <w:color w:val="000000"/>
                <w:sz w:val="12"/>
                <w:szCs w:val="12"/>
                <w:lang w:eastAsia="es-EC"/>
              </w:rPr>
              <w:t>Gastos</w:t>
            </w:r>
          </w:p>
        </w:tc>
        <w:tc>
          <w:tcPr>
            <w:tcW w:w="316" w:type="pct"/>
            <w:tcBorders>
              <w:top w:val="nil"/>
              <w:left w:val="nil"/>
              <w:bottom w:val="nil"/>
              <w:right w:val="nil"/>
            </w:tcBorders>
            <w:shd w:val="clear" w:color="auto" w:fill="auto"/>
            <w:noWrap/>
            <w:vAlign w:val="bottom"/>
            <w:hideMark/>
          </w:tcPr>
          <w:p w14:paraId="01FAFD34" w14:textId="77777777" w:rsidR="00D60D2E" w:rsidRPr="00D60D2E" w:rsidRDefault="00D60D2E" w:rsidP="00D60D2E">
            <w:pPr>
              <w:spacing w:after="0" w:line="240" w:lineRule="auto"/>
              <w:rPr>
                <w:rFonts w:ascii="Calibri" w:eastAsia="Times New Roman" w:hAnsi="Calibri" w:cs="Calibri"/>
                <w:b/>
                <w:bCs/>
                <w:color w:val="000000"/>
                <w:sz w:val="12"/>
                <w:szCs w:val="12"/>
                <w:lang w:eastAsia="es-EC"/>
              </w:rPr>
            </w:pPr>
          </w:p>
        </w:tc>
        <w:tc>
          <w:tcPr>
            <w:tcW w:w="238" w:type="pct"/>
            <w:tcBorders>
              <w:top w:val="nil"/>
              <w:left w:val="nil"/>
              <w:bottom w:val="nil"/>
              <w:right w:val="nil"/>
            </w:tcBorders>
            <w:shd w:val="clear" w:color="auto" w:fill="auto"/>
            <w:noWrap/>
            <w:vAlign w:val="bottom"/>
            <w:hideMark/>
          </w:tcPr>
          <w:p w14:paraId="14D070E3" w14:textId="77777777" w:rsidR="00D60D2E" w:rsidRPr="00D60D2E" w:rsidRDefault="00D60D2E" w:rsidP="00D60D2E">
            <w:pPr>
              <w:spacing w:after="0" w:line="240" w:lineRule="auto"/>
              <w:rPr>
                <w:rFonts w:ascii="Times New Roman" w:eastAsia="Times New Roman" w:hAnsi="Times New Roman" w:cs="Times New Roman"/>
                <w:sz w:val="10"/>
                <w:szCs w:val="10"/>
                <w:lang w:eastAsia="es-EC"/>
              </w:rPr>
            </w:pPr>
          </w:p>
        </w:tc>
        <w:tc>
          <w:tcPr>
            <w:tcW w:w="243" w:type="pct"/>
            <w:tcBorders>
              <w:top w:val="nil"/>
              <w:left w:val="nil"/>
              <w:bottom w:val="nil"/>
              <w:right w:val="nil"/>
            </w:tcBorders>
            <w:shd w:val="clear" w:color="auto" w:fill="auto"/>
            <w:noWrap/>
            <w:vAlign w:val="bottom"/>
            <w:hideMark/>
          </w:tcPr>
          <w:p w14:paraId="1B876267" w14:textId="77777777" w:rsidR="00D60D2E" w:rsidRPr="00D60D2E" w:rsidRDefault="00D60D2E" w:rsidP="00D60D2E">
            <w:pPr>
              <w:spacing w:after="0" w:line="240" w:lineRule="auto"/>
              <w:rPr>
                <w:rFonts w:ascii="Times New Roman" w:eastAsia="Times New Roman" w:hAnsi="Times New Roman" w:cs="Times New Roman"/>
                <w:sz w:val="10"/>
                <w:szCs w:val="10"/>
                <w:lang w:eastAsia="es-EC"/>
              </w:rPr>
            </w:pPr>
          </w:p>
        </w:tc>
        <w:tc>
          <w:tcPr>
            <w:tcW w:w="243" w:type="pct"/>
            <w:tcBorders>
              <w:top w:val="nil"/>
              <w:left w:val="nil"/>
              <w:bottom w:val="nil"/>
              <w:right w:val="nil"/>
            </w:tcBorders>
            <w:shd w:val="clear" w:color="auto" w:fill="auto"/>
            <w:noWrap/>
            <w:vAlign w:val="bottom"/>
            <w:hideMark/>
          </w:tcPr>
          <w:p w14:paraId="33D6BACC" w14:textId="77777777" w:rsidR="00D60D2E" w:rsidRPr="00D60D2E" w:rsidRDefault="00D60D2E" w:rsidP="00D60D2E">
            <w:pPr>
              <w:spacing w:after="0" w:line="240" w:lineRule="auto"/>
              <w:rPr>
                <w:rFonts w:ascii="Times New Roman" w:eastAsia="Times New Roman" w:hAnsi="Times New Roman" w:cs="Times New Roman"/>
                <w:sz w:val="10"/>
                <w:szCs w:val="10"/>
                <w:lang w:eastAsia="es-EC"/>
              </w:rPr>
            </w:pPr>
          </w:p>
        </w:tc>
        <w:tc>
          <w:tcPr>
            <w:tcW w:w="243" w:type="pct"/>
            <w:tcBorders>
              <w:top w:val="nil"/>
              <w:left w:val="nil"/>
              <w:bottom w:val="nil"/>
              <w:right w:val="nil"/>
            </w:tcBorders>
            <w:shd w:val="clear" w:color="auto" w:fill="auto"/>
            <w:noWrap/>
            <w:vAlign w:val="bottom"/>
            <w:hideMark/>
          </w:tcPr>
          <w:p w14:paraId="4FC8F27C" w14:textId="77777777" w:rsidR="00D60D2E" w:rsidRPr="00D60D2E" w:rsidRDefault="00D60D2E" w:rsidP="00D60D2E">
            <w:pPr>
              <w:spacing w:after="0" w:line="240" w:lineRule="auto"/>
              <w:rPr>
                <w:rFonts w:ascii="Times New Roman" w:eastAsia="Times New Roman" w:hAnsi="Times New Roman" w:cs="Times New Roman"/>
                <w:sz w:val="10"/>
                <w:szCs w:val="10"/>
                <w:lang w:eastAsia="es-EC"/>
              </w:rPr>
            </w:pPr>
          </w:p>
        </w:tc>
        <w:tc>
          <w:tcPr>
            <w:tcW w:w="257" w:type="pct"/>
            <w:tcBorders>
              <w:top w:val="nil"/>
              <w:left w:val="nil"/>
              <w:bottom w:val="nil"/>
              <w:right w:val="nil"/>
            </w:tcBorders>
            <w:shd w:val="clear" w:color="auto" w:fill="auto"/>
            <w:noWrap/>
            <w:vAlign w:val="bottom"/>
            <w:hideMark/>
          </w:tcPr>
          <w:p w14:paraId="6B0B58BC" w14:textId="77777777" w:rsidR="00D60D2E" w:rsidRPr="00D60D2E" w:rsidRDefault="00D60D2E" w:rsidP="00D60D2E">
            <w:pPr>
              <w:spacing w:after="0" w:line="240" w:lineRule="auto"/>
              <w:rPr>
                <w:rFonts w:ascii="Times New Roman" w:eastAsia="Times New Roman" w:hAnsi="Times New Roman" w:cs="Times New Roman"/>
                <w:sz w:val="10"/>
                <w:szCs w:val="10"/>
                <w:lang w:eastAsia="es-EC"/>
              </w:rPr>
            </w:pPr>
          </w:p>
        </w:tc>
        <w:tc>
          <w:tcPr>
            <w:tcW w:w="279" w:type="pct"/>
            <w:tcBorders>
              <w:top w:val="nil"/>
              <w:left w:val="nil"/>
              <w:bottom w:val="nil"/>
              <w:right w:val="nil"/>
            </w:tcBorders>
            <w:shd w:val="clear" w:color="auto" w:fill="auto"/>
            <w:noWrap/>
            <w:vAlign w:val="bottom"/>
            <w:hideMark/>
          </w:tcPr>
          <w:p w14:paraId="2D580E66" w14:textId="77777777" w:rsidR="00D60D2E" w:rsidRPr="00D60D2E" w:rsidRDefault="00D60D2E" w:rsidP="00D60D2E">
            <w:pPr>
              <w:spacing w:after="0" w:line="240" w:lineRule="auto"/>
              <w:rPr>
                <w:rFonts w:ascii="Times New Roman" w:eastAsia="Times New Roman" w:hAnsi="Times New Roman" w:cs="Times New Roman"/>
                <w:sz w:val="10"/>
                <w:szCs w:val="10"/>
                <w:lang w:eastAsia="es-EC"/>
              </w:rPr>
            </w:pPr>
          </w:p>
        </w:tc>
        <w:tc>
          <w:tcPr>
            <w:tcW w:w="269" w:type="pct"/>
            <w:tcBorders>
              <w:top w:val="nil"/>
              <w:left w:val="nil"/>
              <w:bottom w:val="nil"/>
              <w:right w:val="nil"/>
            </w:tcBorders>
            <w:shd w:val="clear" w:color="auto" w:fill="auto"/>
            <w:noWrap/>
            <w:vAlign w:val="bottom"/>
            <w:hideMark/>
          </w:tcPr>
          <w:p w14:paraId="262D1A53"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0" w:type="pct"/>
            <w:tcBorders>
              <w:top w:val="nil"/>
              <w:left w:val="nil"/>
              <w:bottom w:val="nil"/>
              <w:right w:val="nil"/>
            </w:tcBorders>
            <w:shd w:val="clear" w:color="auto" w:fill="auto"/>
            <w:noWrap/>
            <w:vAlign w:val="bottom"/>
            <w:hideMark/>
          </w:tcPr>
          <w:p w14:paraId="2B57AFA1"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1" w:type="pct"/>
            <w:tcBorders>
              <w:top w:val="nil"/>
              <w:left w:val="nil"/>
              <w:bottom w:val="nil"/>
              <w:right w:val="nil"/>
            </w:tcBorders>
            <w:shd w:val="clear" w:color="auto" w:fill="auto"/>
            <w:noWrap/>
            <w:vAlign w:val="bottom"/>
            <w:hideMark/>
          </w:tcPr>
          <w:p w14:paraId="5DF98648"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1" w:type="pct"/>
            <w:tcBorders>
              <w:top w:val="nil"/>
              <w:left w:val="nil"/>
              <w:bottom w:val="nil"/>
              <w:right w:val="nil"/>
            </w:tcBorders>
            <w:shd w:val="clear" w:color="auto" w:fill="auto"/>
            <w:noWrap/>
            <w:vAlign w:val="bottom"/>
            <w:hideMark/>
          </w:tcPr>
          <w:p w14:paraId="48A16D58"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1" w:type="pct"/>
            <w:tcBorders>
              <w:top w:val="nil"/>
              <w:left w:val="nil"/>
              <w:bottom w:val="nil"/>
              <w:right w:val="nil"/>
            </w:tcBorders>
            <w:shd w:val="clear" w:color="auto" w:fill="auto"/>
            <w:noWrap/>
            <w:vAlign w:val="bottom"/>
            <w:hideMark/>
          </w:tcPr>
          <w:p w14:paraId="73ECA61A"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1" w:type="pct"/>
            <w:tcBorders>
              <w:top w:val="nil"/>
              <w:left w:val="nil"/>
              <w:bottom w:val="nil"/>
              <w:right w:val="nil"/>
            </w:tcBorders>
            <w:shd w:val="clear" w:color="auto" w:fill="auto"/>
            <w:noWrap/>
            <w:vAlign w:val="bottom"/>
            <w:hideMark/>
          </w:tcPr>
          <w:p w14:paraId="58AD2B2E"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3" w:type="pct"/>
            <w:tcBorders>
              <w:top w:val="nil"/>
              <w:left w:val="nil"/>
              <w:bottom w:val="nil"/>
              <w:right w:val="nil"/>
            </w:tcBorders>
            <w:shd w:val="clear" w:color="auto" w:fill="auto"/>
            <w:noWrap/>
            <w:vAlign w:val="bottom"/>
            <w:hideMark/>
          </w:tcPr>
          <w:p w14:paraId="065E67BE"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57" w:type="pct"/>
            <w:tcBorders>
              <w:top w:val="nil"/>
              <w:left w:val="nil"/>
              <w:bottom w:val="nil"/>
              <w:right w:val="nil"/>
            </w:tcBorders>
            <w:shd w:val="clear" w:color="auto" w:fill="auto"/>
            <w:noWrap/>
            <w:vAlign w:val="bottom"/>
            <w:hideMark/>
          </w:tcPr>
          <w:p w14:paraId="6EBEAA4E"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r>
      <w:tr w:rsidR="00D60D2E" w:rsidRPr="00D60D2E" w14:paraId="659357F6" w14:textId="77777777" w:rsidTr="00D60D2E">
        <w:trPr>
          <w:trHeight w:val="192"/>
        </w:trPr>
        <w:tc>
          <w:tcPr>
            <w:tcW w:w="1026" w:type="pct"/>
            <w:tcBorders>
              <w:top w:val="single" w:sz="8" w:space="0" w:color="auto"/>
              <w:left w:val="single" w:sz="8" w:space="0" w:color="auto"/>
              <w:bottom w:val="single" w:sz="8" w:space="0" w:color="auto"/>
              <w:right w:val="single" w:sz="4" w:space="0" w:color="auto"/>
            </w:tcBorders>
            <w:shd w:val="clear" w:color="000000" w:fill="DCE6F1"/>
            <w:vAlign w:val="bottom"/>
            <w:hideMark/>
          </w:tcPr>
          <w:p w14:paraId="26DCD302"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COMPONENTE 1. - Diseñar e implementar el modelo de gestión de la PGE.</w:t>
            </w:r>
          </w:p>
        </w:tc>
        <w:tc>
          <w:tcPr>
            <w:tcW w:w="316" w:type="pct"/>
            <w:tcBorders>
              <w:top w:val="single" w:sz="8" w:space="0" w:color="auto"/>
              <w:left w:val="nil"/>
              <w:bottom w:val="single" w:sz="8" w:space="0" w:color="auto"/>
              <w:right w:val="single" w:sz="4" w:space="0" w:color="auto"/>
            </w:tcBorders>
            <w:shd w:val="clear" w:color="000000" w:fill="DCE6F1"/>
            <w:noWrap/>
            <w:vAlign w:val="center"/>
            <w:hideMark/>
          </w:tcPr>
          <w:p w14:paraId="0097B3DF"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14.774,58 </w:t>
            </w:r>
          </w:p>
        </w:tc>
        <w:tc>
          <w:tcPr>
            <w:tcW w:w="238" w:type="pct"/>
            <w:tcBorders>
              <w:top w:val="single" w:sz="8" w:space="0" w:color="auto"/>
              <w:left w:val="nil"/>
              <w:bottom w:val="single" w:sz="8" w:space="0" w:color="auto"/>
              <w:right w:val="single" w:sz="4" w:space="0" w:color="auto"/>
            </w:tcBorders>
            <w:shd w:val="clear" w:color="000000" w:fill="DCE6F1"/>
            <w:noWrap/>
            <w:vAlign w:val="center"/>
            <w:hideMark/>
          </w:tcPr>
          <w:p w14:paraId="56DC11B5" w14:textId="77777777" w:rsidR="00D60D2E" w:rsidRPr="00D60D2E" w:rsidRDefault="00D60D2E" w:rsidP="00D60D2E">
            <w:pPr>
              <w:spacing w:after="0" w:line="240" w:lineRule="auto"/>
              <w:jc w:val="center"/>
              <w:rPr>
                <w:rFonts w:ascii="Calibri" w:eastAsia="Times New Roman" w:hAnsi="Calibri" w:cs="Calibri"/>
                <w:b/>
                <w:bCs/>
                <w:i/>
                <w:iCs/>
                <w:color w:val="000000"/>
                <w:sz w:val="10"/>
                <w:szCs w:val="10"/>
                <w:lang w:eastAsia="es-EC"/>
              </w:rPr>
            </w:pPr>
            <w:r w:rsidRPr="00D60D2E">
              <w:rPr>
                <w:rFonts w:ascii="Calibri" w:eastAsia="Times New Roman" w:hAnsi="Calibri" w:cs="Calibri"/>
                <w:b/>
                <w:bCs/>
                <w:i/>
                <w:iCs/>
                <w:color w:val="000000"/>
                <w:sz w:val="10"/>
                <w:szCs w:val="10"/>
                <w:lang w:eastAsia="es-EC"/>
              </w:rPr>
              <w:t xml:space="preserve">   172.559,11 </w:t>
            </w:r>
          </w:p>
        </w:tc>
        <w:tc>
          <w:tcPr>
            <w:tcW w:w="243" w:type="pct"/>
            <w:tcBorders>
              <w:top w:val="single" w:sz="8" w:space="0" w:color="auto"/>
              <w:left w:val="nil"/>
              <w:bottom w:val="single" w:sz="8" w:space="0" w:color="auto"/>
              <w:right w:val="single" w:sz="4" w:space="0" w:color="auto"/>
            </w:tcBorders>
            <w:shd w:val="clear" w:color="000000" w:fill="DCE6F1"/>
            <w:noWrap/>
            <w:vAlign w:val="center"/>
            <w:hideMark/>
          </w:tcPr>
          <w:p w14:paraId="53A02039" w14:textId="77777777" w:rsidR="00D60D2E" w:rsidRPr="00D60D2E" w:rsidRDefault="00D60D2E" w:rsidP="00D60D2E">
            <w:pPr>
              <w:spacing w:after="0" w:line="240" w:lineRule="auto"/>
              <w:jc w:val="center"/>
              <w:rPr>
                <w:rFonts w:ascii="Calibri" w:eastAsia="Times New Roman" w:hAnsi="Calibri" w:cs="Calibri"/>
                <w:b/>
                <w:bCs/>
                <w:i/>
                <w:iCs/>
                <w:color w:val="000000"/>
                <w:sz w:val="10"/>
                <w:szCs w:val="10"/>
                <w:lang w:eastAsia="es-EC"/>
              </w:rPr>
            </w:pPr>
            <w:r w:rsidRPr="00D60D2E">
              <w:rPr>
                <w:rFonts w:ascii="Calibri" w:eastAsia="Times New Roman" w:hAnsi="Calibri" w:cs="Calibri"/>
                <w:b/>
                <w:bCs/>
                <w:i/>
                <w:iCs/>
                <w:color w:val="000000"/>
                <w:sz w:val="10"/>
                <w:szCs w:val="10"/>
                <w:lang w:eastAsia="es-EC"/>
              </w:rPr>
              <w:t xml:space="preserve">   510.764,28 </w:t>
            </w:r>
          </w:p>
        </w:tc>
        <w:tc>
          <w:tcPr>
            <w:tcW w:w="243" w:type="pct"/>
            <w:tcBorders>
              <w:top w:val="single" w:sz="8" w:space="0" w:color="auto"/>
              <w:left w:val="nil"/>
              <w:bottom w:val="single" w:sz="8" w:space="0" w:color="auto"/>
              <w:right w:val="single" w:sz="4" w:space="0" w:color="auto"/>
            </w:tcBorders>
            <w:shd w:val="clear" w:color="000000" w:fill="DCE6F1"/>
            <w:noWrap/>
            <w:vAlign w:val="center"/>
            <w:hideMark/>
          </w:tcPr>
          <w:p w14:paraId="41011D59" w14:textId="77777777" w:rsidR="00D60D2E" w:rsidRPr="00D60D2E" w:rsidRDefault="00D60D2E" w:rsidP="00D60D2E">
            <w:pPr>
              <w:spacing w:after="0" w:line="240" w:lineRule="auto"/>
              <w:jc w:val="center"/>
              <w:rPr>
                <w:rFonts w:ascii="Calibri" w:eastAsia="Times New Roman" w:hAnsi="Calibri" w:cs="Calibri"/>
                <w:b/>
                <w:bCs/>
                <w:i/>
                <w:iCs/>
                <w:color w:val="000000"/>
                <w:sz w:val="10"/>
                <w:szCs w:val="10"/>
                <w:lang w:eastAsia="es-EC"/>
              </w:rPr>
            </w:pPr>
            <w:r w:rsidRPr="00D60D2E">
              <w:rPr>
                <w:rFonts w:ascii="Calibri" w:eastAsia="Times New Roman" w:hAnsi="Calibri" w:cs="Calibri"/>
                <w:b/>
                <w:bCs/>
                <w:i/>
                <w:iCs/>
                <w:color w:val="000000"/>
                <w:sz w:val="10"/>
                <w:szCs w:val="10"/>
                <w:lang w:eastAsia="es-EC"/>
              </w:rPr>
              <w:t xml:space="preserve">   603.735,72 </w:t>
            </w:r>
          </w:p>
        </w:tc>
        <w:tc>
          <w:tcPr>
            <w:tcW w:w="243" w:type="pct"/>
            <w:tcBorders>
              <w:top w:val="single" w:sz="8" w:space="0" w:color="auto"/>
              <w:left w:val="nil"/>
              <w:bottom w:val="single" w:sz="8" w:space="0" w:color="auto"/>
              <w:right w:val="single" w:sz="4" w:space="0" w:color="auto"/>
            </w:tcBorders>
            <w:shd w:val="clear" w:color="000000" w:fill="DCE6F1"/>
            <w:noWrap/>
            <w:vAlign w:val="center"/>
            <w:hideMark/>
          </w:tcPr>
          <w:p w14:paraId="62CFB5B9" w14:textId="77777777" w:rsidR="00D60D2E" w:rsidRPr="00D60D2E" w:rsidRDefault="00D60D2E" w:rsidP="00D60D2E">
            <w:pPr>
              <w:spacing w:after="0" w:line="240" w:lineRule="auto"/>
              <w:jc w:val="center"/>
              <w:rPr>
                <w:rFonts w:ascii="Calibri" w:eastAsia="Times New Roman" w:hAnsi="Calibri" w:cs="Calibri"/>
                <w:b/>
                <w:bCs/>
                <w:i/>
                <w:iCs/>
                <w:color w:val="000000"/>
                <w:sz w:val="10"/>
                <w:szCs w:val="10"/>
                <w:lang w:eastAsia="es-EC"/>
              </w:rPr>
            </w:pPr>
            <w:r w:rsidRPr="00D60D2E">
              <w:rPr>
                <w:rFonts w:ascii="Calibri" w:eastAsia="Times New Roman" w:hAnsi="Calibri" w:cs="Calibri"/>
                <w:b/>
                <w:bCs/>
                <w:i/>
                <w:iCs/>
                <w:color w:val="000000"/>
                <w:sz w:val="10"/>
                <w:szCs w:val="10"/>
                <w:lang w:eastAsia="es-EC"/>
              </w:rPr>
              <w:t xml:space="preserve">   449.341,39 </w:t>
            </w:r>
          </w:p>
        </w:tc>
        <w:tc>
          <w:tcPr>
            <w:tcW w:w="257" w:type="pct"/>
            <w:tcBorders>
              <w:top w:val="single" w:sz="8" w:space="0" w:color="auto"/>
              <w:left w:val="nil"/>
              <w:bottom w:val="single" w:sz="8" w:space="0" w:color="auto"/>
              <w:right w:val="single" w:sz="4" w:space="0" w:color="auto"/>
            </w:tcBorders>
            <w:shd w:val="clear" w:color="000000" w:fill="DCE6F1"/>
            <w:noWrap/>
            <w:vAlign w:val="center"/>
            <w:hideMark/>
          </w:tcPr>
          <w:p w14:paraId="557B649B" w14:textId="77777777" w:rsidR="00D60D2E" w:rsidRPr="00D60D2E" w:rsidRDefault="00D60D2E" w:rsidP="00D60D2E">
            <w:pPr>
              <w:spacing w:after="0" w:line="240" w:lineRule="auto"/>
              <w:jc w:val="center"/>
              <w:rPr>
                <w:rFonts w:ascii="Calibri" w:eastAsia="Times New Roman" w:hAnsi="Calibri" w:cs="Calibri"/>
                <w:b/>
                <w:bCs/>
                <w:i/>
                <w:iCs/>
                <w:color w:val="000000"/>
                <w:sz w:val="10"/>
                <w:szCs w:val="10"/>
                <w:lang w:eastAsia="es-EC"/>
              </w:rPr>
            </w:pPr>
            <w:r w:rsidRPr="00D60D2E">
              <w:rPr>
                <w:rFonts w:ascii="Calibri" w:eastAsia="Times New Roman" w:hAnsi="Calibri" w:cs="Calibri"/>
                <w:b/>
                <w:bCs/>
                <w:i/>
                <w:iCs/>
                <w:color w:val="000000"/>
                <w:sz w:val="10"/>
                <w:szCs w:val="10"/>
                <w:lang w:eastAsia="es-EC"/>
              </w:rPr>
              <w:t xml:space="preserve">      297.701,90 </w:t>
            </w:r>
          </w:p>
        </w:tc>
        <w:tc>
          <w:tcPr>
            <w:tcW w:w="279" w:type="pct"/>
            <w:tcBorders>
              <w:top w:val="single" w:sz="8" w:space="0" w:color="auto"/>
              <w:left w:val="nil"/>
              <w:bottom w:val="single" w:sz="8" w:space="0" w:color="auto"/>
              <w:right w:val="single" w:sz="4" w:space="0" w:color="auto"/>
            </w:tcBorders>
            <w:shd w:val="clear" w:color="000000" w:fill="DCE6F1"/>
            <w:noWrap/>
            <w:vAlign w:val="center"/>
            <w:hideMark/>
          </w:tcPr>
          <w:p w14:paraId="79CF6572" w14:textId="77777777" w:rsidR="00D60D2E" w:rsidRPr="00D60D2E" w:rsidRDefault="00D60D2E" w:rsidP="00D60D2E">
            <w:pPr>
              <w:spacing w:after="0" w:line="240" w:lineRule="auto"/>
              <w:jc w:val="center"/>
              <w:rPr>
                <w:rFonts w:ascii="Calibri" w:eastAsia="Times New Roman" w:hAnsi="Calibri" w:cs="Calibri"/>
                <w:b/>
                <w:bCs/>
                <w:i/>
                <w:iCs/>
                <w:color w:val="000000"/>
                <w:sz w:val="10"/>
                <w:szCs w:val="10"/>
                <w:lang w:eastAsia="es-EC"/>
              </w:rPr>
            </w:pPr>
            <w:r w:rsidRPr="00D60D2E">
              <w:rPr>
                <w:rFonts w:ascii="Calibri" w:eastAsia="Times New Roman" w:hAnsi="Calibri" w:cs="Calibri"/>
                <w:b/>
                <w:bCs/>
                <w:i/>
                <w:iCs/>
                <w:color w:val="000000"/>
                <w:sz w:val="10"/>
                <w:szCs w:val="10"/>
                <w:lang w:eastAsia="es-EC"/>
              </w:rPr>
              <w:t xml:space="preserve">    2.390.637,04 </w:t>
            </w:r>
          </w:p>
        </w:tc>
        <w:tc>
          <w:tcPr>
            <w:tcW w:w="269" w:type="pct"/>
            <w:tcBorders>
              <w:top w:val="single" w:sz="8" w:space="0" w:color="auto"/>
              <w:left w:val="nil"/>
              <w:bottom w:val="single" w:sz="8" w:space="0" w:color="auto"/>
              <w:right w:val="single" w:sz="4" w:space="0" w:color="auto"/>
            </w:tcBorders>
            <w:shd w:val="clear" w:color="000000" w:fill="DCE6F1"/>
            <w:noWrap/>
            <w:vAlign w:val="center"/>
            <w:hideMark/>
          </w:tcPr>
          <w:p w14:paraId="2473D022"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0" w:type="pct"/>
            <w:tcBorders>
              <w:top w:val="single" w:sz="8" w:space="0" w:color="auto"/>
              <w:left w:val="nil"/>
              <w:bottom w:val="single" w:sz="8" w:space="0" w:color="auto"/>
              <w:right w:val="single" w:sz="4" w:space="0" w:color="auto"/>
            </w:tcBorders>
            <w:shd w:val="clear" w:color="000000" w:fill="DCE6F1"/>
            <w:noWrap/>
            <w:vAlign w:val="center"/>
            <w:hideMark/>
          </w:tcPr>
          <w:p w14:paraId="0A047CCD"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center"/>
            <w:hideMark/>
          </w:tcPr>
          <w:p w14:paraId="69346CC8"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center"/>
            <w:hideMark/>
          </w:tcPr>
          <w:p w14:paraId="1B3E2A39"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center"/>
            <w:hideMark/>
          </w:tcPr>
          <w:p w14:paraId="3AE67FF5"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center"/>
            <w:hideMark/>
          </w:tcPr>
          <w:p w14:paraId="37C7BD23"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3" w:type="pct"/>
            <w:tcBorders>
              <w:top w:val="single" w:sz="8" w:space="0" w:color="auto"/>
              <w:left w:val="nil"/>
              <w:bottom w:val="single" w:sz="8" w:space="0" w:color="auto"/>
              <w:right w:val="single" w:sz="4" w:space="0" w:color="auto"/>
            </w:tcBorders>
            <w:shd w:val="clear" w:color="000000" w:fill="DCE6F1"/>
            <w:noWrap/>
            <w:vAlign w:val="center"/>
            <w:hideMark/>
          </w:tcPr>
          <w:p w14:paraId="04AFA71C"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57" w:type="pct"/>
            <w:tcBorders>
              <w:top w:val="single" w:sz="8" w:space="0" w:color="auto"/>
              <w:left w:val="nil"/>
              <w:bottom w:val="single" w:sz="8" w:space="0" w:color="auto"/>
              <w:right w:val="single" w:sz="4" w:space="0" w:color="auto"/>
            </w:tcBorders>
            <w:shd w:val="clear" w:color="000000" w:fill="DCE6F1"/>
            <w:noWrap/>
            <w:vAlign w:val="center"/>
            <w:hideMark/>
          </w:tcPr>
          <w:p w14:paraId="61AA83E8" w14:textId="77777777" w:rsidR="00D60D2E" w:rsidRPr="00D60D2E" w:rsidRDefault="00D60D2E" w:rsidP="00D60D2E">
            <w:pPr>
              <w:spacing w:after="0" w:line="240" w:lineRule="auto"/>
              <w:jc w:val="center"/>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r>
      <w:tr w:rsidR="00D60D2E" w:rsidRPr="00D60D2E" w14:paraId="7E91C6B1" w14:textId="77777777" w:rsidTr="00D60D2E">
        <w:trPr>
          <w:trHeight w:val="309"/>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60A25BC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1.1. -  Realizar un diagnóstico situacional en profundidad, propuesta de modelo de gestión e instrumentos para su redefinición.</w:t>
            </w:r>
          </w:p>
        </w:tc>
        <w:tc>
          <w:tcPr>
            <w:tcW w:w="316" w:type="pct"/>
            <w:tcBorders>
              <w:top w:val="nil"/>
              <w:left w:val="nil"/>
              <w:bottom w:val="single" w:sz="4" w:space="0" w:color="auto"/>
              <w:right w:val="single" w:sz="4" w:space="0" w:color="auto"/>
            </w:tcBorders>
            <w:shd w:val="clear" w:color="auto" w:fill="auto"/>
            <w:noWrap/>
            <w:vAlign w:val="center"/>
            <w:hideMark/>
          </w:tcPr>
          <w:p w14:paraId="4FA87C5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center"/>
            <w:hideMark/>
          </w:tcPr>
          <w:p w14:paraId="0DB82B7F"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83.965,52 </w:t>
            </w:r>
          </w:p>
        </w:tc>
        <w:tc>
          <w:tcPr>
            <w:tcW w:w="243" w:type="pct"/>
            <w:tcBorders>
              <w:top w:val="nil"/>
              <w:left w:val="nil"/>
              <w:bottom w:val="single" w:sz="4" w:space="0" w:color="auto"/>
              <w:right w:val="single" w:sz="4" w:space="0" w:color="auto"/>
            </w:tcBorders>
            <w:shd w:val="clear" w:color="auto" w:fill="auto"/>
            <w:noWrap/>
            <w:vAlign w:val="center"/>
            <w:hideMark/>
          </w:tcPr>
          <w:p w14:paraId="6D695896"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207.829,32 </w:t>
            </w:r>
          </w:p>
        </w:tc>
        <w:tc>
          <w:tcPr>
            <w:tcW w:w="243" w:type="pct"/>
            <w:tcBorders>
              <w:top w:val="nil"/>
              <w:left w:val="nil"/>
              <w:bottom w:val="single" w:sz="4" w:space="0" w:color="auto"/>
              <w:right w:val="single" w:sz="4" w:space="0" w:color="auto"/>
            </w:tcBorders>
            <w:shd w:val="clear" w:color="auto" w:fill="auto"/>
            <w:noWrap/>
            <w:vAlign w:val="center"/>
            <w:hideMark/>
          </w:tcPr>
          <w:p w14:paraId="7D786E32"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487.409,56 </w:t>
            </w:r>
          </w:p>
        </w:tc>
        <w:tc>
          <w:tcPr>
            <w:tcW w:w="243" w:type="pct"/>
            <w:tcBorders>
              <w:top w:val="nil"/>
              <w:left w:val="nil"/>
              <w:bottom w:val="single" w:sz="4" w:space="0" w:color="auto"/>
              <w:right w:val="single" w:sz="4" w:space="0" w:color="auto"/>
            </w:tcBorders>
            <w:shd w:val="clear" w:color="auto" w:fill="auto"/>
            <w:noWrap/>
            <w:vAlign w:val="center"/>
            <w:hideMark/>
          </w:tcPr>
          <w:p w14:paraId="1028702C"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center"/>
            <w:hideMark/>
          </w:tcPr>
          <w:p w14:paraId="7A641322"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6C3F06AB"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10.563,99 </w:t>
            </w:r>
          </w:p>
        </w:tc>
        <w:tc>
          <w:tcPr>
            <w:tcW w:w="269" w:type="pct"/>
            <w:tcBorders>
              <w:top w:val="nil"/>
              <w:left w:val="nil"/>
              <w:bottom w:val="single" w:sz="4" w:space="0" w:color="auto"/>
              <w:right w:val="single" w:sz="4" w:space="0" w:color="auto"/>
            </w:tcBorders>
            <w:shd w:val="clear" w:color="auto" w:fill="auto"/>
            <w:noWrap/>
            <w:vAlign w:val="center"/>
            <w:hideMark/>
          </w:tcPr>
          <w:p w14:paraId="48EFD01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center"/>
            <w:hideMark/>
          </w:tcPr>
          <w:p w14:paraId="331014C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0AFAA04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4BE409F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065FA68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1E8408F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center"/>
            <w:hideMark/>
          </w:tcPr>
          <w:p w14:paraId="4A58E4F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4F54AD8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46EDE494" w14:textId="77777777" w:rsidTr="00D60D2E">
        <w:trPr>
          <w:trHeight w:val="127"/>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39806C6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1.2. - Implementar el Plan de gestión del cambio.</w:t>
            </w:r>
          </w:p>
        </w:tc>
        <w:tc>
          <w:tcPr>
            <w:tcW w:w="316" w:type="pct"/>
            <w:tcBorders>
              <w:top w:val="nil"/>
              <w:left w:val="nil"/>
              <w:bottom w:val="single" w:sz="4" w:space="0" w:color="auto"/>
              <w:right w:val="single" w:sz="4" w:space="0" w:color="auto"/>
            </w:tcBorders>
            <w:shd w:val="clear" w:color="auto" w:fill="auto"/>
            <w:noWrap/>
            <w:vAlign w:val="center"/>
            <w:hideMark/>
          </w:tcPr>
          <w:p w14:paraId="0ECBD89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center"/>
            <w:hideMark/>
          </w:tcPr>
          <w:p w14:paraId="3D4076D7"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23.270,24 </w:t>
            </w:r>
          </w:p>
        </w:tc>
        <w:tc>
          <w:tcPr>
            <w:tcW w:w="243" w:type="pct"/>
            <w:tcBorders>
              <w:top w:val="nil"/>
              <w:left w:val="nil"/>
              <w:bottom w:val="single" w:sz="4" w:space="0" w:color="auto"/>
              <w:right w:val="single" w:sz="4" w:space="0" w:color="auto"/>
            </w:tcBorders>
            <w:shd w:val="clear" w:color="auto" w:fill="auto"/>
            <w:noWrap/>
            <w:vAlign w:val="center"/>
            <w:hideMark/>
          </w:tcPr>
          <w:p w14:paraId="6D1BDE1C"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21.840,00 </w:t>
            </w:r>
          </w:p>
        </w:tc>
        <w:tc>
          <w:tcPr>
            <w:tcW w:w="243" w:type="pct"/>
            <w:tcBorders>
              <w:top w:val="nil"/>
              <w:left w:val="nil"/>
              <w:bottom w:val="single" w:sz="4" w:space="0" w:color="auto"/>
              <w:right w:val="single" w:sz="4" w:space="0" w:color="auto"/>
            </w:tcBorders>
            <w:shd w:val="clear" w:color="auto" w:fill="auto"/>
            <w:noWrap/>
            <w:vAlign w:val="center"/>
            <w:hideMark/>
          </w:tcPr>
          <w:p w14:paraId="6124C75D"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29.960,00 </w:t>
            </w:r>
          </w:p>
        </w:tc>
        <w:tc>
          <w:tcPr>
            <w:tcW w:w="243" w:type="pct"/>
            <w:tcBorders>
              <w:top w:val="nil"/>
              <w:left w:val="nil"/>
              <w:bottom w:val="single" w:sz="4" w:space="0" w:color="auto"/>
              <w:right w:val="single" w:sz="4" w:space="0" w:color="auto"/>
            </w:tcBorders>
            <w:shd w:val="clear" w:color="auto" w:fill="auto"/>
            <w:noWrap/>
            <w:vAlign w:val="center"/>
            <w:hideMark/>
          </w:tcPr>
          <w:p w14:paraId="5B0129E7"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center"/>
            <w:hideMark/>
          </w:tcPr>
          <w:p w14:paraId="56B16B11"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6F655772"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45.000,00 </w:t>
            </w:r>
          </w:p>
        </w:tc>
        <w:tc>
          <w:tcPr>
            <w:tcW w:w="269" w:type="pct"/>
            <w:tcBorders>
              <w:top w:val="nil"/>
              <w:left w:val="nil"/>
              <w:bottom w:val="single" w:sz="4" w:space="0" w:color="auto"/>
              <w:right w:val="single" w:sz="4" w:space="0" w:color="auto"/>
            </w:tcBorders>
            <w:shd w:val="clear" w:color="auto" w:fill="auto"/>
            <w:noWrap/>
            <w:vAlign w:val="center"/>
            <w:hideMark/>
          </w:tcPr>
          <w:p w14:paraId="1DD89C5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center"/>
            <w:hideMark/>
          </w:tcPr>
          <w:p w14:paraId="19F1721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5EB3C68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31D537B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5BC814B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25CEABA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center"/>
            <w:hideMark/>
          </w:tcPr>
          <w:p w14:paraId="049B3DD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529F5E3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7E9B4126" w14:textId="77777777" w:rsidTr="00D60D2E">
        <w:trPr>
          <w:trHeight w:val="246"/>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2F66ECF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1.3. - Implementar un Sistema Informático Integrado</w:t>
            </w:r>
          </w:p>
        </w:tc>
        <w:tc>
          <w:tcPr>
            <w:tcW w:w="316" w:type="pct"/>
            <w:tcBorders>
              <w:top w:val="nil"/>
              <w:left w:val="nil"/>
              <w:bottom w:val="single" w:sz="4" w:space="0" w:color="auto"/>
              <w:right w:val="single" w:sz="4" w:space="0" w:color="auto"/>
            </w:tcBorders>
            <w:shd w:val="clear" w:color="auto" w:fill="auto"/>
            <w:noWrap/>
            <w:vAlign w:val="center"/>
            <w:hideMark/>
          </w:tcPr>
          <w:p w14:paraId="1A9E7CF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center"/>
            <w:hideMark/>
          </w:tcPr>
          <w:p w14:paraId="4D2D5F35"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center"/>
            <w:hideMark/>
          </w:tcPr>
          <w:p w14:paraId="60AA4CAB"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center"/>
            <w:hideMark/>
          </w:tcPr>
          <w:p w14:paraId="004C22DA"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center"/>
            <w:hideMark/>
          </w:tcPr>
          <w:p w14:paraId="03E1B9CD"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111.568,80 </w:t>
            </w:r>
          </w:p>
        </w:tc>
        <w:tc>
          <w:tcPr>
            <w:tcW w:w="257" w:type="pct"/>
            <w:tcBorders>
              <w:top w:val="nil"/>
              <w:left w:val="nil"/>
              <w:bottom w:val="single" w:sz="4" w:space="0" w:color="auto"/>
              <w:right w:val="single" w:sz="4" w:space="0" w:color="auto"/>
            </w:tcBorders>
            <w:shd w:val="clear" w:color="auto" w:fill="auto"/>
            <w:noWrap/>
            <w:vAlign w:val="center"/>
            <w:hideMark/>
          </w:tcPr>
          <w:p w14:paraId="05A18E39"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229.114,50 </w:t>
            </w:r>
          </w:p>
        </w:tc>
        <w:tc>
          <w:tcPr>
            <w:tcW w:w="279" w:type="pct"/>
            <w:tcBorders>
              <w:top w:val="nil"/>
              <w:left w:val="nil"/>
              <w:bottom w:val="single" w:sz="4" w:space="0" w:color="auto"/>
              <w:right w:val="single" w:sz="4" w:space="0" w:color="auto"/>
            </w:tcBorders>
            <w:shd w:val="clear" w:color="auto" w:fill="auto"/>
            <w:noWrap/>
            <w:vAlign w:val="center"/>
            <w:hideMark/>
          </w:tcPr>
          <w:p w14:paraId="21D9CAA8"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1.995.011,21 </w:t>
            </w:r>
          </w:p>
        </w:tc>
        <w:tc>
          <w:tcPr>
            <w:tcW w:w="269" w:type="pct"/>
            <w:tcBorders>
              <w:top w:val="nil"/>
              <w:left w:val="nil"/>
              <w:bottom w:val="single" w:sz="4" w:space="0" w:color="auto"/>
              <w:right w:val="single" w:sz="4" w:space="0" w:color="auto"/>
            </w:tcBorders>
            <w:shd w:val="clear" w:color="auto" w:fill="auto"/>
            <w:noWrap/>
            <w:vAlign w:val="center"/>
            <w:hideMark/>
          </w:tcPr>
          <w:p w14:paraId="3B40473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center"/>
            <w:hideMark/>
          </w:tcPr>
          <w:p w14:paraId="2BF81CD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687689B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268F159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5A3D0ED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736F09A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center"/>
            <w:hideMark/>
          </w:tcPr>
          <w:p w14:paraId="05D2F4D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0907783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3C8CBED7" w14:textId="77777777" w:rsidTr="00D60D2E">
        <w:trPr>
          <w:trHeight w:val="107"/>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251F3BF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1.4. - Fortalecer el Hardware para soportar el nuevo sistema integrado</w:t>
            </w:r>
          </w:p>
        </w:tc>
        <w:tc>
          <w:tcPr>
            <w:tcW w:w="316" w:type="pct"/>
            <w:tcBorders>
              <w:top w:val="nil"/>
              <w:left w:val="nil"/>
              <w:bottom w:val="single" w:sz="4" w:space="0" w:color="auto"/>
              <w:right w:val="single" w:sz="4" w:space="0" w:color="auto"/>
            </w:tcBorders>
            <w:shd w:val="clear" w:color="auto" w:fill="auto"/>
            <w:noWrap/>
            <w:vAlign w:val="center"/>
            <w:hideMark/>
          </w:tcPr>
          <w:p w14:paraId="3A4CB25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center"/>
            <w:hideMark/>
          </w:tcPr>
          <w:p w14:paraId="2B61DF17"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center"/>
            <w:hideMark/>
          </w:tcPr>
          <w:p w14:paraId="64B82D06"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17.360,00 </w:t>
            </w:r>
          </w:p>
        </w:tc>
        <w:tc>
          <w:tcPr>
            <w:tcW w:w="243" w:type="pct"/>
            <w:tcBorders>
              <w:top w:val="nil"/>
              <w:left w:val="nil"/>
              <w:bottom w:val="single" w:sz="4" w:space="0" w:color="auto"/>
              <w:right w:val="single" w:sz="4" w:space="0" w:color="auto"/>
            </w:tcBorders>
            <w:shd w:val="clear" w:color="auto" w:fill="auto"/>
            <w:noWrap/>
            <w:vAlign w:val="center"/>
            <w:hideMark/>
          </w:tcPr>
          <w:p w14:paraId="08A43DD0"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center"/>
            <w:hideMark/>
          </w:tcPr>
          <w:p w14:paraId="1FE406FE"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center"/>
            <w:hideMark/>
          </w:tcPr>
          <w:p w14:paraId="09ECFB1E"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636A7441"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05FAD0F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w:t>
            </w:r>
          </w:p>
        </w:tc>
        <w:tc>
          <w:tcPr>
            <w:tcW w:w="270" w:type="pct"/>
            <w:tcBorders>
              <w:top w:val="nil"/>
              <w:left w:val="nil"/>
              <w:bottom w:val="single" w:sz="4" w:space="0" w:color="auto"/>
              <w:right w:val="single" w:sz="4" w:space="0" w:color="auto"/>
            </w:tcBorders>
            <w:shd w:val="clear" w:color="auto" w:fill="auto"/>
            <w:noWrap/>
            <w:vAlign w:val="center"/>
            <w:hideMark/>
          </w:tcPr>
          <w:p w14:paraId="022F1DB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6493159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79AF6F0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5A448E4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131429E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center"/>
            <w:hideMark/>
          </w:tcPr>
          <w:p w14:paraId="0798DF3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0EB7CEF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276BAF71" w14:textId="77777777" w:rsidTr="00D60D2E">
        <w:trPr>
          <w:trHeight w:val="84"/>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7E820C6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1.4. - Fortalecer el Hardware para soportar el nuevo sistema integrado</w:t>
            </w:r>
          </w:p>
        </w:tc>
        <w:tc>
          <w:tcPr>
            <w:tcW w:w="316" w:type="pct"/>
            <w:tcBorders>
              <w:top w:val="nil"/>
              <w:left w:val="nil"/>
              <w:bottom w:val="single" w:sz="4" w:space="0" w:color="auto"/>
              <w:right w:val="single" w:sz="4" w:space="0" w:color="auto"/>
            </w:tcBorders>
            <w:shd w:val="clear" w:color="auto" w:fill="auto"/>
            <w:noWrap/>
            <w:vAlign w:val="center"/>
            <w:hideMark/>
          </w:tcPr>
          <w:p w14:paraId="5E22C48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center"/>
            <w:hideMark/>
          </w:tcPr>
          <w:p w14:paraId="76D950B7"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center"/>
            <w:hideMark/>
          </w:tcPr>
          <w:p w14:paraId="09FA841B"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177.368,80 </w:t>
            </w:r>
          </w:p>
        </w:tc>
        <w:tc>
          <w:tcPr>
            <w:tcW w:w="243" w:type="pct"/>
            <w:tcBorders>
              <w:top w:val="nil"/>
              <w:left w:val="nil"/>
              <w:bottom w:val="single" w:sz="4" w:space="0" w:color="auto"/>
              <w:right w:val="single" w:sz="4" w:space="0" w:color="auto"/>
            </w:tcBorders>
            <w:shd w:val="clear" w:color="auto" w:fill="auto"/>
            <w:noWrap/>
            <w:vAlign w:val="center"/>
            <w:hideMark/>
          </w:tcPr>
          <w:p w14:paraId="6AAAAA97"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center"/>
            <w:hideMark/>
          </w:tcPr>
          <w:p w14:paraId="305F5832"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237.012,16 </w:t>
            </w:r>
          </w:p>
        </w:tc>
        <w:tc>
          <w:tcPr>
            <w:tcW w:w="257" w:type="pct"/>
            <w:tcBorders>
              <w:top w:val="nil"/>
              <w:left w:val="nil"/>
              <w:bottom w:val="single" w:sz="4" w:space="0" w:color="auto"/>
              <w:right w:val="single" w:sz="4" w:space="0" w:color="auto"/>
            </w:tcBorders>
            <w:shd w:val="clear" w:color="auto" w:fill="auto"/>
            <w:noWrap/>
            <w:vAlign w:val="center"/>
            <w:hideMark/>
          </w:tcPr>
          <w:p w14:paraId="54C73ADF"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7A2A6C80"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218.575,92 </w:t>
            </w:r>
          </w:p>
        </w:tc>
        <w:tc>
          <w:tcPr>
            <w:tcW w:w="269" w:type="pct"/>
            <w:tcBorders>
              <w:top w:val="nil"/>
              <w:left w:val="nil"/>
              <w:bottom w:val="single" w:sz="4" w:space="0" w:color="auto"/>
              <w:right w:val="single" w:sz="4" w:space="0" w:color="auto"/>
            </w:tcBorders>
            <w:shd w:val="clear" w:color="auto" w:fill="auto"/>
            <w:noWrap/>
            <w:vAlign w:val="center"/>
            <w:hideMark/>
          </w:tcPr>
          <w:p w14:paraId="4891757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center"/>
            <w:hideMark/>
          </w:tcPr>
          <w:p w14:paraId="0F553A8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53B2A85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07F0783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2F404CF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50D6678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center"/>
            <w:hideMark/>
          </w:tcPr>
          <w:p w14:paraId="4C4F0CF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0FB17F4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439D27F7" w14:textId="77777777" w:rsidTr="00D60D2E">
        <w:trPr>
          <w:trHeight w:val="288"/>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693638D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1.5. - Administración del Proyecto</w:t>
            </w:r>
          </w:p>
        </w:tc>
        <w:tc>
          <w:tcPr>
            <w:tcW w:w="316" w:type="pct"/>
            <w:tcBorders>
              <w:top w:val="nil"/>
              <w:left w:val="nil"/>
              <w:bottom w:val="single" w:sz="4" w:space="0" w:color="auto"/>
              <w:right w:val="single" w:sz="4" w:space="0" w:color="auto"/>
            </w:tcBorders>
            <w:shd w:val="clear" w:color="auto" w:fill="auto"/>
            <w:noWrap/>
            <w:vAlign w:val="center"/>
            <w:hideMark/>
          </w:tcPr>
          <w:p w14:paraId="602EC80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14.774,58 </w:t>
            </w:r>
          </w:p>
        </w:tc>
        <w:tc>
          <w:tcPr>
            <w:tcW w:w="238" w:type="pct"/>
            <w:tcBorders>
              <w:top w:val="nil"/>
              <w:left w:val="nil"/>
              <w:bottom w:val="single" w:sz="4" w:space="0" w:color="auto"/>
              <w:right w:val="single" w:sz="4" w:space="0" w:color="auto"/>
            </w:tcBorders>
            <w:shd w:val="clear" w:color="auto" w:fill="auto"/>
            <w:noWrap/>
            <w:vAlign w:val="center"/>
            <w:hideMark/>
          </w:tcPr>
          <w:p w14:paraId="7DBC720E"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768,61 </w:t>
            </w:r>
          </w:p>
        </w:tc>
        <w:tc>
          <w:tcPr>
            <w:tcW w:w="243" w:type="pct"/>
            <w:tcBorders>
              <w:top w:val="nil"/>
              <w:left w:val="nil"/>
              <w:bottom w:val="single" w:sz="4" w:space="0" w:color="auto"/>
              <w:right w:val="single" w:sz="4" w:space="0" w:color="auto"/>
            </w:tcBorders>
            <w:shd w:val="clear" w:color="auto" w:fill="auto"/>
            <w:noWrap/>
            <w:vAlign w:val="center"/>
            <w:hideMark/>
          </w:tcPr>
          <w:p w14:paraId="41708829"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center"/>
            <w:hideMark/>
          </w:tcPr>
          <w:p w14:paraId="15245727"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center"/>
            <w:hideMark/>
          </w:tcPr>
          <w:p w14:paraId="2E3026DF"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center"/>
            <w:hideMark/>
          </w:tcPr>
          <w:p w14:paraId="084FF93B"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7F18F318"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7B32D56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center"/>
            <w:hideMark/>
          </w:tcPr>
          <w:p w14:paraId="6832C49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7EAC906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3D2D689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121204F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center"/>
            <w:hideMark/>
          </w:tcPr>
          <w:p w14:paraId="5854E2E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center"/>
            <w:hideMark/>
          </w:tcPr>
          <w:p w14:paraId="4B917EB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27B7720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64D2CF0D" w14:textId="77777777" w:rsidTr="00D60D2E">
        <w:trPr>
          <w:trHeight w:val="300"/>
        </w:trPr>
        <w:tc>
          <w:tcPr>
            <w:tcW w:w="1026" w:type="pct"/>
            <w:tcBorders>
              <w:top w:val="nil"/>
              <w:left w:val="single" w:sz="8" w:space="0" w:color="auto"/>
              <w:bottom w:val="nil"/>
              <w:right w:val="single" w:sz="4" w:space="0" w:color="auto"/>
            </w:tcBorders>
            <w:shd w:val="clear" w:color="auto" w:fill="auto"/>
            <w:vAlign w:val="center"/>
            <w:hideMark/>
          </w:tcPr>
          <w:p w14:paraId="7F1310E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1.5. - Administración del Proyecto</w:t>
            </w:r>
          </w:p>
        </w:tc>
        <w:tc>
          <w:tcPr>
            <w:tcW w:w="316" w:type="pct"/>
            <w:tcBorders>
              <w:top w:val="nil"/>
              <w:left w:val="nil"/>
              <w:bottom w:val="single" w:sz="4" w:space="0" w:color="auto"/>
              <w:right w:val="single" w:sz="4" w:space="0" w:color="auto"/>
            </w:tcBorders>
            <w:shd w:val="clear" w:color="auto" w:fill="auto"/>
            <w:noWrap/>
            <w:vAlign w:val="center"/>
            <w:hideMark/>
          </w:tcPr>
          <w:p w14:paraId="197BAC5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center"/>
            <w:hideMark/>
          </w:tcPr>
          <w:p w14:paraId="388FFB72"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64.554,74 </w:t>
            </w:r>
          </w:p>
        </w:tc>
        <w:tc>
          <w:tcPr>
            <w:tcW w:w="243" w:type="pct"/>
            <w:tcBorders>
              <w:top w:val="nil"/>
              <w:left w:val="nil"/>
              <w:bottom w:val="single" w:sz="4" w:space="0" w:color="auto"/>
              <w:right w:val="single" w:sz="4" w:space="0" w:color="auto"/>
            </w:tcBorders>
            <w:shd w:val="clear" w:color="auto" w:fill="auto"/>
            <w:noWrap/>
            <w:vAlign w:val="center"/>
            <w:hideMark/>
          </w:tcPr>
          <w:p w14:paraId="06AE1CD5"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86.366,16 </w:t>
            </w:r>
          </w:p>
        </w:tc>
        <w:tc>
          <w:tcPr>
            <w:tcW w:w="243" w:type="pct"/>
            <w:tcBorders>
              <w:top w:val="nil"/>
              <w:left w:val="nil"/>
              <w:bottom w:val="single" w:sz="4" w:space="0" w:color="auto"/>
              <w:right w:val="single" w:sz="4" w:space="0" w:color="auto"/>
            </w:tcBorders>
            <w:shd w:val="clear" w:color="auto" w:fill="auto"/>
            <w:noWrap/>
            <w:vAlign w:val="center"/>
            <w:hideMark/>
          </w:tcPr>
          <w:p w14:paraId="6094D7BE"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86.366,16 </w:t>
            </w:r>
          </w:p>
        </w:tc>
        <w:tc>
          <w:tcPr>
            <w:tcW w:w="243" w:type="pct"/>
            <w:tcBorders>
              <w:top w:val="nil"/>
              <w:left w:val="nil"/>
              <w:bottom w:val="single" w:sz="4" w:space="0" w:color="auto"/>
              <w:right w:val="single" w:sz="4" w:space="0" w:color="auto"/>
            </w:tcBorders>
            <w:shd w:val="clear" w:color="auto" w:fill="auto"/>
            <w:noWrap/>
            <w:vAlign w:val="center"/>
            <w:hideMark/>
          </w:tcPr>
          <w:p w14:paraId="49256EFC"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100.760,43 </w:t>
            </w:r>
          </w:p>
        </w:tc>
        <w:tc>
          <w:tcPr>
            <w:tcW w:w="257" w:type="pct"/>
            <w:tcBorders>
              <w:top w:val="nil"/>
              <w:left w:val="nil"/>
              <w:bottom w:val="single" w:sz="4" w:space="0" w:color="auto"/>
              <w:right w:val="single" w:sz="4" w:space="0" w:color="auto"/>
            </w:tcBorders>
            <w:shd w:val="clear" w:color="auto" w:fill="auto"/>
            <w:noWrap/>
            <w:vAlign w:val="center"/>
            <w:hideMark/>
          </w:tcPr>
          <w:p w14:paraId="3C1FA705"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68.587,40 </w:t>
            </w:r>
          </w:p>
        </w:tc>
        <w:tc>
          <w:tcPr>
            <w:tcW w:w="279" w:type="pct"/>
            <w:tcBorders>
              <w:top w:val="nil"/>
              <w:left w:val="nil"/>
              <w:bottom w:val="single" w:sz="4" w:space="0" w:color="auto"/>
              <w:right w:val="single" w:sz="4" w:space="0" w:color="auto"/>
            </w:tcBorders>
            <w:shd w:val="clear" w:color="auto" w:fill="auto"/>
            <w:noWrap/>
            <w:vAlign w:val="center"/>
            <w:hideMark/>
          </w:tcPr>
          <w:p w14:paraId="25572CC1" w14:textId="77777777" w:rsidR="00D60D2E" w:rsidRPr="00D60D2E" w:rsidRDefault="00D60D2E" w:rsidP="00D60D2E">
            <w:pPr>
              <w:spacing w:after="0" w:line="240" w:lineRule="auto"/>
              <w:rPr>
                <w:rFonts w:ascii="Calibri" w:eastAsia="Times New Roman" w:hAnsi="Calibri" w:cs="Calibri"/>
                <w:i/>
                <w:iCs/>
                <w:color w:val="000000"/>
                <w:sz w:val="10"/>
                <w:szCs w:val="10"/>
                <w:lang w:eastAsia="es-EC"/>
              </w:rPr>
            </w:pPr>
            <w:r w:rsidRPr="00D60D2E">
              <w:rPr>
                <w:rFonts w:ascii="Calibri" w:eastAsia="Times New Roman" w:hAnsi="Calibri" w:cs="Calibri"/>
                <w:i/>
                <w:iCs/>
                <w:color w:val="000000"/>
                <w:sz w:val="10"/>
                <w:szCs w:val="10"/>
                <w:lang w:eastAsia="es-EC"/>
              </w:rPr>
              <w:t xml:space="preserve">        121.485,91 </w:t>
            </w:r>
          </w:p>
        </w:tc>
        <w:tc>
          <w:tcPr>
            <w:tcW w:w="269" w:type="pct"/>
            <w:tcBorders>
              <w:top w:val="nil"/>
              <w:left w:val="nil"/>
              <w:bottom w:val="nil"/>
              <w:right w:val="single" w:sz="4" w:space="0" w:color="auto"/>
            </w:tcBorders>
            <w:shd w:val="clear" w:color="auto" w:fill="auto"/>
            <w:noWrap/>
            <w:vAlign w:val="center"/>
            <w:hideMark/>
          </w:tcPr>
          <w:p w14:paraId="1C5CBBF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nil"/>
              <w:right w:val="single" w:sz="4" w:space="0" w:color="auto"/>
            </w:tcBorders>
            <w:shd w:val="clear" w:color="auto" w:fill="auto"/>
            <w:noWrap/>
            <w:vAlign w:val="center"/>
            <w:hideMark/>
          </w:tcPr>
          <w:p w14:paraId="2CA389A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center"/>
            <w:hideMark/>
          </w:tcPr>
          <w:p w14:paraId="18E4E23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center"/>
            <w:hideMark/>
          </w:tcPr>
          <w:p w14:paraId="1FC6952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center"/>
            <w:hideMark/>
          </w:tcPr>
          <w:p w14:paraId="2054856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center"/>
            <w:hideMark/>
          </w:tcPr>
          <w:p w14:paraId="658DCB6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nil"/>
              <w:right w:val="single" w:sz="4" w:space="0" w:color="auto"/>
            </w:tcBorders>
            <w:shd w:val="clear" w:color="auto" w:fill="auto"/>
            <w:noWrap/>
            <w:vAlign w:val="center"/>
            <w:hideMark/>
          </w:tcPr>
          <w:p w14:paraId="0BC02CB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nil"/>
              <w:right w:val="single" w:sz="4" w:space="0" w:color="auto"/>
            </w:tcBorders>
            <w:shd w:val="clear" w:color="auto" w:fill="auto"/>
            <w:noWrap/>
            <w:vAlign w:val="bottom"/>
            <w:hideMark/>
          </w:tcPr>
          <w:p w14:paraId="6680589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541813D9" w14:textId="77777777" w:rsidTr="00D60D2E">
        <w:trPr>
          <w:trHeight w:val="300"/>
        </w:trPr>
        <w:tc>
          <w:tcPr>
            <w:tcW w:w="1026" w:type="pct"/>
            <w:tcBorders>
              <w:top w:val="single" w:sz="8" w:space="0" w:color="auto"/>
              <w:left w:val="single" w:sz="8" w:space="0" w:color="auto"/>
              <w:bottom w:val="single" w:sz="8" w:space="0" w:color="auto"/>
              <w:right w:val="single" w:sz="4" w:space="0" w:color="auto"/>
            </w:tcBorders>
            <w:shd w:val="clear" w:color="000000" w:fill="DCE6F1"/>
            <w:noWrap/>
            <w:vAlign w:val="bottom"/>
            <w:hideMark/>
          </w:tcPr>
          <w:p w14:paraId="065E02CA"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COMPONENTE 2. - Fortalecer la defensa legal del Estado</w:t>
            </w:r>
          </w:p>
        </w:tc>
        <w:tc>
          <w:tcPr>
            <w:tcW w:w="316" w:type="pct"/>
            <w:tcBorders>
              <w:top w:val="single" w:sz="8" w:space="0" w:color="auto"/>
              <w:left w:val="nil"/>
              <w:bottom w:val="single" w:sz="8" w:space="0" w:color="auto"/>
              <w:right w:val="single" w:sz="4" w:space="0" w:color="auto"/>
            </w:tcBorders>
            <w:shd w:val="clear" w:color="000000" w:fill="DCE6F1"/>
            <w:noWrap/>
            <w:vAlign w:val="bottom"/>
            <w:hideMark/>
          </w:tcPr>
          <w:p w14:paraId="5F9DA36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38" w:type="pct"/>
            <w:tcBorders>
              <w:top w:val="single" w:sz="8" w:space="0" w:color="auto"/>
              <w:left w:val="nil"/>
              <w:bottom w:val="single" w:sz="8" w:space="0" w:color="auto"/>
              <w:right w:val="single" w:sz="4" w:space="0" w:color="auto"/>
            </w:tcBorders>
            <w:shd w:val="clear" w:color="000000" w:fill="DCE6F1"/>
            <w:noWrap/>
            <w:vAlign w:val="bottom"/>
            <w:hideMark/>
          </w:tcPr>
          <w:p w14:paraId="3D934E3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14.813,70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572D322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90.375,86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7BE9102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47.771,50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371C8A4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2.399,06 </w:t>
            </w:r>
          </w:p>
        </w:tc>
        <w:tc>
          <w:tcPr>
            <w:tcW w:w="257" w:type="pct"/>
            <w:tcBorders>
              <w:top w:val="single" w:sz="8" w:space="0" w:color="auto"/>
              <w:left w:val="nil"/>
              <w:bottom w:val="single" w:sz="8" w:space="0" w:color="auto"/>
              <w:right w:val="single" w:sz="4" w:space="0" w:color="auto"/>
            </w:tcBorders>
            <w:shd w:val="clear" w:color="000000" w:fill="DCE6F1"/>
            <w:noWrap/>
            <w:vAlign w:val="bottom"/>
            <w:hideMark/>
          </w:tcPr>
          <w:p w14:paraId="5CF24406"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9" w:type="pct"/>
            <w:tcBorders>
              <w:top w:val="single" w:sz="8" w:space="0" w:color="auto"/>
              <w:left w:val="nil"/>
              <w:bottom w:val="single" w:sz="8" w:space="0" w:color="auto"/>
              <w:right w:val="single" w:sz="4" w:space="0" w:color="auto"/>
            </w:tcBorders>
            <w:shd w:val="clear" w:color="000000" w:fill="DCE6F1"/>
            <w:noWrap/>
            <w:vAlign w:val="bottom"/>
            <w:hideMark/>
          </w:tcPr>
          <w:p w14:paraId="55287FC8"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69" w:type="pct"/>
            <w:tcBorders>
              <w:top w:val="single" w:sz="8" w:space="0" w:color="auto"/>
              <w:left w:val="nil"/>
              <w:bottom w:val="single" w:sz="8" w:space="0" w:color="auto"/>
              <w:right w:val="single" w:sz="4" w:space="0" w:color="auto"/>
            </w:tcBorders>
            <w:shd w:val="clear" w:color="000000" w:fill="DCE6F1"/>
            <w:noWrap/>
            <w:vAlign w:val="bottom"/>
            <w:hideMark/>
          </w:tcPr>
          <w:p w14:paraId="0DBB013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0" w:type="pct"/>
            <w:tcBorders>
              <w:top w:val="single" w:sz="8" w:space="0" w:color="auto"/>
              <w:left w:val="nil"/>
              <w:bottom w:val="single" w:sz="8" w:space="0" w:color="auto"/>
              <w:right w:val="single" w:sz="4" w:space="0" w:color="auto"/>
            </w:tcBorders>
            <w:shd w:val="clear" w:color="000000" w:fill="DCE6F1"/>
            <w:noWrap/>
            <w:vAlign w:val="bottom"/>
            <w:hideMark/>
          </w:tcPr>
          <w:p w14:paraId="5A2946A2"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7C879787"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78CD1EB6"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702011F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195D451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3" w:type="pct"/>
            <w:tcBorders>
              <w:top w:val="single" w:sz="8" w:space="0" w:color="auto"/>
              <w:left w:val="nil"/>
              <w:bottom w:val="single" w:sz="8" w:space="0" w:color="auto"/>
              <w:right w:val="single" w:sz="4" w:space="0" w:color="auto"/>
            </w:tcBorders>
            <w:shd w:val="clear" w:color="000000" w:fill="DCE6F1"/>
            <w:noWrap/>
            <w:vAlign w:val="bottom"/>
            <w:hideMark/>
          </w:tcPr>
          <w:p w14:paraId="2A2F29B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57" w:type="pct"/>
            <w:tcBorders>
              <w:top w:val="single" w:sz="8" w:space="0" w:color="auto"/>
              <w:left w:val="nil"/>
              <w:bottom w:val="single" w:sz="8" w:space="0" w:color="auto"/>
              <w:right w:val="single" w:sz="4" w:space="0" w:color="auto"/>
            </w:tcBorders>
            <w:shd w:val="clear" w:color="000000" w:fill="DCE6F1"/>
            <w:noWrap/>
            <w:vAlign w:val="bottom"/>
            <w:hideMark/>
          </w:tcPr>
          <w:p w14:paraId="6E5F2B96"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r>
      <w:tr w:rsidR="00D60D2E" w:rsidRPr="00D60D2E" w14:paraId="757C8E12" w14:textId="77777777" w:rsidTr="00D60D2E">
        <w:trPr>
          <w:trHeight w:val="248"/>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3ABE5D8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2.1. - Capacitar a los funcionarios de la PGE en temas jurídicos y gestión de casos orales</w:t>
            </w:r>
          </w:p>
        </w:tc>
        <w:tc>
          <w:tcPr>
            <w:tcW w:w="316" w:type="pct"/>
            <w:tcBorders>
              <w:top w:val="nil"/>
              <w:left w:val="nil"/>
              <w:bottom w:val="single" w:sz="4" w:space="0" w:color="auto"/>
              <w:right w:val="single" w:sz="4" w:space="0" w:color="auto"/>
            </w:tcBorders>
            <w:shd w:val="clear" w:color="auto" w:fill="auto"/>
            <w:noWrap/>
            <w:vAlign w:val="bottom"/>
            <w:hideMark/>
          </w:tcPr>
          <w:p w14:paraId="3415C00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4174C62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14.813,70 </w:t>
            </w:r>
          </w:p>
        </w:tc>
        <w:tc>
          <w:tcPr>
            <w:tcW w:w="243" w:type="pct"/>
            <w:tcBorders>
              <w:top w:val="nil"/>
              <w:left w:val="nil"/>
              <w:bottom w:val="single" w:sz="4" w:space="0" w:color="auto"/>
              <w:right w:val="single" w:sz="4" w:space="0" w:color="auto"/>
            </w:tcBorders>
            <w:shd w:val="clear" w:color="auto" w:fill="auto"/>
            <w:noWrap/>
            <w:vAlign w:val="bottom"/>
            <w:hideMark/>
          </w:tcPr>
          <w:p w14:paraId="37E2987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56.542,12 </w:t>
            </w:r>
          </w:p>
        </w:tc>
        <w:tc>
          <w:tcPr>
            <w:tcW w:w="243" w:type="pct"/>
            <w:tcBorders>
              <w:top w:val="nil"/>
              <w:left w:val="nil"/>
              <w:bottom w:val="single" w:sz="4" w:space="0" w:color="auto"/>
              <w:right w:val="single" w:sz="4" w:space="0" w:color="auto"/>
            </w:tcBorders>
            <w:shd w:val="clear" w:color="auto" w:fill="auto"/>
            <w:noWrap/>
            <w:vAlign w:val="bottom"/>
            <w:hideMark/>
          </w:tcPr>
          <w:p w14:paraId="0AFEEB7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11.995,30 </w:t>
            </w:r>
          </w:p>
        </w:tc>
        <w:tc>
          <w:tcPr>
            <w:tcW w:w="243" w:type="pct"/>
            <w:tcBorders>
              <w:top w:val="nil"/>
              <w:left w:val="nil"/>
              <w:bottom w:val="single" w:sz="4" w:space="0" w:color="auto"/>
              <w:right w:val="single" w:sz="4" w:space="0" w:color="auto"/>
            </w:tcBorders>
            <w:shd w:val="clear" w:color="auto" w:fill="auto"/>
            <w:noWrap/>
            <w:vAlign w:val="bottom"/>
            <w:hideMark/>
          </w:tcPr>
          <w:p w14:paraId="709BE17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2.399,06 </w:t>
            </w:r>
          </w:p>
        </w:tc>
        <w:tc>
          <w:tcPr>
            <w:tcW w:w="257" w:type="pct"/>
            <w:tcBorders>
              <w:top w:val="nil"/>
              <w:left w:val="nil"/>
              <w:bottom w:val="single" w:sz="4" w:space="0" w:color="auto"/>
              <w:right w:val="single" w:sz="4" w:space="0" w:color="auto"/>
            </w:tcBorders>
            <w:shd w:val="clear" w:color="auto" w:fill="auto"/>
            <w:noWrap/>
            <w:vAlign w:val="bottom"/>
            <w:hideMark/>
          </w:tcPr>
          <w:p w14:paraId="2726472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0284C62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bottom"/>
            <w:hideMark/>
          </w:tcPr>
          <w:p w14:paraId="3AB2092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5B16E2B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1805198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16B1BBC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3B7D38F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4DFFA27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630797C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355769A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6001AF73" w14:textId="77777777" w:rsidTr="00D60D2E">
        <w:trPr>
          <w:trHeight w:val="234"/>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46632C0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2.2. - Brindar una capacitación especializada en jurisprudencia internacional</w:t>
            </w:r>
          </w:p>
        </w:tc>
        <w:tc>
          <w:tcPr>
            <w:tcW w:w="316" w:type="pct"/>
            <w:tcBorders>
              <w:top w:val="nil"/>
              <w:left w:val="nil"/>
              <w:bottom w:val="single" w:sz="4" w:space="0" w:color="auto"/>
              <w:right w:val="single" w:sz="4" w:space="0" w:color="auto"/>
            </w:tcBorders>
            <w:shd w:val="clear" w:color="auto" w:fill="auto"/>
            <w:noWrap/>
            <w:vAlign w:val="bottom"/>
            <w:hideMark/>
          </w:tcPr>
          <w:p w14:paraId="659D843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66E683E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346019A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6.409,74 </w:t>
            </w:r>
          </w:p>
        </w:tc>
        <w:tc>
          <w:tcPr>
            <w:tcW w:w="243" w:type="pct"/>
            <w:tcBorders>
              <w:top w:val="nil"/>
              <w:left w:val="nil"/>
              <w:bottom w:val="single" w:sz="4" w:space="0" w:color="auto"/>
              <w:right w:val="single" w:sz="4" w:space="0" w:color="auto"/>
            </w:tcBorders>
            <w:shd w:val="clear" w:color="auto" w:fill="auto"/>
            <w:noWrap/>
            <w:vAlign w:val="bottom"/>
            <w:hideMark/>
          </w:tcPr>
          <w:p w14:paraId="65C4ED7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14.956,04 </w:t>
            </w:r>
          </w:p>
        </w:tc>
        <w:tc>
          <w:tcPr>
            <w:tcW w:w="243" w:type="pct"/>
            <w:tcBorders>
              <w:top w:val="nil"/>
              <w:left w:val="nil"/>
              <w:bottom w:val="single" w:sz="4" w:space="0" w:color="auto"/>
              <w:right w:val="single" w:sz="4" w:space="0" w:color="auto"/>
            </w:tcBorders>
            <w:shd w:val="clear" w:color="auto" w:fill="auto"/>
            <w:noWrap/>
            <w:vAlign w:val="bottom"/>
            <w:hideMark/>
          </w:tcPr>
          <w:p w14:paraId="4ED7BBB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454A07A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4414117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bottom"/>
            <w:hideMark/>
          </w:tcPr>
          <w:p w14:paraId="50EE075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569CBF5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5666516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2E4E284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076CCED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7446EE4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60302F8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339B185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526DCE0F" w14:textId="77777777" w:rsidTr="00D60D2E">
        <w:trPr>
          <w:trHeight w:val="351"/>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3BB4B38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2.3. - Elaborar protocolos y guías para la coordinación interinstitucional para la defensa de casos.</w:t>
            </w:r>
          </w:p>
        </w:tc>
        <w:tc>
          <w:tcPr>
            <w:tcW w:w="316" w:type="pct"/>
            <w:tcBorders>
              <w:top w:val="nil"/>
              <w:left w:val="nil"/>
              <w:bottom w:val="single" w:sz="4" w:space="0" w:color="auto"/>
              <w:right w:val="single" w:sz="4" w:space="0" w:color="auto"/>
            </w:tcBorders>
            <w:shd w:val="clear" w:color="auto" w:fill="auto"/>
            <w:noWrap/>
            <w:vAlign w:val="bottom"/>
            <w:hideMark/>
          </w:tcPr>
          <w:p w14:paraId="1E59343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5F33FAF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682FB44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27.424,00 </w:t>
            </w:r>
          </w:p>
        </w:tc>
        <w:tc>
          <w:tcPr>
            <w:tcW w:w="243" w:type="pct"/>
            <w:tcBorders>
              <w:top w:val="nil"/>
              <w:left w:val="nil"/>
              <w:bottom w:val="single" w:sz="4" w:space="0" w:color="auto"/>
              <w:right w:val="single" w:sz="4" w:space="0" w:color="auto"/>
            </w:tcBorders>
            <w:shd w:val="clear" w:color="auto" w:fill="auto"/>
            <w:noWrap/>
            <w:vAlign w:val="bottom"/>
            <w:hideMark/>
          </w:tcPr>
          <w:p w14:paraId="09245D9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11.950,00 </w:t>
            </w:r>
          </w:p>
        </w:tc>
        <w:tc>
          <w:tcPr>
            <w:tcW w:w="243" w:type="pct"/>
            <w:tcBorders>
              <w:top w:val="nil"/>
              <w:left w:val="nil"/>
              <w:bottom w:val="single" w:sz="4" w:space="0" w:color="auto"/>
              <w:right w:val="single" w:sz="4" w:space="0" w:color="auto"/>
            </w:tcBorders>
            <w:shd w:val="clear" w:color="auto" w:fill="auto"/>
            <w:noWrap/>
            <w:vAlign w:val="bottom"/>
            <w:hideMark/>
          </w:tcPr>
          <w:p w14:paraId="53263F9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7D63763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6BBB632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bottom"/>
            <w:hideMark/>
          </w:tcPr>
          <w:p w14:paraId="0ED72E6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701CD70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1D72E43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5BA8F6F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7C16CF9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1226FC1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7CA1102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49F4E12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28DC455A" w14:textId="77777777" w:rsidTr="00D60D2E">
        <w:trPr>
          <w:trHeight w:val="339"/>
        </w:trPr>
        <w:tc>
          <w:tcPr>
            <w:tcW w:w="1026" w:type="pct"/>
            <w:tcBorders>
              <w:top w:val="nil"/>
              <w:left w:val="single" w:sz="8" w:space="0" w:color="auto"/>
              <w:bottom w:val="nil"/>
              <w:right w:val="single" w:sz="4" w:space="0" w:color="auto"/>
            </w:tcBorders>
            <w:shd w:val="clear" w:color="auto" w:fill="auto"/>
            <w:vAlign w:val="center"/>
            <w:hideMark/>
          </w:tcPr>
          <w:p w14:paraId="5987073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2.4. - Obtener acceso a bases de datos especializadas en temas jurídicos.</w:t>
            </w:r>
          </w:p>
        </w:tc>
        <w:tc>
          <w:tcPr>
            <w:tcW w:w="316" w:type="pct"/>
            <w:tcBorders>
              <w:top w:val="nil"/>
              <w:left w:val="nil"/>
              <w:bottom w:val="single" w:sz="4" w:space="0" w:color="auto"/>
              <w:right w:val="single" w:sz="4" w:space="0" w:color="auto"/>
            </w:tcBorders>
            <w:shd w:val="clear" w:color="auto" w:fill="auto"/>
            <w:noWrap/>
            <w:vAlign w:val="bottom"/>
            <w:hideMark/>
          </w:tcPr>
          <w:p w14:paraId="2C2BB24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2364031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4ED7A8B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4270CED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8.870,16 </w:t>
            </w:r>
          </w:p>
        </w:tc>
        <w:tc>
          <w:tcPr>
            <w:tcW w:w="243" w:type="pct"/>
            <w:tcBorders>
              <w:top w:val="nil"/>
              <w:left w:val="nil"/>
              <w:bottom w:val="single" w:sz="4" w:space="0" w:color="auto"/>
              <w:right w:val="single" w:sz="4" w:space="0" w:color="auto"/>
            </w:tcBorders>
            <w:shd w:val="clear" w:color="auto" w:fill="auto"/>
            <w:noWrap/>
            <w:vAlign w:val="bottom"/>
            <w:hideMark/>
          </w:tcPr>
          <w:p w14:paraId="7CBB33A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34B9F7B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5D621EF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69" w:type="pct"/>
            <w:tcBorders>
              <w:top w:val="nil"/>
              <w:left w:val="nil"/>
              <w:bottom w:val="nil"/>
              <w:right w:val="single" w:sz="4" w:space="0" w:color="auto"/>
            </w:tcBorders>
            <w:shd w:val="clear" w:color="auto" w:fill="auto"/>
            <w:noWrap/>
            <w:vAlign w:val="bottom"/>
            <w:hideMark/>
          </w:tcPr>
          <w:p w14:paraId="184A0B7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nil"/>
              <w:right w:val="single" w:sz="4" w:space="0" w:color="auto"/>
            </w:tcBorders>
            <w:shd w:val="clear" w:color="auto" w:fill="auto"/>
            <w:noWrap/>
            <w:vAlign w:val="bottom"/>
            <w:hideMark/>
          </w:tcPr>
          <w:p w14:paraId="6BA6E77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7D0A972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1A555B4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579AAD5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63F8F5E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nil"/>
              <w:right w:val="single" w:sz="4" w:space="0" w:color="auto"/>
            </w:tcBorders>
            <w:shd w:val="clear" w:color="auto" w:fill="auto"/>
            <w:noWrap/>
            <w:vAlign w:val="bottom"/>
            <w:hideMark/>
          </w:tcPr>
          <w:p w14:paraId="60FEEFE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nil"/>
              <w:right w:val="single" w:sz="4" w:space="0" w:color="auto"/>
            </w:tcBorders>
            <w:shd w:val="clear" w:color="auto" w:fill="auto"/>
            <w:noWrap/>
            <w:vAlign w:val="bottom"/>
            <w:hideMark/>
          </w:tcPr>
          <w:p w14:paraId="2F45EE8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4FA11B53" w14:textId="77777777" w:rsidTr="00D60D2E">
        <w:trPr>
          <w:trHeight w:val="264"/>
        </w:trPr>
        <w:tc>
          <w:tcPr>
            <w:tcW w:w="1026" w:type="pct"/>
            <w:tcBorders>
              <w:top w:val="single" w:sz="8" w:space="0" w:color="auto"/>
              <w:left w:val="single" w:sz="8" w:space="0" w:color="auto"/>
              <w:bottom w:val="single" w:sz="8" w:space="0" w:color="auto"/>
              <w:right w:val="single" w:sz="4" w:space="0" w:color="auto"/>
            </w:tcBorders>
            <w:shd w:val="clear" w:color="000000" w:fill="DCE6F1"/>
            <w:vAlign w:val="bottom"/>
            <w:hideMark/>
          </w:tcPr>
          <w:p w14:paraId="255D49CA"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COMPONENTE 3. - Fortalecer la capacidad de control, consultoría y asesoría legal de la PGE</w:t>
            </w:r>
          </w:p>
        </w:tc>
        <w:tc>
          <w:tcPr>
            <w:tcW w:w="316" w:type="pct"/>
            <w:tcBorders>
              <w:top w:val="single" w:sz="8" w:space="0" w:color="auto"/>
              <w:left w:val="nil"/>
              <w:bottom w:val="single" w:sz="8" w:space="0" w:color="auto"/>
              <w:right w:val="single" w:sz="4" w:space="0" w:color="auto"/>
            </w:tcBorders>
            <w:shd w:val="clear" w:color="000000" w:fill="DCE6F1"/>
            <w:noWrap/>
            <w:vAlign w:val="bottom"/>
            <w:hideMark/>
          </w:tcPr>
          <w:p w14:paraId="06E497CA"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38" w:type="pct"/>
            <w:tcBorders>
              <w:top w:val="single" w:sz="8" w:space="0" w:color="auto"/>
              <w:left w:val="nil"/>
              <w:bottom w:val="single" w:sz="8" w:space="0" w:color="auto"/>
              <w:right w:val="single" w:sz="4" w:space="0" w:color="auto"/>
            </w:tcBorders>
            <w:shd w:val="clear" w:color="000000" w:fill="DCE6F1"/>
            <w:noWrap/>
            <w:vAlign w:val="bottom"/>
            <w:hideMark/>
          </w:tcPr>
          <w:p w14:paraId="0A9FC5DA"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26.992,00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2E75E8C7"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7C6FF70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70.492,80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6E65A8FA"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43.198,56 </w:t>
            </w:r>
          </w:p>
        </w:tc>
        <w:tc>
          <w:tcPr>
            <w:tcW w:w="257" w:type="pct"/>
            <w:tcBorders>
              <w:top w:val="single" w:sz="8" w:space="0" w:color="auto"/>
              <w:left w:val="nil"/>
              <w:bottom w:val="single" w:sz="8" w:space="0" w:color="auto"/>
              <w:right w:val="single" w:sz="4" w:space="0" w:color="auto"/>
            </w:tcBorders>
            <w:shd w:val="clear" w:color="000000" w:fill="DCE6F1"/>
            <w:noWrap/>
            <w:vAlign w:val="bottom"/>
            <w:hideMark/>
          </w:tcPr>
          <w:p w14:paraId="4D10776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9" w:type="pct"/>
            <w:tcBorders>
              <w:top w:val="single" w:sz="8" w:space="0" w:color="auto"/>
              <w:left w:val="nil"/>
              <w:bottom w:val="single" w:sz="8" w:space="0" w:color="auto"/>
              <w:right w:val="single" w:sz="4" w:space="0" w:color="auto"/>
            </w:tcBorders>
            <w:shd w:val="clear" w:color="000000" w:fill="DCE6F1"/>
            <w:noWrap/>
            <w:vAlign w:val="bottom"/>
            <w:hideMark/>
          </w:tcPr>
          <w:p w14:paraId="0BC0A81F"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69" w:type="pct"/>
            <w:tcBorders>
              <w:top w:val="single" w:sz="8" w:space="0" w:color="auto"/>
              <w:left w:val="nil"/>
              <w:bottom w:val="single" w:sz="8" w:space="0" w:color="auto"/>
              <w:right w:val="single" w:sz="4" w:space="0" w:color="auto"/>
            </w:tcBorders>
            <w:shd w:val="clear" w:color="000000" w:fill="DCE6F1"/>
            <w:noWrap/>
            <w:vAlign w:val="bottom"/>
            <w:hideMark/>
          </w:tcPr>
          <w:p w14:paraId="78FE659B"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0" w:type="pct"/>
            <w:tcBorders>
              <w:top w:val="single" w:sz="8" w:space="0" w:color="auto"/>
              <w:left w:val="nil"/>
              <w:bottom w:val="single" w:sz="8" w:space="0" w:color="auto"/>
              <w:right w:val="single" w:sz="4" w:space="0" w:color="auto"/>
            </w:tcBorders>
            <w:shd w:val="clear" w:color="000000" w:fill="DCE6F1"/>
            <w:noWrap/>
            <w:vAlign w:val="bottom"/>
            <w:hideMark/>
          </w:tcPr>
          <w:p w14:paraId="528CDBE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00DDED3E"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5CE30457"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0C2A6CE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529FA89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3" w:type="pct"/>
            <w:tcBorders>
              <w:top w:val="single" w:sz="8" w:space="0" w:color="auto"/>
              <w:left w:val="nil"/>
              <w:bottom w:val="single" w:sz="8" w:space="0" w:color="auto"/>
              <w:right w:val="single" w:sz="4" w:space="0" w:color="auto"/>
            </w:tcBorders>
            <w:shd w:val="clear" w:color="000000" w:fill="DCE6F1"/>
            <w:noWrap/>
            <w:vAlign w:val="bottom"/>
            <w:hideMark/>
          </w:tcPr>
          <w:p w14:paraId="52127853"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57" w:type="pct"/>
            <w:tcBorders>
              <w:top w:val="single" w:sz="8" w:space="0" w:color="auto"/>
              <w:left w:val="nil"/>
              <w:bottom w:val="single" w:sz="8" w:space="0" w:color="auto"/>
              <w:right w:val="single" w:sz="4" w:space="0" w:color="auto"/>
            </w:tcBorders>
            <w:shd w:val="clear" w:color="000000" w:fill="DCE6F1"/>
            <w:noWrap/>
            <w:vAlign w:val="bottom"/>
            <w:hideMark/>
          </w:tcPr>
          <w:p w14:paraId="299EE417"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r>
      <w:tr w:rsidR="00D60D2E" w:rsidRPr="00D60D2E" w14:paraId="0B68ED7C" w14:textId="77777777" w:rsidTr="00D60D2E">
        <w:trPr>
          <w:trHeight w:val="372"/>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72A2183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ACTIVIDAD 3.1. - Generar un sistema informático para brindar asesoría Legal a Organismos del Estado para </w:t>
            </w:r>
            <w:r w:rsidRPr="00D60D2E">
              <w:rPr>
                <w:rFonts w:ascii="Calibri" w:eastAsia="Times New Roman" w:hAnsi="Calibri" w:cs="Calibri"/>
                <w:color w:val="000000"/>
                <w:sz w:val="12"/>
                <w:szCs w:val="12"/>
                <w:lang w:eastAsia="es-EC"/>
              </w:rPr>
              <w:lastRenderedPageBreak/>
              <w:t>no infringir los marcos normativos y para desarrollar una defensa óptima.</w:t>
            </w:r>
          </w:p>
        </w:tc>
        <w:tc>
          <w:tcPr>
            <w:tcW w:w="316" w:type="pct"/>
            <w:tcBorders>
              <w:top w:val="nil"/>
              <w:left w:val="nil"/>
              <w:bottom w:val="single" w:sz="4" w:space="0" w:color="auto"/>
              <w:right w:val="single" w:sz="4" w:space="0" w:color="auto"/>
            </w:tcBorders>
            <w:shd w:val="clear" w:color="auto" w:fill="auto"/>
            <w:noWrap/>
            <w:vAlign w:val="bottom"/>
            <w:hideMark/>
          </w:tcPr>
          <w:p w14:paraId="4F88DB3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lastRenderedPageBreak/>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504F8F6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173D068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1B307E6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8.736,00 </w:t>
            </w:r>
          </w:p>
        </w:tc>
        <w:tc>
          <w:tcPr>
            <w:tcW w:w="243" w:type="pct"/>
            <w:tcBorders>
              <w:top w:val="nil"/>
              <w:left w:val="nil"/>
              <w:bottom w:val="single" w:sz="4" w:space="0" w:color="auto"/>
              <w:right w:val="single" w:sz="4" w:space="0" w:color="auto"/>
            </w:tcBorders>
            <w:shd w:val="clear" w:color="auto" w:fill="auto"/>
            <w:noWrap/>
            <w:vAlign w:val="bottom"/>
            <w:hideMark/>
          </w:tcPr>
          <w:p w14:paraId="2E6D031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271C578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0555DB0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bottom"/>
            <w:hideMark/>
          </w:tcPr>
          <w:p w14:paraId="49BFD23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5EEF5BF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1FA72AF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6B27BCE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6E86400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2F535E9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2C602E5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00DF23B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72D6FCA5" w14:textId="77777777" w:rsidTr="00D60D2E">
        <w:trPr>
          <w:trHeight w:val="192"/>
        </w:trPr>
        <w:tc>
          <w:tcPr>
            <w:tcW w:w="1026" w:type="pct"/>
            <w:tcBorders>
              <w:top w:val="nil"/>
              <w:left w:val="single" w:sz="8" w:space="0" w:color="auto"/>
              <w:bottom w:val="nil"/>
              <w:right w:val="single" w:sz="4" w:space="0" w:color="auto"/>
            </w:tcBorders>
            <w:shd w:val="clear" w:color="auto" w:fill="auto"/>
            <w:vAlign w:val="center"/>
            <w:hideMark/>
          </w:tcPr>
          <w:p w14:paraId="536B59A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3.2. - Capacitar a organismos del Estado o Municipios para la formulación adecuada de sus consultas.</w:t>
            </w:r>
          </w:p>
        </w:tc>
        <w:tc>
          <w:tcPr>
            <w:tcW w:w="316" w:type="pct"/>
            <w:tcBorders>
              <w:top w:val="nil"/>
              <w:left w:val="nil"/>
              <w:bottom w:val="single" w:sz="4" w:space="0" w:color="auto"/>
              <w:right w:val="single" w:sz="4" w:space="0" w:color="auto"/>
            </w:tcBorders>
            <w:shd w:val="clear" w:color="auto" w:fill="auto"/>
            <w:noWrap/>
            <w:vAlign w:val="bottom"/>
            <w:hideMark/>
          </w:tcPr>
          <w:p w14:paraId="585B5C6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43F5DAC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26.992,00 </w:t>
            </w:r>
          </w:p>
        </w:tc>
        <w:tc>
          <w:tcPr>
            <w:tcW w:w="243" w:type="pct"/>
            <w:tcBorders>
              <w:top w:val="nil"/>
              <w:left w:val="nil"/>
              <w:bottom w:val="single" w:sz="4" w:space="0" w:color="auto"/>
              <w:right w:val="single" w:sz="4" w:space="0" w:color="auto"/>
            </w:tcBorders>
            <w:shd w:val="clear" w:color="auto" w:fill="auto"/>
            <w:noWrap/>
            <w:vAlign w:val="bottom"/>
            <w:hideMark/>
          </w:tcPr>
          <w:p w14:paraId="49D5DC1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2C68CD6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61.756,80 </w:t>
            </w:r>
          </w:p>
        </w:tc>
        <w:tc>
          <w:tcPr>
            <w:tcW w:w="243" w:type="pct"/>
            <w:tcBorders>
              <w:top w:val="nil"/>
              <w:left w:val="nil"/>
              <w:bottom w:val="single" w:sz="4" w:space="0" w:color="auto"/>
              <w:right w:val="single" w:sz="4" w:space="0" w:color="auto"/>
            </w:tcBorders>
            <w:shd w:val="clear" w:color="auto" w:fill="auto"/>
            <w:noWrap/>
            <w:vAlign w:val="bottom"/>
            <w:hideMark/>
          </w:tcPr>
          <w:p w14:paraId="4B9D802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43.198,56 </w:t>
            </w:r>
          </w:p>
        </w:tc>
        <w:tc>
          <w:tcPr>
            <w:tcW w:w="257" w:type="pct"/>
            <w:tcBorders>
              <w:top w:val="nil"/>
              <w:left w:val="nil"/>
              <w:bottom w:val="single" w:sz="4" w:space="0" w:color="auto"/>
              <w:right w:val="single" w:sz="4" w:space="0" w:color="auto"/>
            </w:tcBorders>
            <w:shd w:val="clear" w:color="auto" w:fill="auto"/>
            <w:noWrap/>
            <w:vAlign w:val="bottom"/>
            <w:hideMark/>
          </w:tcPr>
          <w:p w14:paraId="744927E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358DF3A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69" w:type="pct"/>
            <w:tcBorders>
              <w:top w:val="nil"/>
              <w:left w:val="nil"/>
              <w:bottom w:val="nil"/>
              <w:right w:val="single" w:sz="4" w:space="0" w:color="auto"/>
            </w:tcBorders>
            <w:shd w:val="clear" w:color="auto" w:fill="auto"/>
            <w:noWrap/>
            <w:vAlign w:val="bottom"/>
            <w:hideMark/>
          </w:tcPr>
          <w:p w14:paraId="21C878C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nil"/>
              <w:right w:val="single" w:sz="4" w:space="0" w:color="auto"/>
            </w:tcBorders>
            <w:shd w:val="clear" w:color="auto" w:fill="auto"/>
            <w:noWrap/>
            <w:vAlign w:val="bottom"/>
            <w:hideMark/>
          </w:tcPr>
          <w:p w14:paraId="22CE257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5980F2E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42F3F84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2488FD5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366B868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nil"/>
              <w:right w:val="single" w:sz="4" w:space="0" w:color="auto"/>
            </w:tcBorders>
            <w:shd w:val="clear" w:color="auto" w:fill="auto"/>
            <w:noWrap/>
            <w:vAlign w:val="bottom"/>
            <w:hideMark/>
          </w:tcPr>
          <w:p w14:paraId="56151BB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nil"/>
              <w:right w:val="single" w:sz="4" w:space="0" w:color="auto"/>
            </w:tcBorders>
            <w:shd w:val="clear" w:color="auto" w:fill="auto"/>
            <w:noWrap/>
            <w:vAlign w:val="bottom"/>
            <w:hideMark/>
          </w:tcPr>
          <w:p w14:paraId="02D6506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5C599C4F" w14:textId="77777777" w:rsidTr="00D60D2E">
        <w:trPr>
          <w:trHeight w:val="53"/>
        </w:trPr>
        <w:tc>
          <w:tcPr>
            <w:tcW w:w="1026" w:type="pct"/>
            <w:tcBorders>
              <w:top w:val="single" w:sz="8" w:space="0" w:color="auto"/>
              <w:left w:val="single" w:sz="8" w:space="0" w:color="auto"/>
              <w:bottom w:val="single" w:sz="8" w:space="0" w:color="auto"/>
              <w:right w:val="single" w:sz="4" w:space="0" w:color="auto"/>
            </w:tcBorders>
            <w:shd w:val="clear" w:color="000000" w:fill="DCE6F1"/>
            <w:vAlign w:val="bottom"/>
            <w:hideMark/>
          </w:tcPr>
          <w:p w14:paraId="3CA72A8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COMPONENTE 4. - Fortalecer los Centros de Mediación de la PGE</w:t>
            </w:r>
          </w:p>
        </w:tc>
        <w:tc>
          <w:tcPr>
            <w:tcW w:w="316" w:type="pct"/>
            <w:tcBorders>
              <w:top w:val="single" w:sz="8" w:space="0" w:color="auto"/>
              <w:left w:val="nil"/>
              <w:bottom w:val="single" w:sz="8" w:space="0" w:color="auto"/>
              <w:right w:val="single" w:sz="4" w:space="0" w:color="auto"/>
            </w:tcBorders>
            <w:shd w:val="clear" w:color="000000" w:fill="DCE6F1"/>
            <w:noWrap/>
            <w:vAlign w:val="bottom"/>
            <w:hideMark/>
          </w:tcPr>
          <w:p w14:paraId="741631E9"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38" w:type="pct"/>
            <w:tcBorders>
              <w:top w:val="single" w:sz="8" w:space="0" w:color="auto"/>
              <w:left w:val="nil"/>
              <w:bottom w:val="single" w:sz="8" w:space="0" w:color="auto"/>
              <w:right w:val="single" w:sz="4" w:space="0" w:color="auto"/>
            </w:tcBorders>
            <w:shd w:val="clear" w:color="000000" w:fill="DCE6F1"/>
            <w:noWrap/>
            <w:vAlign w:val="bottom"/>
            <w:hideMark/>
          </w:tcPr>
          <w:p w14:paraId="1285A77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2C754DD4"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2B378533"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13.294,40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0BFDBE7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11.830,55 </w:t>
            </w:r>
          </w:p>
        </w:tc>
        <w:tc>
          <w:tcPr>
            <w:tcW w:w="257" w:type="pct"/>
            <w:tcBorders>
              <w:top w:val="single" w:sz="8" w:space="0" w:color="auto"/>
              <w:left w:val="nil"/>
              <w:bottom w:val="single" w:sz="8" w:space="0" w:color="auto"/>
              <w:right w:val="single" w:sz="4" w:space="0" w:color="auto"/>
            </w:tcBorders>
            <w:shd w:val="clear" w:color="000000" w:fill="DCE6F1"/>
            <w:noWrap/>
            <w:vAlign w:val="bottom"/>
            <w:hideMark/>
          </w:tcPr>
          <w:p w14:paraId="207F780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9" w:type="pct"/>
            <w:tcBorders>
              <w:top w:val="single" w:sz="8" w:space="0" w:color="auto"/>
              <w:left w:val="nil"/>
              <w:bottom w:val="single" w:sz="8" w:space="0" w:color="auto"/>
              <w:right w:val="single" w:sz="4" w:space="0" w:color="auto"/>
            </w:tcBorders>
            <w:shd w:val="clear" w:color="000000" w:fill="DCE6F1"/>
            <w:noWrap/>
            <w:vAlign w:val="bottom"/>
            <w:hideMark/>
          </w:tcPr>
          <w:p w14:paraId="552D4863"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230.543,97 </w:t>
            </w:r>
          </w:p>
        </w:tc>
        <w:tc>
          <w:tcPr>
            <w:tcW w:w="269" w:type="pct"/>
            <w:tcBorders>
              <w:top w:val="single" w:sz="8" w:space="0" w:color="auto"/>
              <w:left w:val="nil"/>
              <w:bottom w:val="single" w:sz="8" w:space="0" w:color="auto"/>
              <w:right w:val="single" w:sz="4" w:space="0" w:color="auto"/>
            </w:tcBorders>
            <w:shd w:val="clear" w:color="000000" w:fill="DCE6F1"/>
            <w:noWrap/>
            <w:vAlign w:val="bottom"/>
            <w:hideMark/>
          </w:tcPr>
          <w:p w14:paraId="453EEA9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0" w:type="pct"/>
            <w:tcBorders>
              <w:top w:val="single" w:sz="8" w:space="0" w:color="auto"/>
              <w:left w:val="nil"/>
              <w:bottom w:val="single" w:sz="8" w:space="0" w:color="auto"/>
              <w:right w:val="single" w:sz="4" w:space="0" w:color="auto"/>
            </w:tcBorders>
            <w:shd w:val="clear" w:color="000000" w:fill="DCE6F1"/>
            <w:noWrap/>
            <w:vAlign w:val="bottom"/>
            <w:hideMark/>
          </w:tcPr>
          <w:p w14:paraId="19BB4B0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413AE62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0B9D0585"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21E9897F"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174CA03C"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3" w:type="pct"/>
            <w:tcBorders>
              <w:top w:val="single" w:sz="8" w:space="0" w:color="auto"/>
              <w:left w:val="nil"/>
              <w:bottom w:val="single" w:sz="8" w:space="0" w:color="auto"/>
              <w:right w:val="single" w:sz="4" w:space="0" w:color="auto"/>
            </w:tcBorders>
            <w:shd w:val="clear" w:color="000000" w:fill="DCE6F1"/>
            <w:noWrap/>
            <w:vAlign w:val="bottom"/>
            <w:hideMark/>
          </w:tcPr>
          <w:p w14:paraId="71ABE221"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57" w:type="pct"/>
            <w:tcBorders>
              <w:top w:val="single" w:sz="8" w:space="0" w:color="auto"/>
              <w:left w:val="nil"/>
              <w:bottom w:val="single" w:sz="8" w:space="0" w:color="auto"/>
              <w:right w:val="single" w:sz="4" w:space="0" w:color="auto"/>
            </w:tcBorders>
            <w:shd w:val="clear" w:color="000000" w:fill="DCE6F1"/>
            <w:noWrap/>
            <w:vAlign w:val="bottom"/>
            <w:hideMark/>
          </w:tcPr>
          <w:p w14:paraId="6A0EFF0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r>
      <w:tr w:rsidR="00D60D2E" w:rsidRPr="00D60D2E" w14:paraId="319D7BA6" w14:textId="77777777" w:rsidTr="00D60D2E">
        <w:trPr>
          <w:trHeight w:val="136"/>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74CE5F7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4.1. - Readecuar los espacios de los centros de mediación.</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14:paraId="2C3106C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bottom"/>
            <w:hideMark/>
          </w:tcPr>
          <w:p w14:paraId="6FDD390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14:paraId="14E1F21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14:paraId="3B109AA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10.278,40 </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14:paraId="07097A5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11.830,55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11A64F1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3435F5A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125.682,07 </w:t>
            </w:r>
          </w:p>
        </w:tc>
        <w:tc>
          <w:tcPr>
            <w:tcW w:w="269" w:type="pct"/>
            <w:tcBorders>
              <w:top w:val="nil"/>
              <w:left w:val="nil"/>
              <w:bottom w:val="single" w:sz="4" w:space="0" w:color="auto"/>
              <w:right w:val="single" w:sz="4" w:space="0" w:color="auto"/>
            </w:tcBorders>
            <w:shd w:val="clear" w:color="auto" w:fill="auto"/>
            <w:noWrap/>
            <w:vAlign w:val="bottom"/>
            <w:hideMark/>
          </w:tcPr>
          <w:p w14:paraId="151D297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1ACD478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503DB27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69F4C12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6DA2859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0EEB502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746E32B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429D8FA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652E0671" w14:textId="77777777" w:rsidTr="00D60D2E">
        <w:trPr>
          <w:trHeight w:val="250"/>
        </w:trPr>
        <w:tc>
          <w:tcPr>
            <w:tcW w:w="1026" w:type="pct"/>
            <w:tcBorders>
              <w:top w:val="nil"/>
              <w:left w:val="single" w:sz="8" w:space="0" w:color="auto"/>
              <w:bottom w:val="nil"/>
              <w:right w:val="single" w:sz="4" w:space="0" w:color="auto"/>
            </w:tcBorders>
            <w:shd w:val="clear" w:color="auto" w:fill="auto"/>
            <w:vAlign w:val="center"/>
            <w:hideMark/>
          </w:tcPr>
          <w:p w14:paraId="019D51B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4.1. - Readecuar los espacios de los centros de mediación.</w:t>
            </w:r>
          </w:p>
        </w:tc>
        <w:tc>
          <w:tcPr>
            <w:tcW w:w="316" w:type="pct"/>
            <w:tcBorders>
              <w:top w:val="nil"/>
              <w:left w:val="nil"/>
              <w:bottom w:val="single" w:sz="4" w:space="0" w:color="auto"/>
              <w:right w:val="single" w:sz="4" w:space="0" w:color="auto"/>
            </w:tcBorders>
            <w:shd w:val="clear" w:color="auto" w:fill="auto"/>
            <w:noWrap/>
            <w:vAlign w:val="bottom"/>
            <w:hideMark/>
          </w:tcPr>
          <w:p w14:paraId="0B53CA9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288FF42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35962D5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5D56F28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3.016,00 </w:t>
            </w:r>
          </w:p>
        </w:tc>
        <w:tc>
          <w:tcPr>
            <w:tcW w:w="243" w:type="pct"/>
            <w:tcBorders>
              <w:top w:val="nil"/>
              <w:left w:val="nil"/>
              <w:bottom w:val="single" w:sz="4" w:space="0" w:color="auto"/>
              <w:right w:val="single" w:sz="4" w:space="0" w:color="auto"/>
            </w:tcBorders>
            <w:shd w:val="clear" w:color="auto" w:fill="auto"/>
            <w:noWrap/>
            <w:vAlign w:val="bottom"/>
            <w:hideMark/>
          </w:tcPr>
          <w:p w14:paraId="6BA428B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13BB13B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0AEFB9C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104.861,90 </w:t>
            </w:r>
          </w:p>
        </w:tc>
        <w:tc>
          <w:tcPr>
            <w:tcW w:w="269" w:type="pct"/>
            <w:tcBorders>
              <w:top w:val="nil"/>
              <w:left w:val="nil"/>
              <w:bottom w:val="nil"/>
              <w:right w:val="single" w:sz="4" w:space="0" w:color="auto"/>
            </w:tcBorders>
            <w:shd w:val="clear" w:color="auto" w:fill="auto"/>
            <w:noWrap/>
            <w:vAlign w:val="bottom"/>
            <w:hideMark/>
          </w:tcPr>
          <w:p w14:paraId="29B6FBE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nil"/>
              <w:right w:val="single" w:sz="4" w:space="0" w:color="auto"/>
            </w:tcBorders>
            <w:shd w:val="clear" w:color="auto" w:fill="auto"/>
            <w:noWrap/>
            <w:vAlign w:val="bottom"/>
            <w:hideMark/>
          </w:tcPr>
          <w:p w14:paraId="6BE9D8D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0531158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471409C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66C8DFE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nil"/>
              <w:right w:val="single" w:sz="4" w:space="0" w:color="auto"/>
            </w:tcBorders>
            <w:shd w:val="clear" w:color="auto" w:fill="auto"/>
            <w:noWrap/>
            <w:vAlign w:val="bottom"/>
            <w:hideMark/>
          </w:tcPr>
          <w:p w14:paraId="43437AD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nil"/>
              <w:right w:val="single" w:sz="4" w:space="0" w:color="auto"/>
            </w:tcBorders>
            <w:shd w:val="clear" w:color="auto" w:fill="auto"/>
            <w:noWrap/>
            <w:vAlign w:val="bottom"/>
            <w:hideMark/>
          </w:tcPr>
          <w:p w14:paraId="0ECD3C1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nil"/>
              <w:right w:val="single" w:sz="4" w:space="0" w:color="auto"/>
            </w:tcBorders>
            <w:shd w:val="clear" w:color="auto" w:fill="auto"/>
            <w:noWrap/>
            <w:vAlign w:val="bottom"/>
            <w:hideMark/>
          </w:tcPr>
          <w:p w14:paraId="7287F77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33726A6C" w14:textId="77777777" w:rsidTr="00D60D2E">
        <w:trPr>
          <w:trHeight w:val="230"/>
        </w:trPr>
        <w:tc>
          <w:tcPr>
            <w:tcW w:w="1026" w:type="pct"/>
            <w:tcBorders>
              <w:top w:val="single" w:sz="8" w:space="0" w:color="auto"/>
              <w:left w:val="single" w:sz="8" w:space="0" w:color="auto"/>
              <w:bottom w:val="single" w:sz="8" w:space="0" w:color="auto"/>
              <w:right w:val="single" w:sz="4" w:space="0" w:color="auto"/>
            </w:tcBorders>
            <w:shd w:val="clear" w:color="000000" w:fill="DCE6F1"/>
            <w:vAlign w:val="bottom"/>
            <w:hideMark/>
          </w:tcPr>
          <w:p w14:paraId="31BA1875"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COMPONENTE 5. - Diseñar e implementa la estrategia de comunicación de la PGE</w:t>
            </w:r>
          </w:p>
        </w:tc>
        <w:tc>
          <w:tcPr>
            <w:tcW w:w="316" w:type="pct"/>
            <w:tcBorders>
              <w:top w:val="single" w:sz="8" w:space="0" w:color="auto"/>
              <w:left w:val="nil"/>
              <w:bottom w:val="single" w:sz="8" w:space="0" w:color="auto"/>
              <w:right w:val="single" w:sz="4" w:space="0" w:color="auto"/>
            </w:tcBorders>
            <w:shd w:val="clear" w:color="000000" w:fill="DCE6F1"/>
            <w:noWrap/>
            <w:vAlign w:val="bottom"/>
            <w:hideMark/>
          </w:tcPr>
          <w:p w14:paraId="4B49209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38" w:type="pct"/>
            <w:tcBorders>
              <w:top w:val="single" w:sz="8" w:space="0" w:color="auto"/>
              <w:left w:val="nil"/>
              <w:bottom w:val="single" w:sz="8" w:space="0" w:color="auto"/>
              <w:right w:val="single" w:sz="4" w:space="0" w:color="auto"/>
            </w:tcBorders>
            <w:shd w:val="clear" w:color="000000" w:fill="DCE6F1"/>
            <w:noWrap/>
            <w:vAlign w:val="bottom"/>
            <w:hideMark/>
          </w:tcPr>
          <w:p w14:paraId="4F7308E8"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49.279,62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0B2988E5"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20.000,00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53758026"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73.647,85 </w:t>
            </w:r>
          </w:p>
        </w:tc>
        <w:tc>
          <w:tcPr>
            <w:tcW w:w="243" w:type="pct"/>
            <w:tcBorders>
              <w:top w:val="single" w:sz="8" w:space="0" w:color="auto"/>
              <w:left w:val="nil"/>
              <w:bottom w:val="single" w:sz="8" w:space="0" w:color="auto"/>
              <w:right w:val="single" w:sz="4" w:space="0" w:color="auto"/>
            </w:tcBorders>
            <w:shd w:val="clear" w:color="000000" w:fill="DCE6F1"/>
            <w:noWrap/>
            <w:vAlign w:val="bottom"/>
            <w:hideMark/>
          </w:tcPr>
          <w:p w14:paraId="5DC20C2B"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20.641,60 </w:t>
            </w:r>
          </w:p>
        </w:tc>
        <w:tc>
          <w:tcPr>
            <w:tcW w:w="257" w:type="pct"/>
            <w:tcBorders>
              <w:top w:val="single" w:sz="8" w:space="0" w:color="auto"/>
              <w:left w:val="nil"/>
              <w:bottom w:val="single" w:sz="8" w:space="0" w:color="auto"/>
              <w:right w:val="single" w:sz="4" w:space="0" w:color="auto"/>
            </w:tcBorders>
            <w:shd w:val="clear" w:color="000000" w:fill="DCE6F1"/>
            <w:noWrap/>
            <w:vAlign w:val="bottom"/>
            <w:hideMark/>
          </w:tcPr>
          <w:p w14:paraId="7859A9B4"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9" w:type="pct"/>
            <w:tcBorders>
              <w:top w:val="single" w:sz="8" w:space="0" w:color="auto"/>
              <w:left w:val="nil"/>
              <w:bottom w:val="single" w:sz="8" w:space="0" w:color="auto"/>
              <w:right w:val="single" w:sz="4" w:space="0" w:color="auto"/>
            </w:tcBorders>
            <w:shd w:val="clear" w:color="000000" w:fill="DCE6F1"/>
            <w:noWrap/>
            <w:vAlign w:val="bottom"/>
            <w:hideMark/>
          </w:tcPr>
          <w:p w14:paraId="22D067A9"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20.000,00 </w:t>
            </w:r>
          </w:p>
        </w:tc>
        <w:tc>
          <w:tcPr>
            <w:tcW w:w="269" w:type="pct"/>
            <w:tcBorders>
              <w:top w:val="single" w:sz="8" w:space="0" w:color="auto"/>
              <w:left w:val="nil"/>
              <w:bottom w:val="single" w:sz="8" w:space="0" w:color="auto"/>
              <w:right w:val="single" w:sz="4" w:space="0" w:color="auto"/>
            </w:tcBorders>
            <w:shd w:val="clear" w:color="000000" w:fill="DCE6F1"/>
            <w:noWrap/>
            <w:vAlign w:val="bottom"/>
            <w:hideMark/>
          </w:tcPr>
          <w:p w14:paraId="30258F3E"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0" w:type="pct"/>
            <w:tcBorders>
              <w:top w:val="single" w:sz="8" w:space="0" w:color="auto"/>
              <w:left w:val="nil"/>
              <w:bottom w:val="single" w:sz="8" w:space="0" w:color="auto"/>
              <w:right w:val="single" w:sz="4" w:space="0" w:color="auto"/>
            </w:tcBorders>
            <w:shd w:val="clear" w:color="000000" w:fill="DCE6F1"/>
            <w:noWrap/>
            <w:vAlign w:val="bottom"/>
            <w:hideMark/>
          </w:tcPr>
          <w:p w14:paraId="2BF516F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747FBD1A"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63867C70"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3960C767"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1" w:type="pct"/>
            <w:tcBorders>
              <w:top w:val="single" w:sz="8" w:space="0" w:color="auto"/>
              <w:left w:val="nil"/>
              <w:bottom w:val="single" w:sz="8" w:space="0" w:color="auto"/>
              <w:right w:val="single" w:sz="4" w:space="0" w:color="auto"/>
            </w:tcBorders>
            <w:shd w:val="clear" w:color="000000" w:fill="DCE6F1"/>
            <w:noWrap/>
            <w:vAlign w:val="bottom"/>
            <w:hideMark/>
          </w:tcPr>
          <w:p w14:paraId="50CE97C7"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73" w:type="pct"/>
            <w:tcBorders>
              <w:top w:val="single" w:sz="8" w:space="0" w:color="auto"/>
              <w:left w:val="nil"/>
              <w:bottom w:val="single" w:sz="8" w:space="0" w:color="auto"/>
              <w:right w:val="single" w:sz="4" w:space="0" w:color="auto"/>
            </w:tcBorders>
            <w:shd w:val="clear" w:color="000000" w:fill="DCE6F1"/>
            <w:noWrap/>
            <w:vAlign w:val="bottom"/>
            <w:hideMark/>
          </w:tcPr>
          <w:p w14:paraId="20A19393"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c>
          <w:tcPr>
            <w:tcW w:w="257" w:type="pct"/>
            <w:tcBorders>
              <w:top w:val="single" w:sz="8" w:space="0" w:color="auto"/>
              <w:left w:val="nil"/>
              <w:bottom w:val="single" w:sz="8" w:space="0" w:color="auto"/>
              <w:right w:val="single" w:sz="4" w:space="0" w:color="auto"/>
            </w:tcBorders>
            <w:shd w:val="clear" w:color="000000" w:fill="DCE6F1"/>
            <w:noWrap/>
            <w:vAlign w:val="bottom"/>
            <w:hideMark/>
          </w:tcPr>
          <w:p w14:paraId="71A71F8D" w14:textId="77777777" w:rsidR="00D60D2E" w:rsidRPr="00D60D2E" w:rsidRDefault="00D60D2E" w:rsidP="00D60D2E">
            <w:pPr>
              <w:spacing w:after="0" w:line="240" w:lineRule="auto"/>
              <w:rPr>
                <w:rFonts w:ascii="Calibri" w:eastAsia="Times New Roman" w:hAnsi="Calibri" w:cs="Calibri"/>
                <w:b/>
                <w:bCs/>
                <w:i/>
                <w:iCs/>
                <w:color w:val="000000"/>
                <w:sz w:val="12"/>
                <w:szCs w:val="12"/>
                <w:lang w:eastAsia="es-EC"/>
              </w:rPr>
            </w:pPr>
            <w:r w:rsidRPr="00D60D2E">
              <w:rPr>
                <w:rFonts w:ascii="Calibri" w:eastAsia="Times New Roman" w:hAnsi="Calibri" w:cs="Calibri"/>
                <w:b/>
                <w:bCs/>
                <w:i/>
                <w:iCs/>
                <w:color w:val="000000"/>
                <w:sz w:val="12"/>
                <w:szCs w:val="12"/>
                <w:lang w:eastAsia="es-EC"/>
              </w:rPr>
              <w:t xml:space="preserve">                       -   </w:t>
            </w:r>
          </w:p>
        </w:tc>
      </w:tr>
      <w:tr w:rsidR="00D60D2E" w:rsidRPr="00D60D2E" w14:paraId="6A5546AE" w14:textId="77777777" w:rsidTr="00D60D2E">
        <w:trPr>
          <w:trHeight w:val="288"/>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4769710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5.1. - Diseñar una estrategia de comunicación</w:t>
            </w:r>
          </w:p>
        </w:tc>
        <w:tc>
          <w:tcPr>
            <w:tcW w:w="316" w:type="pct"/>
            <w:tcBorders>
              <w:top w:val="nil"/>
              <w:left w:val="nil"/>
              <w:bottom w:val="single" w:sz="4" w:space="0" w:color="auto"/>
              <w:right w:val="single" w:sz="4" w:space="0" w:color="auto"/>
            </w:tcBorders>
            <w:shd w:val="clear" w:color="auto" w:fill="auto"/>
            <w:noWrap/>
            <w:vAlign w:val="bottom"/>
            <w:hideMark/>
          </w:tcPr>
          <w:p w14:paraId="3320D69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0DD4D3D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38CFC46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20.000,00 </w:t>
            </w:r>
          </w:p>
        </w:tc>
        <w:tc>
          <w:tcPr>
            <w:tcW w:w="243" w:type="pct"/>
            <w:tcBorders>
              <w:top w:val="nil"/>
              <w:left w:val="nil"/>
              <w:bottom w:val="single" w:sz="4" w:space="0" w:color="auto"/>
              <w:right w:val="single" w:sz="4" w:space="0" w:color="auto"/>
            </w:tcBorders>
            <w:shd w:val="clear" w:color="auto" w:fill="auto"/>
            <w:noWrap/>
            <w:vAlign w:val="bottom"/>
            <w:hideMark/>
          </w:tcPr>
          <w:p w14:paraId="15AEB9C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6B1AB62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7ACAD75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52B461C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bottom"/>
            <w:hideMark/>
          </w:tcPr>
          <w:p w14:paraId="6D18C1A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69CAD94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25FE1A9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204EC34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08A5A1D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553F111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6F7FAAF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0FCDEEF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5A634E41" w14:textId="77777777" w:rsidTr="00D60D2E">
        <w:trPr>
          <w:trHeight w:val="178"/>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64856FF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5.2. - Capacitar en herramientas de comunicación</w:t>
            </w:r>
          </w:p>
        </w:tc>
        <w:tc>
          <w:tcPr>
            <w:tcW w:w="316" w:type="pct"/>
            <w:tcBorders>
              <w:top w:val="nil"/>
              <w:left w:val="nil"/>
              <w:bottom w:val="single" w:sz="4" w:space="0" w:color="auto"/>
              <w:right w:val="single" w:sz="4" w:space="0" w:color="auto"/>
            </w:tcBorders>
            <w:shd w:val="clear" w:color="auto" w:fill="auto"/>
            <w:noWrap/>
            <w:vAlign w:val="bottom"/>
            <w:hideMark/>
          </w:tcPr>
          <w:p w14:paraId="6E24CF4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15320A9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3BCC936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3240974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72F7B6E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2431E79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298F1E0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10.000,00 </w:t>
            </w:r>
          </w:p>
        </w:tc>
        <w:tc>
          <w:tcPr>
            <w:tcW w:w="269" w:type="pct"/>
            <w:tcBorders>
              <w:top w:val="nil"/>
              <w:left w:val="nil"/>
              <w:bottom w:val="single" w:sz="4" w:space="0" w:color="auto"/>
              <w:right w:val="single" w:sz="4" w:space="0" w:color="auto"/>
            </w:tcBorders>
            <w:shd w:val="clear" w:color="auto" w:fill="auto"/>
            <w:noWrap/>
            <w:vAlign w:val="bottom"/>
            <w:hideMark/>
          </w:tcPr>
          <w:p w14:paraId="727F713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1E265AA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4070FAF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4958629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5ECC2A8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598862C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6042F93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045F62F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4816D46A" w14:textId="77777777" w:rsidTr="00D60D2E">
        <w:trPr>
          <w:trHeight w:val="288"/>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2EBDEEE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5.3. - Desarrollar materiales de difusión</w:t>
            </w:r>
          </w:p>
        </w:tc>
        <w:tc>
          <w:tcPr>
            <w:tcW w:w="316" w:type="pct"/>
            <w:tcBorders>
              <w:top w:val="nil"/>
              <w:left w:val="nil"/>
              <w:bottom w:val="single" w:sz="4" w:space="0" w:color="auto"/>
              <w:right w:val="single" w:sz="4" w:space="0" w:color="auto"/>
            </w:tcBorders>
            <w:shd w:val="clear" w:color="auto" w:fill="auto"/>
            <w:noWrap/>
            <w:vAlign w:val="bottom"/>
            <w:hideMark/>
          </w:tcPr>
          <w:p w14:paraId="4781EA5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5E087CD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06AB72B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7A5CD26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72.919,07 </w:t>
            </w:r>
          </w:p>
        </w:tc>
        <w:tc>
          <w:tcPr>
            <w:tcW w:w="243" w:type="pct"/>
            <w:tcBorders>
              <w:top w:val="nil"/>
              <w:left w:val="nil"/>
              <w:bottom w:val="single" w:sz="4" w:space="0" w:color="auto"/>
              <w:right w:val="single" w:sz="4" w:space="0" w:color="auto"/>
            </w:tcBorders>
            <w:shd w:val="clear" w:color="auto" w:fill="auto"/>
            <w:noWrap/>
            <w:vAlign w:val="bottom"/>
            <w:hideMark/>
          </w:tcPr>
          <w:p w14:paraId="5600F09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20.641,60 </w:t>
            </w:r>
          </w:p>
        </w:tc>
        <w:tc>
          <w:tcPr>
            <w:tcW w:w="257" w:type="pct"/>
            <w:tcBorders>
              <w:top w:val="nil"/>
              <w:left w:val="nil"/>
              <w:bottom w:val="single" w:sz="4" w:space="0" w:color="auto"/>
              <w:right w:val="single" w:sz="4" w:space="0" w:color="auto"/>
            </w:tcBorders>
            <w:shd w:val="clear" w:color="auto" w:fill="auto"/>
            <w:noWrap/>
            <w:vAlign w:val="bottom"/>
            <w:hideMark/>
          </w:tcPr>
          <w:p w14:paraId="7D1BBB9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2BF8295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bottom"/>
            <w:hideMark/>
          </w:tcPr>
          <w:p w14:paraId="6A56726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1170A38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293F3DE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7A368D0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19CE062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0FCF360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1B5869E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29E4C2E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3FA14EFF" w14:textId="77777777" w:rsidTr="00D60D2E">
        <w:trPr>
          <w:trHeight w:val="288"/>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2EDFC9F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5.3. - Desarrollar materiales de difusión</w:t>
            </w:r>
          </w:p>
        </w:tc>
        <w:tc>
          <w:tcPr>
            <w:tcW w:w="316" w:type="pct"/>
            <w:tcBorders>
              <w:top w:val="nil"/>
              <w:left w:val="nil"/>
              <w:bottom w:val="single" w:sz="4" w:space="0" w:color="auto"/>
              <w:right w:val="single" w:sz="4" w:space="0" w:color="auto"/>
            </w:tcBorders>
            <w:shd w:val="clear" w:color="auto" w:fill="auto"/>
            <w:noWrap/>
            <w:vAlign w:val="bottom"/>
            <w:hideMark/>
          </w:tcPr>
          <w:p w14:paraId="5A52D77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372039C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6A549F4A"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4B6FD59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728,78 </w:t>
            </w:r>
          </w:p>
        </w:tc>
        <w:tc>
          <w:tcPr>
            <w:tcW w:w="243" w:type="pct"/>
            <w:tcBorders>
              <w:top w:val="nil"/>
              <w:left w:val="nil"/>
              <w:bottom w:val="single" w:sz="4" w:space="0" w:color="auto"/>
              <w:right w:val="single" w:sz="4" w:space="0" w:color="auto"/>
            </w:tcBorders>
            <w:shd w:val="clear" w:color="auto" w:fill="auto"/>
            <w:noWrap/>
            <w:vAlign w:val="bottom"/>
            <w:hideMark/>
          </w:tcPr>
          <w:p w14:paraId="1C61D76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709234B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33FCE1D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bottom"/>
            <w:hideMark/>
          </w:tcPr>
          <w:p w14:paraId="0771BA8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310D54F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67822B2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07BD53D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0545A06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5B26F4E4"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008DC37F"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59918B7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6D36942C" w14:textId="77777777" w:rsidTr="00D60D2E">
        <w:trPr>
          <w:trHeight w:val="133"/>
        </w:trPr>
        <w:tc>
          <w:tcPr>
            <w:tcW w:w="1026" w:type="pct"/>
            <w:tcBorders>
              <w:top w:val="nil"/>
              <w:left w:val="single" w:sz="8" w:space="0" w:color="auto"/>
              <w:bottom w:val="single" w:sz="4" w:space="0" w:color="auto"/>
              <w:right w:val="single" w:sz="4" w:space="0" w:color="auto"/>
            </w:tcBorders>
            <w:shd w:val="clear" w:color="auto" w:fill="auto"/>
            <w:vAlign w:val="center"/>
            <w:hideMark/>
          </w:tcPr>
          <w:p w14:paraId="2A6052F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5.4. - Realizar una encuesta ciudadana de percepción</w:t>
            </w:r>
          </w:p>
        </w:tc>
        <w:tc>
          <w:tcPr>
            <w:tcW w:w="316" w:type="pct"/>
            <w:tcBorders>
              <w:top w:val="nil"/>
              <w:left w:val="nil"/>
              <w:bottom w:val="single" w:sz="4" w:space="0" w:color="auto"/>
              <w:right w:val="single" w:sz="4" w:space="0" w:color="auto"/>
            </w:tcBorders>
            <w:shd w:val="clear" w:color="auto" w:fill="auto"/>
            <w:noWrap/>
            <w:vAlign w:val="bottom"/>
            <w:hideMark/>
          </w:tcPr>
          <w:p w14:paraId="4C5CC99E"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1EAF8918"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4F2B174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4328525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7CEC784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16CF020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1E8C9B7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10.000,00 </w:t>
            </w:r>
          </w:p>
        </w:tc>
        <w:tc>
          <w:tcPr>
            <w:tcW w:w="269" w:type="pct"/>
            <w:tcBorders>
              <w:top w:val="nil"/>
              <w:left w:val="nil"/>
              <w:bottom w:val="single" w:sz="4" w:space="0" w:color="auto"/>
              <w:right w:val="single" w:sz="4" w:space="0" w:color="auto"/>
            </w:tcBorders>
            <w:shd w:val="clear" w:color="auto" w:fill="auto"/>
            <w:noWrap/>
            <w:vAlign w:val="bottom"/>
            <w:hideMark/>
          </w:tcPr>
          <w:p w14:paraId="1335A39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0BD18C8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01090B7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530A51DD"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4DF35F8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0CA3C37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018E596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4D08FF4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6F3496C6" w14:textId="77777777" w:rsidTr="00D60D2E">
        <w:trPr>
          <w:trHeight w:val="300"/>
        </w:trPr>
        <w:tc>
          <w:tcPr>
            <w:tcW w:w="1026" w:type="pct"/>
            <w:tcBorders>
              <w:top w:val="nil"/>
              <w:left w:val="single" w:sz="8" w:space="0" w:color="auto"/>
              <w:bottom w:val="single" w:sz="8" w:space="0" w:color="auto"/>
              <w:right w:val="single" w:sz="4" w:space="0" w:color="auto"/>
            </w:tcBorders>
            <w:shd w:val="clear" w:color="auto" w:fill="auto"/>
            <w:vAlign w:val="center"/>
            <w:hideMark/>
          </w:tcPr>
          <w:p w14:paraId="61DF3C9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ACTIVIDAD 5.5. - Adquirir equipamiento para comunicación</w:t>
            </w:r>
          </w:p>
        </w:tc>
        <w:tc>
          <w:tcPr>
            <w:tcW w:w="316" w:type="pct"/>
            <w:tcBorders>
              <w:top w:val="nil"/>
              <w:left w:val="nil"/>
              <w:bottom w:val="single" w:sz="8" w:space="0" w:color="auto"/>
              <w:right w:val="single" w:sz="4" w:space="0" w:color="auto"/>
            </w:tcBorders>
            <w:shd w:val="clear" w:color="auto" w:fill="auto"/>
            <w:noWrap/>
            <w:vAlign w:val="bottom"/>
            <w:hideMark/>
          </w:tcPr>
          <w:p w14:paraId="4C2365C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38" w:type="pct"/>
            <w:tcBorders>
              <w:top w:val="nil"/>
              <w:left w:val="nil"/>
              <w:bottom w:val="single" w:sz="8" w:space="0" w:color="auto"/>
              <w:right w:val="single" w:sz="4" w:space="0" w:color="auto"/>
            </w:tcBorders>
            <w:shd w:val="clear" w:color="auto" w:fill="auto"/>
            <w:noWrap/>
            <w:vAlign w:val="bottom"/>
            <w:hideMark/>
          </w:tcPr>
          <w:p w14:paraId="0503B093"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49.279,62 </w:t>
            </w:r>
          </w:p>
        </w:tc>
        <w:tc>
          <w:tcPr>
            <w:tcW w:w="243" w:type="pct"/>
            <w:tcBorders>
              <w:top w:val="nil"/>
              <w:left w:val="nil"/>
              <w:bottom w:val="single" w:sz="8" w:space="0" w:color="auto"/>
              <w:right w:val="single" w:sz="4" w:space="0" w:color="auto"/>
            </w:tcBorders>
            <w:shd w:val="clear" w:color="auto" w:fill="auto"/>
            <w:noWrap/>
            <w:vAlign w:val="bottom"/>
            <w:hideMark/>
          </w:tcPr>
          <w:p w14:paraId="7999BCD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8" w:space="0" w:color="auto"/>
              <w:right w:val="single" w:sz="4" w:space="0" w:color="auto"/>
            </w:tcBorders>
            <w:shd w:val="clear" w:color="auto" w:fill="auto"/>
            <w:noWrap/>
            <w:vAlign w:val="bottom"/>
            <w:hideMark/>
          </w:tcPr>
          <w:p w14:paraId="19EF2C60"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43" w:type="pct"/>
            <w:tcBorders>
              <w:top w:val="nil"/>
              <w:left w:val="nil"/>
              <w:bottom w:val="single" w:sz="8" w:space="0" w:color="auto"/>
              <w:right w:val="single" w:sz="4" w:space="0" w:color="auto"/>
            </w:tcBorders>
            <w:shd w:val="clear" w:color="auto" w:fill="auto"/>
            <w:noWrap/>
            <w:vAlign w:val="bottom"/>
            <w:hideMark/>
          </w:tcPr>
          <w:p w14:paraId="07861A72"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57" w:type="pct"/>
            <w:tcBorders>
              <w:top w:val="nil"/>
              <w:left w:val="nil"/>
              <w:bottom w:val="single" w:sz="8" w:space="0" w:color="auto"/>
              <w:right w:val="single" w:sz="4" w:space="0" w:color="auto"/>
            </w:tcBorders>
            <w:shd w:val="clear" w:color="auto" w:fill="auto"/>
            <w:noWrap/>
            <w:vAlign w:val="bottom"/>
            <w:hideMark/>
          </w:tcPr>
          <w:p w14:paraId="3EB14A6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center"/>
            <w:hideMark/>
          </w:tcPr>
          <w:p w14:paraId="328013BB"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xml:space="preserve">                        -   </w:t>
            </w:r>
          </w:p>
        </w:tc>
        <w:tc>
          <w:tcPr>
            <w:tcW w:w="269" w:type="pct"/>
            <w:tcBorders>
              <w:top w:val="nil"/>
              <w:left w:val="nil"/>
              <w:bottom w:val="single" w:sz="8" w:space="0" w:color="auto"/>
              <w:right w:val="single" w:sz="4" w:space="0" w:color="auto"/>
            </w:tcBorders>
            <w:shd w:val="clear" w:color="auto" w:fill="auto"/>
            <w:noWrap/>
            <w:vAlign w:val="bottom"/>
            <w:hideMark/>
          </w:tcPr>
          <w:p w14:paraId="7681BD4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0" w:type="pct"/>
            <w:tcBorders>
              <w:top w:val="nil"/>
              <w:left w:val="nil"/>
              <w:bottom w:val="single" w:sz="8" w:space="0" w:color="auto"/>
              <w:right w:val="single" w:sz="4" w:space="0" w:color="auto"/>
            </w:tcBorders>
            <w:shd w:val="clear" w:color="auto" w:fill="auto"/>
            <w:noWrap/>
            <w:vAlign w:val="bottom"/>
            <w:hideMark/>
          </w:tcPr>
          <w:p w14:paraId="6A465C0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2845444C"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0459E397"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077CD26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5A9F8165"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73" w:type="pct"/>
            <w:tcBorders>
              <w:top w:val="nil"/>
              <w:left w:val="nil"/>
              <w:bottom w:val="single" w:sz="8" w:space="0" w:color="auto"/>
              <w:right w:val="single" w:sz="4" w:space="0" w:color="auto"/>
            </w:tcBorders>
            <w:shd w:val="clear" w:color="auto" w:fill="auto"/>
            <w:noWrap/>
            <w:vAlign w:val="bottom"/>
            <w:hideMark/>
          </w:tcPr>
          <w:p w14:paraId="3433D556"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 </w:t>
            </w:r>
          </w:p>
        </w:tc>
        <w:tc>
          <w:tcPr>
            <w:tcW w:w="257" w:type="pct"/>
            <w:tcBorders>
              <w:top w:val="nil"/>
              <w:left w:val="nil"/>
              <w:bottom w:val="single" w:sz="8" w:space="0" w:color="auto"/>
              <w:right w:val="single" w:sz="4" w:space="0" w:color="auto"/>
            </w:tcBorders>
            <w:shd w:val="clear" w:color="auto" w:fill="auto"/>
            <w:noWrap/>
            <w:vAlign w:val="bottom"/>
            <w:hideMark/>
          </w:tcPr>
          <w:p w14:paraId="438C0F5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0FB4891B" w14:textId="77777777" w:rsidTr="00D60D2E">
        <w:trPr>
          <w:trHeight w:val="288"/>
        </w:trPr>
        <w:tc>
          <w:tcPr>
            <w:tcW w:w="1026" w:type="pct"/>
            <w:tcBorders>
              <w:top w:val="nil"/>
              <w:left w:val="single" w:sz="8" w:space="0" w:color="auto"/>
              <w:bottom w:val="nil"/>
              <w:right w:val="nil"/>
            </w:tcBorders>
            <w:shd w:val="clear" w:color="auto" w:fill="auto"/>
            <w:noWrap/>
            <w:vAlign w:val="bottom"/>
            <w:hideMark/>
          </w:tcPr>
          <w:p w14:paraId="4F892FE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316" w:type="pct"/>
            <w:tcBorders>
              <w:top w:val="nil"/>
              <w:left w:val="nil"/>
              <w:bottom w:val="nil"/>
              <w:right w:val="nil"/>
            </w:tcBorders>
            <w:shd w:val="clear" w:color="auto" w:fill="auto"/>
            <w:noWrap/>
            <w:vAlign w:val="bottom"/>
            <w:hideMark/>
          </w:tcPr>
          <w:p w14:paraId="5CFF821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p>
        </w:tc>
        <w:tc>
          <w:tcPr>
            <w:tcW w:w="238" w:type="pct"/>
            <w:tcBorders>
              <w:top w:val="nil"/>
              <w:left w:val="nil"/>
              <w:bottom w:val="nil"/>
              <w:right w:val="nil"/>
            </w:tcBorders>
            <w:shd w:val="clear" w:color="auto" w:fill="auto"/>
            <w:noWrap/>
            <w:vAlign w:val="bottom"/>
            <w:hideMark/>
          </w:tcPr>
          <w:p w14:paraId="512D9526"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43" w:type="pct"/>
            <w:tcBorders>
              <w:top w:val="nil"/>
              <w:left w:val="nil"/>
              <w:bottom w:val="nil"/>
              <w:right w:val="nil"/>
            </w:tcBorders>
            <w:shd w:val="clear" w:color="auto" w:fill="auto"/>
            <w:noWrap/>
            <w:vAlign w:val="bottom"/>
            <w:hideMark/>
          </w:tcPr>
          <w:p w14:paraId="5CBFBDE0"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43" w:type="pct"/>
            <w:tcBorders>
              <w:top w:val="nil"/>
              <w:left w:val="nil"/>
              <w:bottom w:val="nil"/>
              <w:right w:val="nil"/>
            </w:tcBorders>
            <w:shd w:val="clear" w:color="auto" w:fill="auto"/>
            <w:noWrap/>
            <w:vAlign w:val="bottom"/>
            <w:hideMark/>
          </w:tcPr>
          <w:p w14:paraId="42E429DE"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43" w:type="pct"/>
            <w:tcBorders>
              <w:top w:val="nil"/>
              <w:left w:val="nil"/>
              <w:bottom w:val="nil"/>
              <w:right w:val="nil"/>
            </w:tcBorders>
            <w:shd w:val="clear" w:color="auto" w:fill="auto"/>
            <w:noWrap/>
            <w:vAlign w:val="bottom"/>
            <w:hideMark/>
          </w:tcPr>
          <w:p w14:paraId="46270E47"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57" w:type="pct"/>
            <w:tcBorders>
              <w:top w:val="nil"/>
              <w:left w:val="nil"/>
              <w:bottom w:val="nil"/>
              <w:right w:val="nil"/>
            </w:tcBorders>
            <w:shd w:val="clear" w:color="auto" w:fill="auto"/>
            <w:noWrap/>
            <w:vAlign w:val="bottom"/>
            <w:hideMark/>
          </w:tcPr>
          <w:p w14:paraId="635B9175"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9" w:type="pct"/>
            <w:tcBorders>
              <w:top w:val="nil"/>
              <w:left w:val="nil"/>
              <w:bottom w:val="nil"/>
              <w:right w:val="nil"/>
            </w:tcBorders>
            <w:shd w:val="clear" w:color="auto" w:fill="auto"/>
            <w:noWrap/>
            <w:vAlign w:val="bottom"/>
            <w:hideMark/>
          </w:tcPr>
          <w:p w14:paraId="4AE82346"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69" w:type="pct"/>
            <w:tcBorders>
              <w:top w:val="nil"/>
              <w:left w:val="nil"/>
              <w:bottom w:val="nil"/>
              <w:right w:val="nil"/>
            </w:tcBorders>
            <w:shd w:val="clear" w:color="auto" w:fill="auto"/>
            <w:noWrap/>
            <w:vAlign w:val="bottom"/>
            <w:hideMark/>
          </w:tcPr>
          <w:p w14:paraId="469E123D"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0" w:type="pct"/>
            <w:tcBorders>
              <w:top w:val="nil"/>
              <w:left w:val="nil"/>
              <w:bottom w:val="nil"/>
              <w:right w:val="nil"/>
            </w:tcBorders>
            <w:shd w:val="clear" w:color="auto" w:fill="auto"/>
            <w:noWrap/>
            <w:vAlign w:val="bottom"/>
            <w:hideMark/>
          </w:tcPr>
          <w:p w14:paraId="392E97E2"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1" w:type="pct"/>
            <w:tcBorders>
              <w:top w:val="nil"/>
              <w:left w:val="nil"/>
              <w:bottom w:val="nil"/>
              <w:right w:val="nil"/>
            </w:tcBorders>
            <w:shd w:val="clear" w:color="auto" w:fill="auto"/>
            <w:noWrap/>
            <w:vAlign w:val="bottom"/>
            <w:hideMark/>
          </w:tcPr>
          <w:p w14:paraId="4B859E41"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1" w:type="pct"/>
            <w:tcBorders>
              <w:top w:val="nil"/>
              <w:left w:val="nil"/>
              <w:bottom w:val="nil"/>
              <w:right w:val="nil"/>
            </w:tcBorders>
            <w:shd w:val="clear" w:color="auto" w:fill="auto"/>
            <w:noWrap/>
            <w:vAlign w:val="bottom"/>
            <w:hideMark/>
          </w:tcPr>
          <w:p w14:paraId="601505B1"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1" w:type="pct"/>
            <w:tcBorders>
              <w:top w:val="nil"/>
              <w:left w:val="nil"/>
              <w:bottom w:val="nil"/>
              <w:right w:val="nil"/>
            </w:tcBorders>
            <w:shd w:val="clear" w:color="auto" w:fill="auto"/>
            <w:noWrap/>
            <w:vAlign w:val="bottom"/>
            <w:hideMark/>
          </w:tcPr>
          <w:p w14:paraId="21884E97"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1" w:type="pct"/>
            <w:tcBorders>
              <w:top w:val="nil"/>
              <w:left w:val="nil"/>
              <w:bottom w:val="nil"/>
              <w:right w:val="nil"/>
            </w:tcBorders>
            <w:shd w:val="clear" w:color="auto" w:fill="auto"/>
            <w:noWrap/>
            <w:vAlign w:val="bottom"/>
            <w:hideMark/>
          </w:tcPr>
          <w:p w14:paraId="053BB0EE"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73" w:type="pct"/>
            <w:tcBorders>
              <w:top w:val="nil"/>
              <w:left w:val="nil"/>
              <w:bottom w:val="nil"/>
              <w:right w:val="nil"/>
            </w:tcBorders>
            <w:shd w:val="clear" w:color="auto" w:fill="auto"/>
            <w:noWrap/>
            <w:vAlign w:val="bottom"/>
            <w:hideMark/>
          </w:tcPr>
          <w:p w14:paraId="5DFF452B"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c>
          <w:tcPr>
            <w:tcW w:w="257" w:type="pct"/>
            <w:tcBorders>
              <w:top w:val="nil"/>
              <w:left w:val="nil"/>
              <w:bottom w:val="nil"/>
              <w:right w:val="nil"/>
            </w:tcBorders>
            <w:shd w:val="clear" w:color="auto" w:fill="auto"/>
            <w:noWrap/>
            <w:vAlign w:val="bottom"/>
            <w:hideMark/>
          </w:tcPr>
          <w:p w14:paraId="250D70FE" w14:textId="77777777" w:rsidR="00D60D2E" w:rsidRPr="00D60D2E" w:rsidRDefault="00D60D2E" w:rsidP="00D60D2E">
            <w:pPr>
              <w:spacing w:after="0" w:line="240" w:lineRule="auto"/>
              <w:rPr>
                <w:rFonts w:ascii="Times New Roman" w:eastAsia="Times New Roman" w:hAnsi="Times New Roman" w:cs="Times New Roman"/>
                <w:sz w:val="12"/>
                <w:szCs w:val="12"/>
                <w:lang w:eastAsia="es-EC"/>
              </w:rPr>
            </w:pPr>
          </w:p>
        </w:tc>
      </w:tr>
      <w:tr w:rsidR="00D60D2E" w:rsidRPr="00D60D2E" w14:paraId="7ADA146E" w14:textId="77777777" w:rsidTr="00D60D2E">
        <w:trPr>
          <w:trHeight w:val="288"/>
        </w:trPr>
        <w:tc>
          <w:tcPr>
            <w:tcW w:w="1026" w:type="pct"/>
            <w:tcBorders>
              <w:top w:val="nil"/>
              <w:left w:val="single" w:sz="8" w:space="0" w:color="auto"/>
              <w:bottom w:val="nil"/>
              <w:right w:val="nil"/>
            </w:tcBorders>
            <w:shd w:val="clear" w:color="auto" w:fill="auto"/>
            <w:noWrap/>
            <w:vAlign w:val="bottom"/>
            <w:hideMark/>
          </w:tcPr>
          <w:p w14:paraId="1BFC9991" w14:textId="77777777" w:rsidR="00D60D2E" w:rsidRPr="00D60D2E" w:rsidRDefault="00D60D2E" w:rsidP="00D60D2E">
            <w:pPr>
              <w:spacing w:after="0" w:line="240" w:lineRule="auto"/>
              <w:rPr>
                <w:rFonts w:ascii="Calibri" w:eastAsia="Times New Roman" w:hAnsi="Calibri" w:cs="Calibri"/>
                <w:b/>
                <w:bCs/>
                <w:color w:val="000000"/>
                <w:sz w:val="12"/>
                <w:szCs w:val="12"/>
                <w:lang w:eastAsia="es-EC"/>
              </w:rPr>
            </w:pPr>
            <w:r w:rsidRPr="00D60D2E">
              <w:rPr>
                <w:rFonts w:ascii="Calibri" w:eastAsia="Times New Roman" w:hAnsi="Calibri" w:cs="Calibri"/>
                <w:b/>
                <w:bCs/>
                <w:color w:val="000000"/>
                <w:sz w:val="12"/>
                <w:szCs w:val="12"/>
                <w:lang w:eastAsia="es-EC"/>
              </w:rPr>
              <w:t>OPERACIÓN Y MANTENIMIENTO (GASTO CORRIENTE)</w:t>
            </w:r>
          </w:p>
        </w:tc>
        <w:tc>
          <w:tcPr>
            <w:tcW w:w="316" w:type="pct"/>
            <w:tcBorders>
              <w:top w:val="nil"/>
              <w:left w:val="nil"/>
              <w:bottom w:val="nil"/>
              <w:right w:val="nil"/>
            </w:tcBorders>
            <w:shd w:val="clear" w:color="auto" w:fill="auto"/>
            <w:noWrap/>
            <w:vAlign w:val="bottom"/>
            <w:hideMark/>
          </w:tcPr>
          <w:p w14:paraId="449C117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38" w:type="pct"/>
            <w:tcBorders>
              <w:top w:val="nil"/>
              <w:left w:val="nil"/>
              <w:bottom w:val="nil"/>
              <w:right w:val="nil"/>
            </w:tcBorders>
            <w:shd w:val="clear" w:color="auto" w:fill="auto"/>
            <w:noWrap/>
            <w:vAlign w:val="bottom"/>
            <w:hideMark/>
          </w:tcPr>
          <w:p w14:paraId="3256C82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nil"/>
              <w:right w:val="nil"/>
            </w:tcBorders>
            <w:shd w:val="clear" w:color="auto" w:fill="auto"/>
            <w:noWrap/>
            <w:vAlign w:val="bottom"/>
            <w:hideMark/>
          </w:tcPr>
          <w:p w14:paraId="4648D29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nil"/>
              <w:right w:val="nil"/>
            </w:tcBorders>
            <w:shd w:val="clear" w:color="auto" w:fill="auto"/>
            <w:noWrap/>
            <w:vAlign w:val="bottom"/>
            <w:hideMark/>
          </w:tcPr>
          <w:p w14:paraId="72C49A1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nil"/>
              <w:right w:val="nil"/>
            </w:tcBorders>
            <w:shd w:val="clear" w:color="auto" w:fill="auto"/>
            <w:noWrap/>
            <w:vAlign w:val="bottom"/>
            <w:hideMark/>
          </w:tcPr>
          <w:p w14:paraId="7B58420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nil"/>
              <w:left w:val="nil"/>
              <w:bottom w:val="nil"/>
              <w:right w:val="nil"/>
            </w:tcBorders>
            <w:shd w:val="clear" w:color="auto" w:fill="auto"/>
            <w:noWrap/>
            <w:vAlign w:val="bottom"/>
            <w:hideMark/>
          </w:tcPr>
          <w:p w14:paraId="03E96F6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9" w:type="pct"/>
            <w:tcBorders>
              <w:top w:val="nil"/>
              <w:left w:val="nil"/>
              <w:bottom w:val="nil"/>
              <w:right w:val="nil"/>
            </w:tcBorders>
            <w:shd w:val="clear" w:color="auto" w:fill="auto"/>
            <w:noWrap/>
            <w:vAlign w:val="bottom"/>
            <w:hideMark/>
          </w:tcPr>
          <w:p w14:paraId="2D63246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69" w:type="pct"/>
            <w:tcBorders>
              <w:top w:val="nil"/>
              <w:left w:val="nil"/>
              <w:bottom w:val="nil"/>
              <w:right w:val="nil"/>
            </w:tcBorders>
            <w:shd w:val="clear" w:color="auto" w:fill="auto"/>
            <w:noWrap/>
            <w:vAlign w:val="bottom"/>
            <w:hideMark/>
          </w:tcPr>
          <w:p w14:paraId="4F77309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270" w:type="pct"/>
            <w:tcBorders>
              <w:top w:val="nil"/>
              <w:left w:val="nil"/>
              <w:bottom w:val="nil"/>
              <w:right w:val="nil"/>
            </w:tcBorders>
            <w:shd w:val="clear" w:color="auto" w:fill="auto"/>
            <w:noWrap/>
            <w:vAlign w:val="bottom"/>
            <w:hideMark/>
          </w:tcPr>
          <w:p w14:paraId="2A8F25A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271" w:type="pct"/>
            <w:tcBorders>
              <w:top w:val="nil"/>
              <w:left w:val="nil"/>
              <w:bottom w:val="nil"/>
              <w:right w:val="nil"/>
            </w:tcBorders>
            <w:shd w:val="clear" w:color="auto" w:fill="auto"/>
            <w:noWrap/>
            <w:vAlign w:val="bottom"/>
            <w:hideMark/>
          </w:tcPr>
          <w:p w14:paraId="50A3947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1" w:type="pct"/>
            <w:tcBorders>
              <w:top w:val="nil"/>
              <w:left w:val="nil"/>
              <w:bottom w:val="nil"/>
              <w:right w:val="nil"/>
            </w:tcBorders>
            <w:shd w:val="clear" w:color="auto" w:fill="auto"/>
            <w:noWrap/>
            <w:vAlign w:val="bottom"/>
            <w:hideMark/>
          </w:tcPr>
          <w:p w14:paraId="2E83603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1" w:type="pct"/>
            <w:tcBorders>
              <w:top w:val="nil"/>
              <w:left w:val="nil"/>
              <w:bottom w:val="nil"/>
              <w:right w:val="nil"/>
            </w:tcBorders>
            <w:shd w:val="clear" w:color="auto" w:fill="auto"/>
            <w:noWrap/>
            <w:vAlign w:val="bottom"/>
            <w:hideMark/>
          </w:tcPr>
          <w:p w14:paraId="010DEBC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1" w:type="pct"/>
            <w:tcBorders>
              <w:top w:val="nil"/>
              <w:left w:val="nil"/>
              <w:bottom w:val="nil"/>
              <w:right w:val="nil"/>
            </w:tcBorders>
            <w:shd w:val="clear" w:color="auto" w:fill="auto"/>
            <w:noWrap/>
            <w:vAlign w:val="bottom"/>
            <w:hideMark/>
          </w:tcPr>
          <w:p w14:paraId="0E1BF39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3" w:type="pct"/>
            <w:tcBorders>
              <w:top w:val="nil"/>
              <w:left w:val="nil"/>
              <w:bottom w:val="nil"/>
              <w:right w:val="nil"/>
            </w:tcBorders>
            <w:shd w:val="clear" w:color="auto" w:fill="auto"/>
            <w:noWrap/>
            <w:vAlign w:val="bottom"/>
            <w:hideMark/>
          </w:tcPr>
          <w:p w14:paraId="615B97D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nil"/>
              <w:left w:val="nil"/>
              <w:bottom w:val="nil"/>
              <w:right w:val="nil"/>
            </w:tcBorders>
            <w:shd w:val="clear" w:color="auto" w:fill="auto"/>
            <w:noWrap/>
            <w:vAlign w:val="bottom"/>
            <w:hideMark/>
          </w:tcPr>
          <w:p w14:paraId="11DD88E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r>
      <w:tr w:rsidR="00D60D2E" w:rsidRPr="00D60D2E" w14:paraId="475C7A4D" w14:textId="77777777" w:rsidTr="00D60D2E">
        <w:trPr>
          <w:trHeight w:val="288"/>
        </w:trPr>
        <w:tc>
          <w:tcPr>
            <w:tcW w:w="102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7394B29"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Gastos Operativos (detallar)</w:t>
            </w:r>
          </w:p>
        </w:tc>
        <w:tc>
          <w:tcPr>
            <w:tcW w:w="316" w:type="pct"/>
            <w:tcBorders>
              <w:top w:val="single" w:sz="8" w:space="0" w:color="auto"/>
              <w:left w:val="nil"/>
              <w:bottom w:val="single" w:sz="4" w:space="0" w:color="auto"/>
              <w:right w:val="single" w:sz="4" w:space="0" w:color="auto"/>
            </w:tcBorders>
            <w:shd w:val="clear" w:color="auto" w:fill="auto"/>
            <w:noWrap/>
            <w:vAlign w:val="bottom"/>
            <w:hideMark/>
          </w:tcPr>
          <w:p w14:paraId="0C05293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38" w:type="pct"/>
            <w:tcBorders>
              <w:top w:val="single" w:sz="8" w:space="0" w:color="auto"/>
              <w:left w:val="nil"/>
              <w:bottom w:val="single" w:sz="4" w:space="0" w:color="auto"/>
              <w:right w:val="single" w:sz="4" w:space="0" w:color="auto"/>
            </w:tcBorders>
            <w:shd w:val="clear" w:color="auto" w:fill="auto"/>
            <w:noWrap/>
            <w:vAlign w:val="bottom"/>
            <w:hideMark/>
          </w:tcPr>
          <w:p w14:paraId="3D0A8A6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single" w:sz="8" w:space="0" w:color="auto"/>
              <w:left w:val="nil"/>
              <w:bottom w:val="single" w:sz="4" w:space="0" w:color="auto"/>
              <w:right w:val="single" w:sz="4" w:space="0" w:color="auto"/>
            </w:tcBorders>
            <w:shd w:val="clear" w:color="auto" w:fill="auto"/>
            <w:noWrap/>
            <w:vAlign w:val="bottom"/>
            <w:hideMark/>
          </w:tcPr>
          <w:p w14:paraId="586C7B7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single" w:sz="8" w:space="0" w:color="auto"/>
              <w:left w:val="nil"/>
              <w:bottom w:val="single" w:sz="4" w:space="0" w:color="auto"/>
              <w:right w:val="single" w:sz="4" w:space="0" w:color="auto"/>
            </w:tcBorders>
            <w:shd w:val="clear" w:color="auto" w:fill="auto"/>
            <w:noWrap/>
            <w:vAlign w:val="bottom"/>
            <w:hideMark/>
          </w:tcPr>
          <w:p w14:paraId="54C878B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single" w:sz="8" w:space="0" w:color="auto"/>
              <w:left w:val="nil"/>
              <w:bottom w:val="single" w:sz="4" w:space="0" w:color="auto"/>
              <w:right w:val="single" w:sz="4" w:space="0" w:color="auto"/>
            </w:tcBorders>
            <w:shd w:val="clear" w:color="auto" w:fill="auto"/>
            <w:noWrap/>
            <w:vAlign w:val="bottom"/>
            <w:hideMark/>
          </w:tcPr>
          <w:p w14:paraId="29CBD61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single" w:sz="8" w:space="0" w:color="auto"/>
              <w:left w:val="nil"/>
              <w:bottom w:val="single" w:sz="4" w:space="0" w:color="auto"/>
              <w:right w:val="single" w:sz="4" w:space="0" w:color="auto"/>
            </w:tcBorders>
            <w:shd w:val="clear" w:color="auto" w:fill="auto"/>
            <w:noWrap/>
            <w:vAlign w:val="bottom"/>
            <w:hideMark/>
          </w:tcPr>
          <w:p w14:paraId="0BE08FB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9" w:type="pct"/>
            <w:tcBorders>
              <w:top w:val="single" w:sz="8" w:space="0" w:color="auto"/>
              <w:left w:val="nil"/>
              <w:bottom w:val="single" w:sz="4" w:space="0" w:color="auto"/>
              <w:right w:val="single" w:sz="4" w:space="0" w:color="auto"/>
            </w:tcBorders>
            <w:shd w:val="clear" w:color="auto" w:fill="auto"/>
            <w:noWrap/>
            <w:vAlign w:val="bottom"/>
            <w:hideMark/>
          </w:tcPr>
          <w:p w14:paraId="40F5254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69" w:type="pct"/>
            <w:tcBorders>
              <w:top w:val="single" w:sz="8" w:space="0" w:color="auto"/>
              <w:left w:val="nil"/>
              <w:bottom w:val="single" w:sz="4" w:space="0" w:color="auto"/>
              <w:right w:val="single" w:sz="4" w:space="0" w:color="auto"/>
            </w:tcBorders>
            <w:shd w:val="clear" w:color="auto" w:fill="auto"/>
            <w:noWrap/>
            <w:vAlign w:val="bottom"/>
            <w:hideMark/>
          </w:tcPr>
          <w:p w14:paraId="17A42CE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0" w:type="pct"/>
            <w:tcBorders>
              <w:top w:val="single" w:sz="8" w:space="0" w:color="auto"/>
              <w:left w:val="nil"/>
              <w:bottom w:val="single" w:sz="4" w:space="0" w:color="auto"/>
              <w:right w:val="single" w:sz="4" w:space="0" w:color="auto"/>
            </w:tcBorders>
            <w:shd w:val="clear" w:color="auto" w:fill="auto"/>
            <w:noWrap/>
            <w:vAlign w:val="bottom"/>
            <w:hideMark/>
          </w:tcPr>
          <w:p w14:paraId="105B430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1" w:type="pct"/>
            <w:tcBorders>
              <w:top w:val="single" w:sz="8" w:space="0" w:color="auto"/>
              <w:left w:val="nil"/>
              <w:bottom w:val="single" w:sz="4" w:space="0" w:color="auto"/>
              <w:right w:val="single" w:sz="4" w:space="0" w:color="auto"/>
            </w:tcBorders>
            <w:shd w:val="clear" w:color="auto" w:fill="auto"/>
            <w:noWrap/>
            <w:vAlign w:val="bottom"/>
            <w:hideMark/>
          </w:tcPr>
          <w:p w14:paraId="18283F3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1" w:type="pct"/>
            <w:tcBorders>
              <w:top w:val="single" w:sz="8" w:space="0" w:color="auto"/>
              <w:left w:val="nil"/>
              <w:bottom w:val="single" w:sz="4" w:space="0" w:color="auto"/>
              <w:right w:val="single" w:sz="4" w:space="0" w:color="auto"/>
            </w:tcBorders>
            <w:shd w:val="clear" w:color="auto" w:fill="auto"/>
            <w:noWrap/>
            <w:vAlign w:val="bottom"/>
            <w:hideMark/>
          </w:tcPr>
          <w:p w14:paraId="5B0DCD4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single" w:sz="8" w:space="0" w:color="auto"/>
              <w:left w:val="nil"/>
              <w:bottom w:val="single" w:sz="4" w:space="0" w:color="auto"/>
              <w:right w:val="single" w:sz="4" w:space="0" w:color="auto"/>
            </w:tcBorders>
            <w:shd w:val="clear" w:color="auto" w:fill="auto"/>
            <w:noWrap/>
            <w:vAlign w:val="bottom"/>
            <w:hideMark/>
          </w:tcPr>
          <w:p w14:paraId="3B886A9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single" w:sz="8" w:space="0" w:color="auto"/>
              <w:left w:val="nil"/>
              <w:bottom w:val="single" w:sz="4" w:space="0" w:color="auto"/>
              <w:right w:val="single" w:sz="4" w:space="0" w:color="auto"/>
            </w:tcBorders>
            <w:shd w:val="clear" w:color="auto" w:fill="auto"/>
            <w:noWrap/>
            <w:vAlign w:val="bottom"/>
            <w:hideMark/>
          </w:tcPr>
          <w:p w14:paraId="7B6E083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3" w:type="pct"/>
            <w:tcBorders>
              <w:top w:val="single" w:sz="8" w:space="0" w:color="auto"/>
              <w:left w:val="nil"/>
              <w:bottom w:val="single" w:sz="4" w:space="0" w:color="auto"/>
              <w:right w:val="single" w:sz="4" w:space="0" w:color="auto"/>
            </w:tcBorders>
            <w:shd w:val="clear" w:color="auto" w:fill="auto"/>
            <w:noWrap/>
            <w:vAlign w:val="bottom"/>
            <w:hideMark/>
          </w:tcPr>
          <w:p w14:paraId="473EB66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single" w:sz="8" w:space="0" w:color="auto"/>
              <w:left w:val="nil"/>
              <w:bottom w:val="single" w:sz="4" w:space="0" w:color="auto"/>
              <w:right w:val="single" w:sz="4" w:space="0" w:color="auto"/>
            </w:tcBorders>
            <w:shd w:val="clear" w:color="auto" w:fill="auto"/>
            <w:noWrap/>
            <w:vAlign w:val="bottom"/>
            <w:hideMark/>
          </w:tcPr>
          <w:p w14:paraId="4BE911C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13BB0CDF" w14:textId="77777777" w:rsidTr="00D60D2E">
        <w:trPr>
          <w:trHeight w:val="156"/>
        </w:trPr>
        <w:tc>
          <w:tcPr>
            <w:tcW w:w="1026" w:type="pct"/>
            <w:tcBorders>
              <w:top w:val="nil"/>
              <w:left w:val="single" w:sz="8" w:space="0" w:color="auto"/>
              <w:bottom w:val="single" w:sz="4" w:space="0" w:color="auto"/>
              <w:right w:val="single" w:sz="4" w:space="0" w:color="auto"/>
            </w:tcBorders>
            <w:shd w:val="clear" w:color="auto" w:fill="auto"/>
            <w:noWrap/>
            <w:vAlign w:val="bottom"/>
            <w:hideMark/>
          </w:tcPr>
          <w:p w14:paraId="41CCC8D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316" w:type="pct"/>
            <w:tcBorders>
              <w:top w:val="nil"/>
              <w:left w:val="nil"/>
              <w:bottom w:val="single" w:sz="4" w:space="0" w:color="auto"/>
              <w:right w:val="single" w:sz="4" w:space="0" w:color="auto"/>
            </w:tcBorders>
            <w:shd w:val="clear" w:color="auto" w:fill="auto"/>
            <w:noWrap/>
            <w:vAlign w:val="bottom"/>
            <w:hideMark/>
          </w:tcPr>
          <w:p w14:paraId="6841DD6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38" w:type="pct"/>
            <w:tcBorders>
              <w:top w:val="nil"/>
              <w:left w:val="nil"/>
              <w:bottom w:val="single" w:sz="4" w:space="0" w:color="auto"/>
              <w:right w:val="single" w:sz="4" w:space="0" w:color="auto"/>
            </w:tcBorders>
            <w:shd w:val="clear" w:color="auto" w:fill="auto"/>
            <w:noWrap/>
            <w:vAlign w:val="bottom"/>
            <w:hideMark/>
          </w:tcPr>
          <w:p w14:paraId="41D6ED6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4" w:space="0" w:color="auto"/>
              <w:right w:val="single" w:sz="4" w:space="0" w:color="auto"/>
            </w:tcBorders>
            <w:shd w:val="clear" w:color="auto" w:fill="auto"/>
            <w:noWrap/>
            <w:vAlign w:val="bottom"/>
            <w:hideMark/>
          </w:tcPr>
          <w:p w14:paraId="6D5EDC2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6B311D3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563B68E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403350B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9" w:type="pct"/>
            <w:tcBorders>
              <w:top w:val="nil"/>
              <w:left w:val="nil"/>
              <w:bottom w:val="single" w:sz="4" w:space="0" w:color="auto"/>
              <w:right w:val="single" w:sz="4" w:space="0" w:color="auto"/>
            </w:tcBorders>
            <w:shd w:val="clear" w:color="auto" w:fill="auto"/>
            <w:noWrap/>
            <w:vAlign w:val="bottom"/>
            <w:hideMark/>
          </w:tcPr>
          <w:p w14:paraId="0BAD23B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C3F56F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74F8A39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01A7B6F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1A23BC2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67F5555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49D7F30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7C929AB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1F47775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46422119" w14:textId="77777777" w:rsidTr="00D60D2E">
        <w:trPr>
          <w:trHeight w:val="132"/>
        </w:trPr>
        <w:tc>
          <w:tcPr>
            <w:tcW w:w="1026" w:type="pct"/>
            <w:tcBorders>
              <w:top w:val="nil"/>
              <w:left w:val="single" w:sz="8" w:space="0" w:color="auto"/>
              <w:bottom w:val="single" w:sz="8" w:space="0" w:color="auto"/>
              <w:right w:val="single" w:sz="4" w:space="0" w:color="auto"/>
            </w:tcBorders>
            <w:shd w:val="clear" w:color="auto" w:fill="auto"/>
            <w:noWrap/>
            <w:vAlign w:val="bottom"/>
            <w:hideMark/>
          </w:tcPr>
          <w:p w14:paraId="09E9719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316" w:type="pct"/>
            <w:tcBorders>
              <w:top w:val="nil"/>
              <w:left w:val="nil"/>
              <w:bottom w:val="single" w:sz="8" w:space="0" w:color="auto"/>
              <w:right w:val="single" w:sz="4" w:space="0" w:color="auto"/>
            </w:tcBorders>
            <w:shd w:val="clear" w:color="auto" w:fill="auto"/>
            <w:noWrap/>
            <w:vAlign w:val="bottom"/>
            <w:hideMark/>
          </w:tcPr>
          <w:p w14:paraId="5BB6CE7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38" w:type="pct"/>
            <w:tcBorders>
              <w:top w:val="nil"/>
              <w:left w:val="nil"/>
              <w:bottom w:val="single" w:sz="8" w:space="0" w:color="auto"/>
              <w:right w:val="single" w:sz="4" w:space="0" w:color="auto"/>
            </w:tcBorders>
            <w:shd w:val="clear" w:color="auto" w:fill="auto"/>
            <w:noWrap/>
            <w:vAlign w:val="bottom"/>
            <w:hideMark/>
          </w:tcPr>
          <w:p w14:paraId="0F1BC90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8" w:space="0" w:color="auto"/>
              <w:right w:val="single" w:sz="4" w:space="0" w:color="auto"/>
            </w:tcBorders>
            <w:shd w:val="clear" w:color="auto" w:fill="auto"/>
            <w:noWrap/>
            <w:vAlign w:val="bottom"/>
            <w:hideMark/>
          </w:tcPr>
          <w:p w14:paraId="37FBFFE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8" w:space="0" w:color="auto"/>
              <w:right w:val="single" w:sz="4" w:space="0" w:color="auto"/>
            </w:tcBorders>
            <w:shd w:val="clear" w:color="auto" w:fill="auto"/>
            <w:noWrap/>
            <w:vAlign w:val="bottom"/>
            <w:hideMark/>
          </w:tcPr>
          <w:p w14:paraId="59957CD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8" w:space="0" w:color="auto"/>
              <w:right w:val="single" w:sz="4" w:space="0" w:color="auto"/>
            </w:tcBorders>
            <w:shd w:val="clear" w:color="auto" w:fill="auto"/>
            <w:noWrap/>
            <w:vAlign w:val="bottom"/>
            <w:hideMark/>
          </w:tcPr>
          <w:p w14:paraId="56E30CD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8" w:space="0" w:color="auto"/>
              <w:right w:val="single" w:sz="4" w:space="0" w:color="auto"/>
            </w:tcBorders>
            <w:shd w:val="clear" w:color="auto" w:fill="auto"/>
            <w:noWrap/>
            <w:vAlign w:val="bottom"/>
            <w:hideMark/>
          </w:tcPr>
          <w:p w14:paraId="5F713C1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9" w:type="pct"/>
            <w:tcBorders>
              <w:top w:val="nil"/>
              <w:left w:val="nil"/>
              <w:bottom w:val="single" w:sz="8" w:space="0" w:color="auto"/>
              <w:right w:val="single" w:sz="4" w:space="0" w:color="auto"/>
            </w:tcBorders>
            <w:shd w:val="clear" w:color="auto" w:fill="auto"/>
            <w:noWrap/>
            <w:vAlign w:val="bottom"/>
            <w:hideMark/>
          </w:tcPr>
          <w:p w14:paraId="161A6AD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69" w:type="pct"/>
            <w:tcBorders>
              <w:top w:val="nil"/>
              <w:left w:val="nil"/>
              <w:bottom w:val="single" w:sz="8" w:space="0" w:color="auto"/>
              <w:right w:val="single" w:sz="4" w:space="0" w:color="auto"/>
            </w:tcBorders>
            <w:shd w:val="clear" w:color="auto" w:fill="auto"/>
            <w:noWrap/>
            <w:vAlign w:val="bottom"/>
            <w:hideMark/>
          </w:tcPr>
          <w:p w14:paraId="0E80731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0" w:type="pct"/>
            <w:tcBorders>
              <w:top w:val="nil"/>
              <w:left w:val="nil"/>
              <w:bottom w:val="single" w:sz="8" w:space="0" w:color="auto"/>
              <w:right w:val="single" w:sz="4" w:space="0" w:color="auto"/>
            </w:tcBorders>
            <w:shd w:val="clear" w:color="auto" w:fill="auto"/>
            <w:noWrap/>
            <w:vAlign w:val="bottom"/>
            <w:hideMark/>
          </w:tcPr>
          <w:p w14:paraId="70CC4F2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6904CF5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789471C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71DF0D8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1516F3A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3" w:type="pct"/>
            <w:tcBorders>
              <w:top w:val="nil"/>
              <w:left w:val="nil"/>
              <w:bottom w:val="single" w:sz="8" w:space="0" w:color="auto"/>
              <w:right w:val="single" w:sz="4" w:space="0" w:color="auto"/>
            </w:tcBorders>
            <w:shd w:val="clear" w:color="auto" w:fill="auto"/>
            <w:noWrap/>
            <w:vAlign w:val="bottom"/>
            <w:hideMark/>
          </w:tcPr>
          <w:p w14:paraId="2C8DE7A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8" w:space="0" w:color="auto"/>
              <w:right w:val="single" w:sz="4" w:space="0" w:color="auto"/>
            </w:tcBorders>
            <w:shd w:val="clear" w:color="auto" w:fill="auto"/>
            <w:noWrap/>
            <w:vAlign w:val="bottom"/>
            <w:hideMark/>
          </w:tcPr>
          <w:p w14:paraId="5AFD661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5D8E71F1" w14:textId="77777777" w:rsidTr="00D60D2E">
        <w:trPr>
          <w:trHeight w:val="288"/>
        </w:trPr>
        <w:tc>
          <w:tcPr>
            <w:tcW w:w="1026" w:type="pct"/>
            <w:tcBorders>
              <w:top w:val="nil"/>
              <w:left w:val="single" w:sz="8" w:space="0" w:color="auto"/>
              <w:bottom w:val="single" w:sz="4" w:space="0" w:color="auto"/>
              <w:right w:val="single" w:sz="4" w:space="0" w:color="auto"/>
            </w:tcBorders>
            <w:shd w:val="clear" w:color="auto" w:fill="auto"/>
            <w:noWrap/>
            <w:vAlign w:val="bottom"/>
            <w:hideMark/>
          </w:tcPr>
          <w:p w14:paraId="71FCA461" w14:textId="77777777" w:rsidR="00D60D2E" w:rsidRPr="00D60D2E" w:rsidRDefault="00D60D2E" w:rsidP="00D60D2E">
            <w:pPr>
              <w:spacing w:after="0" w:line="240" w:lineRule="auto"/>
              <w:rPr>
                <w:rFonts w:ascii="Calibri" w:eastAsia="Times New Roman" w:hAnsi="Calibri" w:cs="Calibri"/>
                <w:i/>
                <w:iCs/>
                <w:color w:val="000000"/>
                <w:sz w:val="12"/>
                <w:szCs w:val="12"/>
                <w:lang w:eastAsia="es-EC"/>
              </w:rPr>
            </w:pPr>
            <w:r w:rsidRPr="00D60D2E">
              <w:rPr>
                <w:rFonts w:ascii="Calibri" w:eastAsia="Times New Roman" w:hAnsi="Calibri" w:cs="Calibri"/>
                <w:i/>
                <w:iCs/>
                <w:color w:val="000000"/>
                <w:sz w:val="12"/>
                <w:szCs w:val="12"/>
                <w:lang w:eastAsia="es-EC"/>
              </w:rPr>
              <w:t>Gastos Mantenimiento (detallar)</w:t>
            </w:r>
          </w:p>
        </w:tc>
        <w:tc>
          <w:tcPr>
            <w:tcW w:w="316" w:type="pct"/>
            <w:tcBorders>
              <w:top w:val="nil"/>
              <w:left w:val="nil"/>
              <w:bottom w:val="single" w:sz="4" w:space="0" w:color="auto"/>
              <w:right w:val="single" w:sz="4" w:space="0" w:color="auto"/>
            </w:tcBorders>
            <w:shd w:val="clear" w:color="auto" w:fill="auto"/>
            <w:noWrap/>
            <w:vAlign w:val="bottom"/>
            <w:hideMark/>
          </w:tcPr>
          <w:p w14:paraId="043B177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69FF542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034BE03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10E5707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4D18D1A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4C2F387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bottom"/>
            <w:hideMark/>
          </w:tcPr>
          <w:p w14:paraId="4A96672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bottom"/>
            <w:hideMark/>
          </w:tcPr>
          <w:p w14:paraId="06FF296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270" w:type="pct"/>
            <w:tcBorders>
              <w:top w:val="nil"/>
              <w:left w:val="nil"/>
              <w:bottom w:val="single" w:sz="4" w:space="0" w:color="auto"/>
              <w:right w:val="single" w:sz="4" w:space="0" w:color="auto"/>
            </w:tcBorders>
            <w:shd w:val="clear" w:color="auto" w:fill="auto"/>
            <w:noWrap/>
            <w:vAlign w:val="bottom"/>
            <w:hideMark/>
          </w:tcPr>
          <w:p w14:paraId="05E4ABD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271" w:type="pct"/>
            <w:tcBorders>
              <w:top w:val="nil"/>
              <w:left w:val="nil"/>
              <w:bottom w:val="single" w:sz="4" w:space="0" w:color="auto"/>
              <w:right w:val="single" w:sz="4" w:space="0" w:color="auto"/>
            </w:tcBorders>
            <w:shd w:val="clear" w:color="auto" w:fill="auto"/>
            <w:noWrap/>
            <w:vAlign w:val="bottom"/>
            <w:hideMark/>
          </w:tcPr>
          <w:p w14:paraId="30A112E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1" w:type="pct"/>
            <w:tcBorders>
              <w:top w:val="nil"/>
              <w:left w:val="nil"/>
              <w:bottom w:val="single" w:sz="4" w:space="0" w:color="auto"/>
              <w:right w:val="single" w:sz="4" w:space="0" w:color="auto"/>
            </w:tcBorders>
            <w:shd w:val="clear" w:color="auto" w:fill="auto"/>
            <w:noWrap/>
            <w:vAlign w:val="bottom"/>
            <w:hideMark/>
          </w:tcPr>
          <w:p w14:paraId="2E5ED97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1" w:type="pct"/>
            <w:tcBorders>
              <w:top w:val="nil"/>
              <w:left w:val="nil"/>
              <w:bottom w:val="single" w:sz="4" w:space="0" w:color="auto"/>
              <w:right w:val="single" w:sz="4" w:space="0" w:color="auto"/>
            </w:tcBorders>
            <w:shd w:val="clear" w:color="auto" w:fill="auto"/>
            <w:noWrap/>
            <w:vAlign w:val="bottom"/>
            <w:hideMark/>
          </w:tcPr>
          <w:p w14:paraId="07C8C6B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1" w:type="pct"/>
            <w:tcBorders>
              <w:top w:val="nil"/>
              <w:left w:val="nil"/>
              <w:bottom w:val="single" w:sz="4" w:space="0" w:color="auto"/>
              <w:right w:val="single" w:sz="4" w:space="0" w:color="auto"/>
            </w:tcBorders>
            <w:shd w:val="clear" w:color="auto" w:fill="auto"/>
            <w:noWrap/>
            <w:vAlign w:val="bottom"/>
            <w:hideMark/>
          </w:tcPr>
          <w:p w14:paraId="3C7C9F0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3" w:type="pct"/>
            <w:tcBorders>
              <w:top w:val="nil"/>
              <w:left w:val="nil"/>
              <w:bottom w:val="single" w:sz="4" w:space="0" w:color="auto"/>
              <w:right w:val="single" w:sz="4" w:space="0" w:color="auto"/>
            </w:tcBorders>
            <w:shd w:val="clear" w:color="auto" w:fill="auto"/>
            <w:noWrap/>
            <w:vAlign w:val="bottom"/>
            <w:hideMark/>
          </w:tcPr>
          <w:p w14:paraId="13ED474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10D52F9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r>
      <w:tr w:rsidR="00D60D2E" w:rsidRPr="00D60D2E" w14:paraId="26F56E9A" w14:textId="77777777" w:rsidTr="00D60D2E">
        <w:trPr>
          <w:trHeight w:val="288"/>
        </w:trPr>
        <w:tc>
          <w:tcPr>
            <w:tcW w:w="1026" w:type="pct"/>
            <w:tcBorders>
              <w:top w:val="nil"/>
              <w:left w:val="single" w:sz="8" w:space="0" w:color="auto"/>
              <w:bottom w:val="single" w:sz="4" w:space="0" w:color="auto"/>
              <w:right w:val="single" w:sz="4" w:space="0" w:color="auto"/>
            </w:tcBorders>
            <w:shd w:val="clear" w:color="auto" w:fill="auto"/>
            <w:noWrap/>
            <w:vAlign w:val="bottom"/>
            <w:hideMark/>
          </w:tcPr>
          <w:p w14:paraId="3CB6011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Mantenimiento Recurrente</w:t>
            </w:r>
          </w:p>
        </w:tc>
        <w:tc>
          <w:tcPr>
            <w:tcW w:w="316" w:type="pct"/>
            <w:tcBorders>
              <w:top w:val="nil"/>
              <w:left w:val="nil"/>
              <w:bottom w:val="single" w:sz="4" w:space="0" w:color="auto"/>
              <w:right w:val="single" w:sz="4" w:space="0" w:color="auto"/>
            </w:tcBorders>
            <w:shd w:val="clear" w:color="auto" w:fill="auto"/>
            <w:noWrap/>
            <w:vAlign w:val="bottom"/>
            <w:hideMark/>
          </w:tcPr>
          <w:p w14:paraId="2D54C7B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287DA03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7677A8A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678D1C1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2B7BF5C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4D908F1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bottom"/>
            <w:hideMark/>
          </w:tcPr>
          <w:p w14:paraId="3DCE16E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bottom"/>
            <w:hideMark/>
          </w:tcPr>
          <w:p w14:paraId="2650B86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270" w:type="pct"/>
            <w:tcBorders>
              <w:top w:val="nil"/>
              <w:left w:val="nil"/>
              <w:bottom w:val="single" w:sz="4" w:space="0" w:color="auto"/>
              <w:right w:val="single" w:sz="4" w:space="0" w:color="auto"/>
            </w:tcBorders>
            <w:shd w:val="clear" w:color="auto" w:fill="auto"/>
            <w:noWrap/>
            <w:vAlign w:val="bottom"/>
            <w:hideMark/>
          </w:tcPr>
          <w:p w14:paraId="01BF8BF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27.400,00 </w:t>
            </w:r>
          </w:p>
        </w:tc>
        <w:tc>
          <w:tcPr>
            <w:tcW w:w="271" w:type="pct"/>
            <w:tcBorders>
              <w:top w:val="nil"/>
              <w:left w:val="nil"/>
              <w:bottom w:val="single" w:sz="4" w:space="0" w:color="auto"/>
              <w:right w:val="single" w:sz="4" w:space="0" w:color="auto"/>
            </w:tcBorders>
            <w:shd w:val="clear" w:color="auto" w:fill="auto"/>
            <w:noWrap/>
            <w:vAlign w:val="bottom"/>
            <w:hideMark/>
          </w:tcPr>
          <w:p w14:paraId="2C68FA7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1" w:type="pct"/>
            <w:tcBorders>
              <w:top w:val="nil"/>
              <w:left w:val="nil"/>
              <w:bottom w:val="single" w:sz="4" w:space="0" w:color="auto"/>
              <w:right w:val="single" w:sz="4" w:space="0" w:color="auto"/>
            </w:tcBorders>
            <w:shd w:val="clear" w:color="auto" w:fill="auto"/>
            <w:noWrap/>
            <w:vAlign w:val="bottom"/>
            <w:hideMark/>
          </w:tcPr>
          <w:p w14:paraId="525E680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1" w:type="pct"/>
            <w:tcBorders>
              <w:top w:val="nil"/>
              <w:left w:val="nil"/>
              <w:bottom w:val="single" w:sz="4" w:space="0" w:color="auto"/>
              <w:right w:val="single" w:sz="4" w:space="0" w:color="auto"/>
            </w:tcBorders>
            <w:shd w:val="clear" w:color="auto" w:fill="auto"/>
            <w:noWrap/>
            <w:vAlign w:val="bottom"/>
            <w:hideMark/>
          </w:tcPr>
          <w:p w14:paraId="0AC8A9A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1" w:type="pct"/>
            <w:tcBorders>
              <w:top w:val="nil"/>
              <w:left w:val="nil"/>
              <w:bottom w:val="single" w:sz="4" w:space="0" w:color="auto"/>
              <w:right w:val="single" w:sz="4" w:space="0" w:color="auto"/>
            </w:tcBorders>
            <w:shd w:val="clear" w:color="auto" w:fill="auto"/>
            <w:noWrap/>
            <w:vAlign w:val="bottom"/>
            <w:hideMark/>
          </w:tcPr>
          <w:p w14:paraId="4F20795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227.400,00 </w:t>
            </w:r>
          </w:p>
        </w:tc>
        <w:tc>
          <w:tcPr>
            <w:tcW w:w="273" w:type="pct"/>
            <w:tcBorders>
              <w:top w:val="nil"/>
              <w:left w:val="nil"/>
              <w:bottom w:val="single" w:sz="4" w:space="0" w:color="auto"/>
              <w:right w:val="single" w:sz="4" w:space="0" w:color="auto"/>
            </w:tcBorders>
            <w:shd w:val="clear" w:color="auto" w:fill="auto"/>
            <w:noWrap/>
            <w:vAlign w:val="bottom"/>
            <w:hideMark/>
          </w:tcPr>
          <w:p w14:paraId="2BDB5E5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19BDF1E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r>
      <w:tr w:rsidR="00D60D2E" w:rsidRPr="00D60D2E" w14:paraId="77A7AAC3" w14:textId="77777777" w:rsidTr="00D60D2E">
        <w:trPr>
          <w:trHeight w:val="63"/>
        </w:trPr>
        <w:tc>
          <w:tcPr>
            <w:tcW w:w="1026" w:type="pct"/>
            <w:tcBorders>
              <w:top w:val="nil"/>
              <w:left w:val="single" w:sz="8" w:space="0" w:color="auto"/>
              <w:bottom w:val="single" w:sz="8" w:space="0" w:color="auto"/>
              <w:right w:val="single" w:sz="4" w:space="0" w:color="auto"/>
            </w:tcBorders>
            <w:shd w:val="clear" w:color="auto" w:fill="auto"/>
            <w:noWrap/>
            <w:vAlign w:val="bottom"/>
            <w:hideMark/>
          </w:tcPr>
          <w:p w14:paraId="30A0DB5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316" w:type="pct"/>
            <w:tcBorders>
              <w:top w:val="nil"/>
              <w:left w:val="nil"/>
              <w:bottom w:val="single" w:sz="8" w:space="0" w:color="auto"/>
              <w:right w:val="single" w:sz="4" w:space="0" w:color="auto"/>
            </w:tcBorders>
            <w:shd w:val="clear" w:color="auto" w:fill="auto"/>
            <w:noWrap/>
            <w:vAlign w:val="bottom"/>
            <w:hideMark/>
          </w:tcPr>
          <w:p w14:paraId="260A964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38" w:type="pct"/>
            <w:tcBorders>
              <w:top w:val="nil"/>
              <w:left w:val="nil"/>
              <w:bottom w:val="single" w:sz="8" w:space="0" w:color="auto"/>
              <w:right w:val="single" w:sz="4" w:space="0" w:color="auto"/>
            </w:tcBorders>
            <w:shd w:val="clear" w:color="auto" w:fill="auto"/>
            <w:noWrap/>
            <w:vAlign w:val="bottom"/>
            <w:hideMark/>
          </w:tcPr>
          <w:p w14:paraId="7F350D0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8" w:space="0" w:color="auto"/>
              <w:right w:val="single" w:sz="4" w:space="0" w:color="auto"/>
            </w:tcBorders>
            <w:shd w:val="clear" w:color="auto" w:fill="auto"/>
            <w:noWrap/>
            <w:vAlign w:val="bottom"/>
            <w:hideMark/>
          </w:tcPr>
          <w:p w14:paraId="31424F9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8" w:space="0" w:color="auto"/>
              <w:right w:val="single" w:sz="4" w:space="0" w:color="auto"/>
            </w:tcBorders>
            <w:shd w:val="clear" w:color="auto" w:fill="auto"/>
            <w:noWrap/>
            <w:vAlign w:val="bottom"/>
            <w:hideMark/>
          </w:tcPr>
          <w:p w14:paraId="57F5142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8" w:space="0" w:color="auto"/>
              <w:right w:val="single" w:sz="4" w:space="0" w:color="auto"/>
            </w:tcBorders>
            <w:shd w:val="clear" w:color="auto" w:fill="auto"/>
            <w:noWrap/>
            <w:vAlign w:val="bottom"/>
            <w:hideMark/>
          </w:tcPr>
          <w:p w14:paraId="7013C98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8" w:space="0" w:color="auto"/>
              <w:right w:val="single" w:sz="4" w:space="0" w:color="auto"/>
            </w:tcBorders>
            <w:shd w:val="clear" w:color="auto" w:fill="auto"/>
            <w:noWrap/>
            <w:vAlign w:val="bottom"/>
            <w:hideMark/>
          </w:tcPr>
          <w:p w14:paraId="42272F5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9" w:type="pct"/>
            <w:tcBorders>
              <w:top w:val="nil"/>
              <w:left w:val="nil"/>
              <w:bottom w:val="single" w:sz="8" w:space="0" w:color="auto"/>
              <w:right w:val="single" w:sz="4" w:space="0" w:color="auto"/>
            </w:tcBorders>
            <w:shd w:val="clear" w:color="auto" w:fill="auto"/>
            <w:noWrap/>
            <w:vAlign w:val="bottom"/>
            <w:hideMark/>
          </w:tcPr>
          <w:p w14:paraId="744EDFD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69" w:type="pct"/>
            <w:tcBorders>
              <w:top w:val="nil"/>
              <w:left w:val="nil"/>
              <w:bottom w:val="single" w:sz="8" w:space="0" w:color="auto"/>
              <w:right w:val="single" w:sz="4" w:space="0" w:color="auto"/>
            </w:tcBorders>
            <w:shd w:val="clear" w:color="auto" w:fill="auto"/>
            <w:noWrap/>
            <w:vAlign w:val="bottom"/>
            <w:hideMark/>
          </w:tcPr>
          <w:p w14:paraId="10EEE5E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0" w:type="pct"/>
            <w:tcBorders>
              <w:top w:val="nil"/>
              <w:left w:val="nil"/>
              <w:bottom w:val="single" w:sz="8" w:space="0" w:color="auto"/>
              <w:right w:val="single" w:sz="4" w:space="0" w:color="auto"/>
            </w:tcBorders>
            <w:shd w:val="clear" w:color="auto" w:fill="auto"/>
            <w:noWrap/>
            <w:vAlign w:val="bottom"/>
            <w:hideMark/>
          </w:tcPr>
          <w:p w14:paraId="37F750E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25E749F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350C79D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3AAB1E6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51B9FB1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3" w:type="pct"/>
            <w:tcBorders>
              <w:top w:val="nil"/>
              <w:left w:val="nil"/>
              <w:bottom w:val="single" w:sz="8" w:space="0" w:color="auto"/>
              <w:right w:val="single" w:sz="4" w:space="0" w:color="auto"/>
            </w:tcBorders>
            <w:shd w:val="clear" w:color="auto" w:fill="auto"/>
            <w:noWrap/>
            <w:vAlign w:val="bottom"/>
            <w:hideMark/>
          </w:tcPr>
          <w:p w14:paraId="66E322A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8" w:space="0" w:color="auto"/>
              <w:right w:val="single" w:sz="4" w:space="0" w:color="auto"/>
            </w:tcBorders>
            <w:shd w:val="clear" w:color="auto" w:fill="auto"/>
            <w:noWrap/>
            <w:vAlign w:val="bottom"/>
            <w:hideMark/>
          </w:tcPr>
          <w:p w14:paraId="32B57DC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54B29D6C" w14:textId="77777777" w:rsidTr="00D60D2E">
        <w:trPr>
          <w:trHeight w:val="192"/>
        </w:trPr>
        <w:tc>
          <w:tcPr>
            <w:tcW w:w="1026" w:type="pct"/>
            <w:tcBorders>
              <w:top w:val="nil"/>
              <w:left w:val="single" w:sz="8" w:space="0" w:color="auto"/>
              <w:bottom w:val="single" w:sz="4" w:space="0" w:color="auto"/>
              <w:right w:val="single" w:sz="4" w:space="0" w:color="auto"/>
            </w:tcBorders>
            <w:shd w:val="clear" w:color="auto" w:fill="auto"/>
            <w:noWrap/>
            <w:vAlign w:val="bottom"/>
            <w:hideMark/>
          </w:tcPr>
          <w:p w14:paraId="764EE8C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Gastos Administrativos (detallar)</w:t>
            </w:r>
          </w:p>
        </w:tc>
        <w:tc>
          <w:tcPr>
            <w:tcW w:w="316" w:type="pct"/>
            <w:tcBorders>
              <w:top w:val="nil"/>
              <w:left w:val="nil"/>
              <w:bottom w:val="single" w:sz="4" w:space="0" w:color="auto"/>
              <w:right w:val="single" w:sz="4" w:space="0" w:color="auto"/>
            </w:tcBorders>
            <w:shd w:val="clear" w:color="auto" w:fill="auto"/>
            <w:noWrap/>
            <w:vAlign w:val="bottom"/>
            <w:hideMark/>
          </w:tcPr>
          <w:p w14:paraId="4C44464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38" w:type="pct"/>
            <w:tcBorders>
              <w:top w:val="nil"/>
              <w:left w:val="nil"/>
              <w:bottom w:val="single" w:sz="4" w:space="0" w:color="auto"/>
              <w:right w:val="single" w:sz="4" w:space="0" w:color="auto"/>
            </w:tcBorders>
            <w:shd w:val="clear" w:color="auto" w:fill="auto"/>
            <w:noWrap/>
            <w:vAlign w:val="bottom"/>
            <w:hideMark/>
          </w:tcPr>
          <w:p w14:paraId="7249BA2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1176931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0CF623E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59CB945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720644B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9" w:type="pct"/>
            <w:tcBorders>
              <w:top w:val="nil"/>
              <w:left w:val="nil"/>
              <w:bottom w:val="single" w:sz="4" w:space="0" w:color="auto"/>
              <w:right w:val="single" w:sz="4" w:space="0" w:color="auto"/>
            </w:tcBorders>
            <w:shd w:val="clear" w:color="auto" w:fill="auto"/>
            <w:noWrap/>
            <w:vAlign w:val="bottom"/>
            <w:hideMark/>
          </w:tcPr>
          <w:p w14:paraId="7585FC8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bottom"/>
            <w:hideMark/>
          </w:tcPr>
          <w:p w14:paraId="3036037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0" w:type="pct"/>
            <w:tcBorders>
              <w:top w:val="nil"/>
              <w:left w:val="nil"/>
              <w:bottom w:val="single" w:sz="4" w:space="0" w:color="auto"/>
              <w:right w:val="single" w:sz="4" w:space="0" w:color="auto"/>
            </w:tcBorders>
            <w:shd w:val="clear" w:color="auto" w:fill="auto"/>
            <w:noWrap/>
            <w:vAlign w:val="bottom"/>
            <w:hideMark/>
          </w:tcPr>
          <w:p w14:paraId="2330A5A8"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1" w:type="pct"/>
            <w:tcBorders>
              <w:top w:val="nil"/>
              <w:left w:val="nil"/>
              <w:bottom w:val="single" w:sz="4" w:space="0" w:color="auto"/>
              <w:right w:val="single" w:sz="4" w:space="0" w:color="auto"/>
            </w:tcBorders>
            <w:shd w:val="clear" w:color="auto" w:fill="auto"/>
            <w:noWrap/>
            <w:vAlign w:val="bottom"/>
            <w:hideMark/>
          </w:tcPr>
          <w:p w14:paraId="1C4FF04E"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71" w:type="pct"/>
            <w:tcBorders>
              <w:top w:val="nil"/>
              <w:left w:val="nil"/>
              <w:bottom w:val="single" w:sz="4" w:space="0" w:color="auto"/>
              <w:right w:val="single" w:sz="4" w:space="0" w:color="auto"/>
            </w:tcBorders>
            <w:shd w:val="clear" w:color="auto" w:fill="auto"/>
            <w:noWrap/>
            <w:vAlign w:val="bottom"/>
            <w:hideMark/>
          </w:tcPr>
          <w:p w14:paraId="41C2A4B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6337070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5114A67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20436C7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57" w:type="pct"/>
            <w:tcBorders>
              <w:top w:val="nil"/>
              <w:left w:val="nil"/>
              <w:bottom w:val="single" w:sz="4" w:space="0" w:color="auto"/>
              <w:right w:val="single" w:sz="4" w:space="0" w:color="auto"/>
            </w:tcBorders>
            <w:shd w:val="clear" w:color="auto" w:fill="auto"/>
            <w:noWrap/>
            <w:vAlign w:val="bottom"/>
            <w:hideMark/>
          </w:tcPr>
          <w:p w14:paraId="55A5CCE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1E42512D" w14:textId="77777777" w:rsidTr="00D60D2E">
        <w:trPr>
          <w:trHeight w:val="164"/>
        </w:trPr>
        <w:tc>
          <w:tcPr>
            <w:tcW w:w="1026" w:type="pct"/>
            <w:tcBorders>
              <w:top w:val="nil"/>
              <w:left w:val="single" w:sz="8" w:space="0" w:color="auto"/>
              <w:bottom w:val="single" w:sz="4" w:space="0" w:color="auto"/>
              <w:right w:val="single" w:sz="4" w:space="0" w:color="auto"/>
            </w:tcBorders>
            <w:shd w:val="clear" w:color="auto" w:fill="auto"/>
            <w:noWrap/>
            <w:vAlign w:val="bottom"/>
            <w:hideMark/>
          </w:tcPr>
          <w:p w14:paraId="634E1A7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316" w:type="pct"/>
            <w:tcBorders>
              <w:top w:val="nil"/>
              <w:left w:val="nil"/>
              <w:bottom w:val="single" w:sz="4" w:space="0" w:color="auto"/>
              <w:right w:val="single" w:sz="4" w:space="0" w:color="auto"/>
            </w:tcBorders>
            <w:shd w:val="clear" w:color="auto" w:fill="auto"/>
            <w:noWrap/>
            <w:vAlign w:val="bottom"/>
            <w:hideMark/>
          </w:tcPr>
          <w:p w14:paraId="465A261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38" w:type="pct"/>
            <w:tcBorders>
              <w:top w:val="nil"/>
              <w:left w:val="nil"/>
              <w:bottom w:val="single" w:sz="4" w:space="0" w:color="auto"/>
              <w:right w:val="single" w:sz="4" w:space="0" w:color="auto"/>
            </w:tcBorders>
            <w:shd w:val="clear" w:color="auto" w:fill="auto"/>
            <w:noWrap/>
            <w:vAlign w:val="bottom"/>
            <w:hideMark/>
          </w:tcPr>
          <w:p w14:paraId="0B74188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4" w:space="0" w:color="auto"/>
              <w:right w:val="single" w:sz="4" w:space="0" w:color="auto"/>
            </w:tcBorders>
            <w:shd w:val="clear" w:color="auto" w:fill="auto"/>
            <w:noWrap/>
            <w:vAlign w:val="bottom"/>
            <w:hideMark/>
          </w:tcPr>
          <w:p w14:paraId="7FDE84A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1694EE8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xml:space="preserve">                     -   </w:t>
            </w:r>
          </w:p>
        </w:tc>
        <w:tc>
          <w:tcPr>
            <w:tcW w:w="243" w:type="pct"/>
            <w:tcBorders>
              <w:top w:val="nil"/>
              <w:left w:val="nil"/>
              <w:bottom w:val="single" w:sz="4" w:space="0" w:color="auto"/>
              <w:right w:val="single" w:sz="4" w:space="0" w:color="auto"/>
            </w:tcBorders>
            <w:shd w:val="clear" w:color="auto" w:fill="auto"/>
            <w:noWrap/>
            <w:vAlign w:val="bottom"/>
            <w:hideMark/>
          </w:tcPr>
          <w:p w14:paraId="6A8FEA3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2E182D4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9" w:type="pct"/>
            <w:tcBorders>
              <w:top w:val="nil"/>
              <w:left w:val="nil"/>
              <w:bottom w:val="single" w:sz="4" w:space="0" w:color="auto"/>
              <w:right w:val="single" w:sz="4" w:space="0" w:color="auto"/>
            </w:tcBorders>
            <w:shd w:val="clear" w:color="auto" w:fill="auto"/>
            <w:noWrap/>
            <w:vAlign w:val="bottom"/>
            <w:hideMark/>
          </w:tcPr>
          <w:p w14:paraId="708D973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69" w:type="pct"/>
            <w:tcBorders>
              <w:top w:val="nil"/>
              <w:left w:val="nil"/>
              <w:bottom w:val="single" w:sz="4" w:space="0" w:color="auto"/>
              <w:right w:val="single" w:sz="4" w:space="0" w:color="auto"/>
            </w:tcBorders>
            <w:shd w:val="clear" w:color="auto" w:fill="auto"/>
            <w:noWrap/>
            <w:vAlign w:val="bottom"/>
            <w:hideMark/>
          </w:tcPr>
          <w:p w14:paraId="02F003F0"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0" w:type="pct"/>
            <w:tcBorders>
              <w:top w:val="nil"/>
              <w:left w:val="nil"/>
              <w:bottom w:val="single" w:sz="4" w:space="0" w:color="auto"/>
              <w:right w:val="single" w:sz="4" w:space="0" w:color="auto"/>
            </w:tcBorders>
            <w:shd w:val="clear" w:color="auto" w:fill="auto"/>
            <w:noWrap/>
            <w:vAlign w:val="bottom"/>
            <w:hideMark/>
          </w:tcPr>
          <w:p w14:paraId="4CD3BC9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71F5F13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033413C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7FE7FE6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14:paraId="021897D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3" w:type="pct"/>
            <w:tcBorders>
              <w:top w:val="nil"/>
              <w:left w:val="nil"/>
              <w:bottom w:val="single" w:sz="4" w:space="0" w:color="auto"/>
              <w:right w:val="single" w:sz="4" w:space="0" w:color="auto"/>
            </w:tcBorders>
            <w:shd w:val="clear" w:color="auto" w:fill="auto"/>
            <w:noWrap/>
            <w:vAlign w:val="bottom"/>
            <w:hideMark/>
          </w:tcPr>
          <w:p w14:paraId="0485971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4" w:space="0" w:color="auto"/>
              <w:right w:val="single" w:sz="4" w:space="0" w:color="auto"/>
            </w:tcBorders>
            <w:shd w:val="clear" w:color="auto" w:fill="auto"/>
            <w:noWrap/>
            <w:vAlign w:val="bottom"/>
            <w:hideMark/>
          </w:tcPr>
          <w:p w14:paraId="1401A5CC"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19BB6FE4" w14:textId="77777777" w:rsidTr="00D60D2E">
        <w:trPr>
          <w:trHeight w:val="140"/>
        </w:trPr>
        <w:tc>
          <w:tcPr>
            <w:tcW w:w="1026" w:type="pct"/>
            <w:tcBorders>
              <w:top w:val="nil"/>
              <w:left w:val="single" w:sz="8" w:space="0" w:color="auto"/>
              <w:bottom w:val="single" w:sz="8" w:space="0" w:color="auto"/>
              <w:right w:val="single" w:sz="4" w:space="0" w:color="auto"/>
            </w:tcBorders>
            <w:shd w:val="clear" w:color="auto" w:fill="auto"/>
            <w:noWrap/>
            <w:vAlign w:val="bottom"/>
            <w:hideMark/>
          </w:tcPr>
          <w:p w14:paraId="71310047"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detalle …</w:t>
            </w:r>
          </w:p>
        </w:tc>
        <w:tc>
          <w:tcPr>
            <w:tcW w:w="316" w:type="pct"/>
            <w:tcBorders>
              <w:top w:val="nil"/>
              <w:left w:val="nil"/>
              <w:bottom w:val="single" w:sz="8" w:space="0" w:color="auto"/>
              <w:right w:val="single" w:sz="4" w:space="0" w:color="auto"/>
            </w:tcBorders>
            <w:shd w:val="clear" w:color="auto" w:fill="auto"/>
            <w:noWrap/>
            <w:vAlign w:val="bottom"/>
            <w:hideMark/>
          </w:tcPr>
          <w:p w14:paraId="7FE48C9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38" w:type="pct"/>
            <w:tcBorders>
              <w:top w:val="nil"/>
              <w:left w:val="nil"/>
              <w:bottom w:val="single" w:sz="8" w:space="0" w:color="auto"/>
              <w:right w:val="single" w:sz="4" w:space="0" w:color="auto"/>
            </w:tcBorders>
            <w:shd w:val="clear" w:color="auto" w:fill="auto"/>
            <w:noWrap/>
            <w:vAlign w:val="bottom"/>
            <w:hideMark/>
          </w:tcPr>
          <w:p w14:paraId="7DF1F7D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8" w:space="0" w:color="auto"/>
              <w:right w:val="single" w:sz="4" w:space="0" w:color="auto"/>
            </w:tcBorders>
            <w:shd w:val="clear" w:color="auto" w:fill="auto"/>
            <w:noWrap/>
            <w:vAlign w:val="bottom"/>
            <w:hideMark/>
          </w:tcPr>
          <w:p w14:paraId="46BDA023"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8" w:space="0" w:color="auto"/>
              <w:right w:val="single" w:sz="4" w:space="0" w:color="auto"/>
            </w:tcBorders>
            <w:shd w:val="clear" w:color="auto" w:fill="auto"/>
            <w:noWrap/>
            <w:vAlign w:val="bottom"/>
            <w:hideMark/>
          </w:tcPr>
          <w:p w14:paraId="73B53EFF"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43" w:type="pct"/>
            <w:tcBorders>
              <w:top w:val="nil"/>
              <w:left w:val="nil"/>
              <w:bottom w:val="single" w:sz="8" w:space="0" w:color="auto"/>
              <w:right w:val="single" w:sz="4" w:space="0" w:color="auto"/>
            </w:tcBorders>
            <w:shd w:val="clear" w:color="auto" w:fill="auto"/>
            <w:noWrap/>
            <w:vAlign w:val="bottom"/>
            <w:hideMark/>
          </w:tcPr>
          <w:p w14:paraId="0B3EA624"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8" w:space="0" w:color="auto"/>
              <w:right w:val="single" w:sz="4" w:space="0" w:color="auto"/>
            </w:tcBorders>
            <w:shd w:val="clear" w:color="auto" w:fill="auto"/>
            <w:noWrap/>
            <w:vAlign w:val="bottom"/>
            <w:hideMark/>
          </w:tcPr>
          <w:p w14:paraId="7D785CF6"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9" w:type="pct"/>
            <w:tcBorders>
              <w:top w:val="nil"/>
              <w:left w:val="nil"/>
              <w:bottom w:val="single" w:sz="8" w:space="0" w:color="auto"/>
              <w:right w:val="single" w:sz="4" w:space="0" w:color="auto"/>
            </w:tcBorders>
            <w:shd w:val="clear" w:color="auto" w:fill="auto"/>
            <w:noWrap/>
            <w:vAlign w:val="bottom"/>
            <w:hideMark/>
          </w:tcPr>
          <w:p w14:paraId="0D9337D1"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69" w:type="pct"/>
            <w:tcBorders>
              <w:top w:val="nil"/>
              <w:left w:val="nil"/>
              <w:bottom w:val="single" w:sz="8" w:space="0" w:color="auto"/>
              <w:right w:val="single" w:sz="4" w:space="0" w:color="auto"/>
            </w:tcBorders>
            <w:shd w:val="clear" w:color="auto" w:fill="auto"/>
            <w:noWrap/>
            <w:vAlign w:val="bottom"/>
            <w:hideMark/>
          </w:tcPr>
          <w:p w14:paraId="63D0F68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0" w:type="pct"/>
            <w:tcBorders>
              <w:top w:val="nil"/>
              <w:left w:val="nil"/>
              <w:bottom w:val="single" w:sz="8" w:space="0" w:color="auto"/>
              <w:right w:val="single" w:sz="4" w:space="0" w:color="auto"/>
            </w:tcBorders>
            <w:shd w:val="clear" w:color="auto" w:fill="auto"/>
            <w:noWrap/>
            <w:vAlign w:val="bottom"/>
            <w:hideMark/>
          </w:tcPr>
          <w:p w14:paraId="628DD229"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75C44F2D"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071E5ADA"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3290071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1" w:type="pct"/>
            <w:tcBorders>
              <w:top w:val="nil"/>
              <w:left w:val="nil"/>
              <w:bottom w:val="single" w:sz="8" w:space="0" w:color="auto"/>
              <w:right w:val="single" w:sz="4" w:space="0" w:color="auto"/>
            </w:tcBorders>
            <w:shd w:val="clear" w:color="auto" w:fill="auto"/>
            <w:noWrap/>
            <w:vAlign w:val="bottom"/>
            <w:hideMark/>
          </w:tcPr>
          <w:p w14:paraId="5A6C78B5"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73" w:type="pct"/>
            <w:tcBorders>
              <w:top w:val="nil"/>
              <w:left w:val="nil"/>
              <w:bottom w:val="single" w:sz="8" w:space="0" w:color="auto"/>
              <w:right w:val="single" w:sz="4" w:space="0" w:color="auto"/>
            </w:tcBorders>
            <w:shd w:val="clear" w:color="auto" w:fill="auto"/>
            <w:noWrap/>
            <w:vAlign w:val="bottom"/>
            <w:hideMark/>
          </w:tcPr>
          <w:p w14:paraId="0E5FADEB"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c>
          <w:tcPr>
            <w:tcW w:w="257" w:type="pct"/>
            <w:tcBorders>
              <w:top w:val="nil"/>
              <w:left w:val="nil"/>
              <w:bottom w:val="single" w:sz="8" w:space="0" w:color="auto"/>
              <w:right w:val="single" w:sz="4" w:space="0" w:color="auto"/>
            </w:tcBorders>
            <w:shd w:val="clear" w:color="auto" w:fill="auto"/>
            <w:noWrap/>
            <w:vAlign w:val="bottom"/>
            <w:hideMark/>
          </w:tcPr>
          <w:p w14:paraId="079FD502" w14:textId="77777777" w:rsidR="00D60D2E" w:rsidRPr="00D60D2E" w:rsidRDefault="00D60D2E" w:rsidP="00D60D2E">
            <w:pPr>
              <w:spacing w:after="0" w:line="240" w:lineRule="auto"/>
              <w:rPr>
                <w:rFonts w:ascii="Calibri" w:eastAsia="Times New Roman" w:hAnsi="Calibri" w:cs="Calibri"/>
                <w:color w:val="000000"/>
                <w:sz w:val="12"/>
                <w:szCs w:val="12"/>
                <w:lang w:eastAsia="es-EC"/>
              </w:rPr>
            </w:pPr>
            <w:r w:rsidRPr="00D60D2E">
              <w:rPr>
                <w:rFonts w:ascii="Calibri" w:eastAsia="Times New Roman" w:hAnsi="Calibri" w:cs="Calibri"/>
                <w:color w:val="000000"/>
                <w:sz w:val="12"/>
                <w:szCs w:val="12"/>
                <w:lang w:eastAsia="es-EC"/>
              </w:rPr>
              <w:t> </w:t>
            </w:r>
          </w:p>
        </w:tc>
      </w:tr>
      <w:tr w:rsidR="00D60D2E" w:rsidRPr="00D60D2E" w14:paraId="354A9F9E" w14:textId="77777777" w:rsidTr="00D60D2E">
        <w:trPr>
          <w:trHeight w:val="300"/>
        </w:trPr>
        <w:tc>
          <w:tcPr>
            <w:tcW w:w="1026" w:type="pct"/>
            <w:tcBorders>
              <w:top w:val="nil"/>
              <w:left w:val="single" w:sz="8" w:space="0" w:color="auto"/>
              <w:bottom w:val="single" w:sz="8" w:space="0" w:color="auto"/>
              <w:right w:val="nil"/>
            </w:tcBorders>
            <w:shd w:val="clear" w:color="auto" w:fill="auto"/>
            <w:noWrap/>
            <w:vAlign w:val="bottom"/>
            <w:hideMark/>
          </w:tcPr>
          <w:p w14:paraId="53246219"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FLUJO DE CAJA (a-b)</w:t>
            </w:r>
          </w:p>
        </w:tc>
        <w:tc>
          <w:tcPr>
            <w:tcW w:w="316" w:type="pct"/>
            <w:tcBorders>
              <w:top w:val="nil"/>
              <w:left w:val="nil"/>
              <w:bottom w:val="single" w:sz="8" w:space="0" w:color="auto"/>
              <w:right w:val="nil"/>
            </w:tcBorders>
            <w:shd w:val="clear" w:color="auto" w:fill="auto"/>
            <w:noWrap/>
            <w:vAlign w:val="bottom"/>
            <w:hideMark/>
          </w:tcPr>
          <w:p w14:paraId="35D42EBA" w14:textId="77777777" w:rsidR="00D60D2E" w:rsidRPr="00D60D2E" w:rsidRDefault="00D60D2E" w:rsidP="00D60D2E">
            <w:pPr>
              <w:spacing w:after="0" w:line="240" w:lineRule="auto"/>
              <w:rPr>
                <w:rFonts w:ascii="Calibri" w:eastAsia="Times New Roman" w:hAnsi="Calibri" w:cs="Calibri"/>
                <w:b/>
                <w:bCs/>
                <w:color w:val="FF6600"/>
                <w:sz w:val="12"/>
                <w:szCs w:val="12"/>
                <w:lang w:eastAsia="es-EC"/>
              </w:rPr>
            </w:pPr>
            <w:r w:rsidRPr="00D60D2E">
              <w:rPr>
                <w:rFonts w:ascii="Calibri" w:eastAsia="Times New Roman" w:hAnsi="Calibri" w:cs="Calibri"/>
                <w:b/>
                <w:bCs/>
                <w:color w:val="FF6600"/>
                <w:sz w:val="12"/>
                <w:szCs w:val="12"/>
                <w:lang w:eastAsia="es-EC"/>
              </w:rPr>
              <w:t xml:space="preserve">            (14.774,58)</w:t>
            </w:r>
          </w:p>
        </w:tc>
        <w:tc>
          <w:tcPr>
            <w:tcW w:w="238" w:type="pct"/>
            <w:tcBorders>
              <w:top w:val="nil"/>
              <w:left w:val="nil"/>
              <w:bottom w:val="single" w:sz="8" w:space="0" w:color="auto"/>
              <w:right w:val="nil"/>
            </w:tcBorders>
            <w:shd w:val="clear" w:color="auto" w:fill="auto"/>
            <w:noWrap/>
            <w:vAlign w:val="bottom"/>
            <w:hideMark/>
          </w:tcPr>
          <w:p w14:paraId="281160A6"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(263.644,43)</w:t>
            </w:r>
          </w:p>
        </w:tc>
        <w:tc>
          <w:tcPr>
            <w:tcW w:w="243" w:type="pct"/>
            <w:tcBorders>
              <w:top w:val="nil"/>
              <w:left w:val="nil"/>
              <w:bottom w:val="single" w:sz="8" w:space="0" w:color="auto"/>
              <w:right w:val="nil"/>
            </w:tcBorders>
            <w:shd w:val="clear" w:color="auto" w:fill="auto"/>
            <w:noWrap/>
            <w:vAlign w:val="bottom"/>
            <w:hideMark/>
          </w:tcPr>
          <w:p w14:paraId="3DB59A4B"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(621.140,14)</w:t>
            </w:r>
          </w:p>
        </w:tc>
        <w:tc>
          <w:tcPr>
            <w:tcW w:w="243" w:type="pct"/>
            <w:tcBorders>
              <w:top w:val="nil"/>
              <w:left w:val="nil"/>
              <w:bottom w:val="single" w:sz="8" w:space="0" w:color="auto"/>
              <w:right w:val="nil"/>
            </w:tcBorders>
            <w:shd w:val="clear" w:color="auto" w:fill="auto"/>
            <w:noWrap/>
            <w:vAlign w:val="bottom"/>
            <w:hideMark/>
          </w:tcPr>
          <w:p w14:paraId="7AED0EDA"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(808.942,27)</w:t>
            </w:r>
          </w:p>
        </w:tc>
        <w:tc>
          <w:tcPr>
            <w:tcW w:w="243" w:type="pct"/>
            <w:tcBorders>
              <w:top w:val="nil"/>
              <w:left w:val="nil"/>
              <w:bottom w:val="single" w:sz="8" w:space="0" w:color="auto"/>
              <w:right w:val="nil"/>
            </w:tcBorders>
            <w:shd w:val="clear" w:color="auto" w:fill="auto"/>
            <w:noWrap/>
            <w:vAlign w:val="bottom"/>
            <w:hideMark/>
          </w:tcPr>
          <w:p w14:paraId="735FB8B4"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(527.411,16)</w:t>
            </w:r>
          </w:p>
        </w:tc>
        <w:tc>
          <w:tcPr>
            <w:tcW w:w="257" w:type="pct"/>
            <w:tcBorders>
              <w:top w:val="nil"/>
              <w:left w:val="nil"/>
              <w:bottom w:val="single" w:sz="8" w:space="0" w:color="auto"/>
              <w:right w:val="nil"/>
            </w:tcBorders>
            <w:shd w:val="clear" w:color="auto" w:fill="auto"/>
            <w:noWrap/>
            <w:vAlign w:val="bottom"/>
            <w:hideMark/>
          </w:tcPr>
          <w:p w14:paraId="3A3DC6CE"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(297.701,90)</w:t>
            </w:r>
          </w:p>
        </w:tc>
        <w:tc>
          <w:tcPr>
            <w:tcW w:w="279" w:type="pct"/>
            <w:tcBorders>
              <w:top w:val="nil"/>
              <w:left w:val="nil"/>
              <w:bottom w:val="single" w:sz="8" w:space="0" w:color="auto"/>
              <w:right w:val="nil"/>
            </w:tcBorders>
            <w:shd w:val="clear" w:color="auto" w:fill="auto"/>
            <w:noWrap/>
            <w:vAlign w:val="bottom"/>
            <w:hideMark/>
          </w:tcPr>
          <w:p w14:paraId="6F009896"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(2.030.270,83)</w:t>
            </w:r>
          </w:p>
        </w:tc>
        <w:tc>
          <w:tcPr>
            <w:tcW w:w="269" w:type="pct"/>
            <w:tcBorders>
              <w:top w:val="nil"/>
              <w:left w:val="nil"/>
              <w:bottom w:val="single" w:sz="8" w:space="0" w:color="auto"/>
              <w:right w:val="nil"/>
            </w:tcBorders>
            <w:shd w:val="clear" w:color="auto" w:fill="auto"/>
            <w:noWrap/>
            <w:vAlign w:val="bottom"/>
            <w:hideMark/>
          </w:tcPr>
          <w:p w14:paraId="04EAA4D6"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1.194.422,20 </w:t>
            </w:r>
          </w:p>
        </w:tc>
        <w:tc>
          <w:tcPr>
            <w:tcW w:w="270" w:type="pct"/>
            <w:tcBorders>
              <w:top w:val="nil"/>
              <w:left w:val="nil"/>
              <w:bottom w:val="single" w:sz="8" w:space="0" w:color="auto"/>
              <w:right w:val="nil"/>
            </w:tcBorders>
            <w:shd w:val="clear" w:color="auto" w:fill="auto"/>
            <w:noWrap/>
            <w:vAlign w:val="bottom"/>
            <w:hideMark/>
          </w:tcPr>
          <w:p w14:paraId="38C26069"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1.194.422,20 </w:t>
            </w:r>
          </w:p>
        </w:tc>
        <w:tc>
          <w:tcPr>
            <w:tcW w:w="271" w:type="pct"/>
            <w:tcBorders>
              <w:top w:val="nil"/>
              <w:left w:val="nil"/>
              <w:bottom w:val="single" w:sz="8" w:space="0" w:color="auto"/>
              <w:right w:val="nil"/>
            </w:tcBorders>
            <w:shd w:val="clear" w:color="auto" w:fill="auto"/>
            <w:noWrap/>
            <w:vAlign w:val="bottom"/>
            <w:hideMark/>
          </w:tcPr>
          <w:p w14:paraId="13F97E9A"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1.605.332,39 </w:t>
            </w:r>
          </w:p>
        </w:tc>
        <w:tc>
          <w:tcPr>
            <w:tcW w:w="271" w:type="pct"/>
            <w:tcBorders>
              <w:top w:val="nil"/>
              <w:left w:val="nil"/>
              <w:bottom w:val="single" w:sz="8" w:space="0" w:color="auto"/>
              <w:right w:val="nil"/>
            </w:tcBorders>
            <w:shd w:val="clear" w:color="auto" w:fill="auto"/>
            <w:noWrap/>
            <w:vAlign w:val="bottom"/>
            <w:hideMark/>
          </w:tcPr>
          <w:p w14:paraId="657AA758"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1.605.332,39 </w:t>
            </w:r>
          </w:p>
        </w:tc>
        <w:tc>
          <w:tcPr>
            <w:tcW w:w="271" w:type="pct"/>
            <w:tcBorders>
              <w:top w:val="nil"/>
              <w:left w:val="nil"/>
              <w:bottom w:val="single" w:sz="8" w:space="0" w:color="auto"/>
              <w:right w:val="nil"/>
            </w:tcBorders>
            <w:shd w:val="clear" w:color="auto" w:fill="auto"/>
            <w:noWrap/>
            <w:vAlign w:val="bottom"/>
            <w:hideMark/>
          </w:tcPr>
          <w:p w14:paraId="2D72CD29"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1.605.332,39 </w:t>
            </w:r>
          </w:p>
        </w:tc>
        <w:tc>
          <w:tcPr>
            <w:tcW w:w="271" w:type="pct"/>
            <w:tcBorders>
              <w:top w:val="nil"/>
              <w:left w:val="nil"/>
              <w:bottom w:val="single" w:sz="8" w:space="0" w:color="auto"/>
              <w:right w:val="nil"/>
            </w:tcBorders>
            <w:shd w:val="clear" w:color="auto" w:fill="auto"/>
            <w:noWrap/>
            <w:vAlign w:val="bottom"/>
            <w:hideMark/>
          </w:tcPr>
          <w:p w14:paraId="283570D8"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1.605.332,39 </w:t>
            </w:r>
          </w:p>
        </w:tc>
        <w:tc>
          <w:tcPr>
            <w:tcW w:w="273" w:type="pct"/>
            <w:tcBorders>
              <w:top w:val="nil"/>
              <w:left w:val="nil"/>
              <w:bottom w:val="single" w:sz="8" w:space="0" w:color="auto"/>
              <w:right w:val="nil"/>
            </w:tcBorders>
            <w:shd w:val="clear" w:color="auto" w:fill="auto"/>
            <w:noWrap/>
            <w:vAlign w:val="bottom"/>
            <w:hideMark/>
          </w:tcPr>
          <w:p w14:paraId="2536C4DE"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1.832.732,39 </w:t>
            </w:r>
          </w:p>
        </w:tc>
        <w:tc>
          <w:tcPr>
            <w:tcW w:w="257" w:type="pct"/>
            <w:tcBorders>
              <w:top w:val="nil"/>
              <w:left w:val="nil"/>
              <w:bottom w:val="single" w:sz="8" w:space="0" w:color="auto"/>
              <w:right w:val="nil"/>
            </w:tcBorders>
            <w:shd w:val="clear" w:color="auto" w:fill="auto"/>
            <w:noWrap/>
            <w:vAlign w:val="bottom"/>
            <w:hideMark/>
          </w:tcPr>
          <w:p w14:paraId="412B4D8B" w14:textId="77777777" w:rsidR="00D60D2E" w:rsidRPr="00D60D2E" w:rsidRDefault="00D60D2E" w:rsidP="00D60D2E">
            <w:pPr>
              <w:spacing w:after="0" w:line="240" w:lineRule="auto"/>
              <w:rPr>
                <w:rFonts w:ascii="Calibri" w:eastAsia="Times New Roman" w:hAnsi="Calibri" w:cs="Calibri"/>
                <w:b/>
                <w:bCs/>
                <w:color w:val="FF6600"/>
                <w:sz w:val="8"/>
                <w:szCs w:val="8"/>
                <w:lang w:eastAsia="es-EC"/>
              </w:rPr>
            </w:pPr>
            <w:r w:rsidRPr="00D60D2E">
              <w:rPr>
                <w:rFonts w:ascii="Calibri" w:eastAsia="Times New Roman" w:hAnsi="Calibri" w:cs="Calibri"/>
                <w:b/>
                <w:bCs/>
                <w:color w:val="FF6600"/>
                <w:sz w:val="8"/>
                <w:szCs w:val="8"/>
                <w:lang w:eastAsia="es-EC"/>
              </w:rPr>
              <w:t xml:space="preserve">    1.832.732,39 </w:t>
            </w:r>
          </w:p>
        </w:tc>
      </w:tr>
    </w:tbl>
    <w:p w14:paraId="0A76E2AB" w14:textId="77777777" w:rsidR="00D60D2E" w:rsidRDefault="00D60D2E" w:rsidP="0065022A">
      <w:pPr>
        <w:spacing w:after="0" w:line="360" w:lineRule="auto"/>
        <w:contextualSpacing/>
        <w:jc w:val="center"/>
        <w:rPr>
          <w:rFonts w:cstheme="minorHAnsi"/>
          <w:b/>
        </w:rPr>
      </w:pPr>
    </w:p>
    <w:p w14:paraId="4DA8B6AE" w14:textId="77777777" w:rsidR="007B3093" w:rsidRDefault="00000000">
      <w:pPr>
        <w:spacing w:after="0" w:line="360" w:lineRule="auto"/>
        <w:contextualSpacing/>
        <w:jc w:val="center"/>
        <w:rPr>
          <w:rFonts w:cstheme="minorHAnsi"/>
          <w:b/>
        </w:rPr>
      </w:pPr>
      <w:r>
        <w:rPr>
          <w:rFonts w:cstheme="minorHAnsi"/>
          <w:b/>
          <w:sz w:val="20"/>
        </w:rPr>
        <w:t>Elaboración:    EDG PROFIP PGE</w:t>
      </w:r>
    </w:p>
    <w:p w14:paraId="5C74FD09" w14:textId="77777777" w:rsidR="007B3093" w:rsidRDefault="007B3093">
      <w:pPr>
        <w:spacing w:after="0" w:line="360" w:lineRule="auto"/>
        <w:contextualSpacing/>
        <w:jc w:val="center"/>
        <w:rPr>
          <w:rFonts w:cstheme="minorHAnsi"/>
          <w:b/>
        </w:rPr>
        <w:sectPr w:rsidR="007B3093">
          <w:pgSz w:w="16838" w:h="11906" w:orient="landscape"/>
          <w:pgMar w:top="1701" w:right="1843" w:bottom="1701" w:left="1417" w:header="568" w:footer="708" w:gutter="0"/>
          <w:cols w:space="708"/>
          <w:docGrid w:linePitch="360"/>
        </w:sectPr>
      </w:pPr>
    </w:p>
    <w:p w14:paraId="0F1C3B95" w14:textId="77777777" w:rsidR="007B3093" w:rsidRDefault="00000000">
      <w:pPr>
        <w:pStyle w:val="Ttulo2"/>
        <w:numPr>
          <w:ilvl w:val="2"/>
          <w:numId w:val="24"/>
        </w:numPr>
        <w:spacing w:before="0" w:line="360" w:lineRule="auto"/>
        <w:ind w:left="851"/>
        <w:rPr>
          <w:rFonts w:asciiTheme="minorHAnsi" w:hAnsiTheme="minorHAnsi" w:cstheme="minorHAnsi"/>
          <w:b/>
          <w:color w:val="auto"/>
          <w:sz w:val="22"/>
          <w:szCs w:val="22"/>
        </w:rPr>
      </w:pPr>
      <w:bookmarkStart w:id="84" w:name="_Toc195010094"/>
      <w:r>
        <w:rPr>
          <w:rFonts w:asciiTheme="minorHAnsi" w:hAnsiTheme="minorHAnsi" w:cstheme="minorHAnsi"/>
          <w:b/>
          <w:color w:val="auto"/>
          <w:sz w:val="22"/>
          <w:szCs w:val="22"/>
        </w:rPr>
        <w:lastRenderedPageBreak/>
        <w:t>Indicadores económicos</w:t>
      </w:r>
      <w:bookmarkEnd w:id="84"/>
    </w:p>
    <w:p w14:paraId="49267987" w14:textId="77777777" w:rsidR="007B3093" w:rsidRDefault="00000000">
      <w:pPr>
        <w:pStyle w:val="Prrafodelista"/>
        <w:spacing w:before="120" w:after="120" w:line="360" w:lineRule="auto"/>
        <w:ind w:left="142"/>
        <w:contextualSpacing w:val="0"/>
        <w:jc w:val="both"/>
        <w:rPr>
          <w:rFonts w:cstheme="minorHAnsi"/>
        </w:rPr>
      </w:pPr>
      <w:r>
        <w:rPr>
          <w:rFonts w:cstheme="minorHAnsi"/>
        </w:rPr>
        <w:t>El resumen del cálculo de los parámetros de la evaluación económica del proyecto, se presentan a continuación:</w:t>
      </w:r>
    </w:p>
    <w:tbl>
      <w:tblPr>
        <w:tblW w:w="4775" w:type="dxa"/>
        <w:tblInd w:w="2405" w:type="dxa"/>
        <w:tblCellMar>
          <w:left w:w="70" w:type="dxa"/>
          <w:right w:w="70" w:type="dxa"/>
        </w:tblCellMar>
        <w:tblLook w:val="04A0" w:firstRow="1" w:lastRow="0" w:firstColumn="1" w:lastColumn="0" w:noHBand="0" w:noVBand="1"/>
      </w:tblPr>
      <w:tblGrid>
        <w:gridCol w:w="2552"/>
        <w:gridCol w:w="2223"/>
      </w:tblGrid>
      <w:tr w:rsidR="007B3093" w14:paraId="56F7DC89" w14:textId="77777777">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14:paraId="641104EF" w14:textId="77777777" w:rsidR="007B3093" w:rsidRDefault="00000000">
            <w:pPr>
              <w:spacing w:after="0" w:line="240" w:lineRule="auto"/>
              <w:rPr>
                <w:rFonts w:ascii="Calibri" w:eastAsia="Times New Roman" w:hAnsi="Calibri" w:cs="Calibri"/>
                <w:b/>
                <w:bCs/>
                <w:color w:val="F2F2F2" w:themeColor="background1" w:themeShade="F2"/>
                <w:lang w:eastAsia="es-EC"/>
              </w:rPr>
            </w:pPr>
            <w:r>
              <w:rPr>
                <w:rFonts w:ascii="Calibri" w:eastAsia="Times New Roman" w:hAnsi="Calibri" w:cs="Calibri"/>
                <w:b/>
                <w:bCs/>
                <w:color w:val="F2F2F2" w:themeColor="background1" w:themeShade="F2"/>
                <w:lang w:eastAsia="es-EC"/>
              </w:rPr>
              <w:t>Tasa de descuento</w:t>
            </w:r>
          </w:p>
        </w:tc>
        <w:tc>
          <w:tcPr>
            <w:tcW w:w="2223" w:type="dxa"/>
            <w:tcBorders>
              <w:top w:val="single" w:sz="4" w:space="0" w:color="auto"/>
              <w:left w:val="nil"/>
              <w:bottom w:val="single" w:sz="4" w:space="0" w:color="auto"/>
              <w:right w:val="single" w:sz="4" w:space="0" w:color="auto"/>
            </w:tcBorders>
            <w:shd w:val="clear" w:color="auto" w:fill="auto"/>
            <w:noWrap/>
            <w:vAlign w:val="bottom"/>
            <w:hideMark/>
          </w:tcPr>
          <w:p w14:paraId="7BF73D4E" w14:textId="77777777" w:rsidR="007B3093" w:rsidRDefault="00000000">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12,00%</w:t>
            </w:r>
          </w:p>
        </w:tc>
      </w:tr>
      <w:tr w:rsidR="007B3093" w14:paraId="61E93D72" w14:textId="77777777">
        <w:trPr>
          <w:trHeight w:val="288"/>
        </w:trPr>
        <w:tc>
          <w:tcPr>
            <w:tcW w:w="2552"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7DD44FB4" w14:textId="77777777" w:rsidR="007B3093" w:rsidRDefault="00000000">
            <w:pPr>
              <w:spacing w:after="0" w:line="240" w:lineRule="auto"/>
              <w:rPr>
                <w:rFonts w:ascii="Calibri" w:eastAsia="Times New Roman" w:hAnsi="Calibri" w:cs="Calibri"/>
                <w:b/>
                <w:bCs/>
                <w:color w:val="F2F2F2" w:themeColor="background1" w:themeShade="F2"/>
                <w:lang w:eastAsia="es-EC"/>
              </w:rPr>
            </w:pPr>
            <w:r>
              <w:rPr>
                <w:rFonts w:ascii="Calibri" w:eastAsia="Times New Roman" w:hAnsi="Calibri" w:cs="Calibri"/>
                <w:b/>
                <w:bCs/>
                <w:color w:val="F2F2F2" w:themeColor="background1" w:themeShade="F2"/>
                <w:lang w:eastAsia="es-EC"/>
              </w:rPr>
              <w:t>VAN</w:t>
            </w:r>
          </w:p>
        </w:tc>
        <w:tc>
          <w:tcPr>
            <w:tcW w:w="2223" w:type="dxa"/>
            <w:tcBorders>
              <w:top w:val="nil"/>
              <w:left w:val="nil"/>
              <w:bottom w:val="single" w:sz="4" w:space="0" w:color="auto"/>
              <w:right w:val="single" w:sz="4" w:space="0" w:color="auto"/>
            </w:tcBorders>
            <w:shd w:val="clear" w:color="auto" w:fill="auto"/>
            <w:noWrap/>
            <w:vAlign w:val="center"/>
            <w:hideMark/>
          </w:tcPr>
          <w:p w14:paraId="5502A7B9" w14:textId="77777777" w:rsidR="007B3093" w:rsidRDefault="00000000">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 xml:space="preserve">            933.216,51 </w:t>
            </w:r>
          </w:p>
        </w:tc>
      </w:tr>
      <w:tr w:rsidR="007B3093" w14:paraId="11B65037" w14:textId="77777777">
        <w:trPr>
          <w:trHeight w:val="288"/>
        </w:trPr>
        <w:tc>
          <w:tcPr>
            <w:tcW w:w="2552"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4BE72511" w14:textId="77777777" w:rsidR="007B3093" w:rsidRDefault="00000000">
            <w:pPr>
              <w:spacing w:after="0" w:line="240" w:lineRule="auto"/>
              <w:rPr>
                <w:rFonts w:ascii="Calibri" w:eastAsia="Times New Roman" w:hAnsi="Calibri" w:cs="Calibri"/>
                <w:b/>
                <w:bCs/>
                <w:color w:val="F2F2F2" w:themeColor="background1" w:themeShade="F2"/>
                <w:lang w:eastAsia="es-EC"/>
              </w:rPr>
            </w:pPr>
            <w:r>
              <w:rPr>
                <w:rFonts w:ascii="Calibri" w:eastAsia="Times New Roman" w:hAnsi="Calibri" w:cs="Calibri"/>
                <w:b/>
                <w:bCs/>
                <w:color w:val="F2F2F2" w:themeColor="background1" w:themeShade="F2"/>
                <w:lang w:eastAsia="es-EC"/>
              </w:rPr>
              <w:t>TIR</w:t>
            </w:r>
          </w:p>
        </w:tc>
        <w:tc>
          <w:tcPr>
            <w:tcW w:w="2223" w:type="dxa"/>
            <w:tcBorders>
              <w:top w:val="nil"/>
              <w:left w:val="nil"/>
              <w:bottom w:val="single" w:sz="4" w:space="0" w:color="auto"/>
              <w:right w:val="single" w:sz="4" w:space="0" w:color="auto"/>
            </w:tcBorders>
            <w:shd w:val="clear" w:color="auto" w:fill="auto"/>
            <w:noWrap/>
            <w:vAlign w:val="center"/>
            <w:hideMark/>
          </w:tcPr>
          <w:p w14:paraId="7D85D12B" w14:textId="77777777" w:rsidR="007B3093" w:rsidRDefault="00000000">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17,20%</w:t>
            </w:r>
          </w:p>
        </w:tc>
      </w:tr>
      <w:tr w:rsidR="007B3093" w14:paraId="3199D62F" w14:textId="77777777">
        <w:trPr>
          <w:trHeight w:val="288"/>
        </w:trPr>
        <w:tc>
          <w:tcPr>
            <w:tcW w:w="2552"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1A300F8C" w14:textId="77777777" w:rsidR="007B3093" w:rsidRDefault="00000000">
            <w:pPr>
              <w:spacing w:after="0" w:line="240" w:lineRule="auto"/>
              <w:rPr>
                <w:rFonts w:ascii="Calibri" w:eastAsia="Times New Roman" w:hAnsi="Calibri" w:cs="Calibri"/>
                <w:b/>
                <w:bCs/>
                <w:color w:val="F2F2F2" w:themeColor="background1" w:themeShade="F2"/>
                <w:lang w:eastAsia="es-EC"/>
              </w:rPr>
            </w:pPr>
            <w:r>
              <w:rPr>
                <w:rFonts w:ascii="Calibri" w:eastAsia="Times New Roman" w:hAnsi="Calibri" w:cs="Calibri"/>
                <w:b/>
                <w:bCs/>
                <w:color w:val="F2F2F2" w:themeColor="background1" w:themeShade="F2"/>
                <w:lang w:eastAsia="es-EC"/>
              </w:rPr>
              <w:t>B/C</w:t>
            </w:r>
          </w:p>
        </w:tc>
        <w:tc>
          <w:tcPr>
            <w:tcW w:w="2223" w:type="dxa"/>
            <w:tcBorders>
              <w:top w:val="nil"/>
              <w:left w:val="nil"/>
              <w:bottom w:val="single" w:sz="4" w:space="0" w:color="auto"/>
              <w:right w:val="single" w:sz="4" w:space="0" w:color="auto"/>
            </w:tcBorders>
            <w:shd w:val="clear" w:color="auto" w:fill="auto"/>
            <w:noWrap/>
            <w:vAlign w:val="center"/>
            <w:hideMark/>
          </w:tcPr>
          <w:p w14:paraId="40D11EDD" w14:textId="77777777" w:rsidR="007B3093" w:rsidRDefault="00000000">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1,16</w:t>
            </w:r>
          </w:p>
        </w:tc>
      </w:tr>
    </w:tbl>
    <w:p w14:paraId="75BA9101" w14:textId="77777777" w:rsidR="007B3093" w:rsidRDefault="00000000">
      <w:pPr>
        <w:spacing w:before="120" w:after="120" w:line="360" w:lineRule="auto"/>
        <w:ind w:left="1416" w:firstLine="708"/>
        <w:rPr>
          <w:rFonts w:cstheme="minorHAnsi"/>
          <w:b/>
          <w:sz w:val="20"/>
        </w:rPr>
      </w:pPr>
      <w:r>
        <w:rPr>
          <w:rFonts w:cstheme="minorHAnsi"/>
          <w:b/>
          <w:sz w:val="20"/>
          <w:lang w:val="es-MX"/>
        </w:rPr>
        <w:t xml:space="preserve">            E</w:t>
      </w:r>
      <w:proofErr w:type="spellStart"/>
      <w:r>
        <w:rPr>
          <w:rFonts w:cstheme="minorHAnsi"/>
          <w:b/>
          <w:sz w:val="20"/>
        </w:rPr>
        <w:t>laboración</w:t>
      </w:r>
      <w:proofErr w:type="spellEnd"/>
      <w:r>
        <w:rPr>
          <w:rFonts w:cstheme="minorHAnsi"/>
          <w:b/>
          <w:sz w:val="20"/>
        </w:rPr>
        <w:t>:   EDG PGE PROFIP</w:t>
      </w:r>
    </w:p>
    <w:p w14:paraId="1159BB97" w14:textId="77777777" w:rsidR="007B3093" w:rsidRDefault="007B3093">
      <w:pPr>
        <w:spacing w:before="120" w:after="120" w:line="360" w:lineRule="auto"/>
        <w:ind w:left="1416" w:firstLine="708"/>
        <w:rPr>
          <w:rFonts w:cstheme="minorHAnsi"/>
          <w:b/>
          <w:sz w:val="20"/>
        </w:rPr>
      </w:pPr>
    </w:p>
    <w:p w14:paraId="3A7E5CCF"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Es importante señalar que existen beneficios económicos adicionales que genera la implementación del presente proyecto, como la reducción del Riesgo Fiscal generado por las demandas al Estado ecuatoriano, sin embargo, no han sido cuantificadas para mantener indicadores económicos razonables. </w:t>
      </w:r>
    </w:p>
    <w:p w14:paraId="1CBB3995" w14:textId="77777777" w:rsidR="007B3093" w:rsidRDefault="007B3093">
      <w:pPr>
        <w:spacing w:after="0" w:line="360" w:lineRule="auto"/>
        <w:contextualSpacing/>
        <w:jc w:val="center"/>
        <w:rPr>
          <w:rFonts w:cstheme="minorHAnsi"/>
        </w:rPr>
      </w:pPr>
    </w:p>
    <w:p w14:paraId="559CCE70" w14:textId="77777777" w:rsidR="007B3093" w:rsidRDefault="00000000">
      <w:pPr>
        <w:pStyle w:val="Ttulo2"/>
        <w:numPr>
          <w:ilvl w:val="1"/>
          <w:numId w:val="24"/>
        </w:numPr>
        <w:spacing w:before="0" w:line="360" w:lineRule="auto"/>
        <w:ind w:left="284"/>
        <w:rPr>
          <w:rFonts w:asciiTheme="minorHAnsi" w:hAnsiTheme="minorHAnsi" w:cstheme="minorHAnsi"/>
          <w:b/>
          <w:color w:val="auto"/>
          <w:sz w:val="22"/>
          <w:szCs w:val="22"/>
        </w:rPr>
      </w:pPr>
      <w:bookmarkStart w:id="85" w:name="_Toc195010095"/>
      <w:r>
        <w:rPr>
          <w:rFonts w:asciiTheme="minorHAnsi" w:hAnsiTheme="minorHAnsi" w:cstheme="minorHAnsi"/>
          <w:b/>
          <w:color w:val="auto"/>
          <w:sz w:val="22"/>
          <w:szCs w:val="22"/>
        </w:rPr>
        <w:t>Viabilidad ambiental y sostenibilidad social</w:t>
      </w:r>
      <w:bookmarkEnd w:id="85"/>
    </w:p>
    <w:p w14:paraId="7BA87933" w14:textId="77777777" w:rsidR="007B3093" w:rsidRDefault="00000000">
      <w:pPr>
        <w:pStyle w:val="Ttulo2"/>
        <w:numPr>
          <w:ilvl w:val="2"/>
          <w:numId w:val="24"/>
        </w:numPr>
        <w:spacing w:before="120" w:line="360" w:lineRule="auto"/>
        <w:ind w:left="850"/>
        <w:rPr>
          <w:rFonts w:asciiTheme="minorHAnsi" w:hAnsiTheme="minorHAnsi" w:cstheme="minorHAnsi"/>
          <w:b/>
          <w:color w:val="auto"/>
          <w:sz w:val="22"/>
          <w:szCs w:val="22"/>
        </w:rPr>
      </w:pPr>
      <w:bookmarkStart w:id="86" w:name="_Toc195010096"/>
      <w:r>
        <w:rPr>
          <w:rFonts w:asciiTheme="minorHAnsi" w:hAnsiTheme="minorHAnsi" w:cstheme="minorHAnsi"/>
          <w:b/>
          <w:color w:val="auto"/>
          <w:sz w:val="22"/>
          <w:szCs w:val="22"/>
        </w:rPr>
        <w:t>Análisis de impacto ambiental y riesgos</w:t>
      </w:r>
      <w:bookmarkEnd w:id="86"/>
    </w:p>
    <w:p w14:paraId="093E838E"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La ejecución del proyecto en esta etapa no genera impactos negativos al ambiente, por cuanto el proyecto se enfoca al fortalecimiento institucional. La construcción de cualquier infraestructura nueva, cuya necesidad sea </w:t>
      </w:r>
      <w:r>
        <w:rPr>
          <w:rFonts w:eastAsia="Times New Roman" w:cstheme="minorHAnsi"/>
          <w:bCs/>
          <w:color w:val="000000"/>
          <w:lang w:eastAsia="es-EC"/>
        </w:rPr>
        <w:t>prevista</w:t>
      </w:r>
      <w:r>
        <w:rPr>
          <w:rFonts w:cstheme="minorHAnsi"/>
        </w:rPr>
        <w:t xml:space="preserve"> como resultado de los productos del proyecto, requerirá nuevo financiamiento en una nueva fase del proyecto o fuera de él.</w:t>
      </w:r>
    </w:p>
    <w:p w14:paraId="3E4992F6" w14:textId="77777777" w:rsidR="007B3093" w:rsidRDefault="00000000">
      <w:pPr>
        <w:pStyle w:val="Prrafodelista"/>
        <w:spacing w:before="120" w:after="120" w:line="360" w:lineRule="auto"/>
        <w:ind w:left="142"/>
        <w:contextualSpacing w:val="0"/>
        <w:jc w:val="both"/>
        <w:rPr>
          <w:rFonts w:cstheme="minorHAnsi"/>
        </w:rPr>
      </w:pPr>
      <w:r>
        <w:rPr>
          <w:rFonts w:cstheme="minorHAnsi"/>
        </w:rPr>
        <w:t>El 4,94% (USD 255.668,92) del proyecto se invertirá en readecuar los espacios de los centros de mediación, mientras que el 95,06% (USD 4.919.126,57) se invertirá tanto en consultoría, capacitación, adquisición de hardware, software y equipos de comunicación. Para las readecuaciones en los centros de mediación no requerirán de cambios en infraestructuras ni obra civil, que implique un impacto ambiental importante, sino principalmente, en readecuar espacios y adquisición de mueblería para una mayor comodidad de los usuarios de los centros, además como se muestra, la inversión a realizarse en este rubro es baja en relación con el total de la inversión en el Proyecto.</w:t>
      </w:r>
    </w:p>
    <w:p w14:paraId="2797BFEF" w14:textId="77777777" w:rsidR="007B3093" w:rsidRDefault="00000000">
      <w:pPr>
        <w:pStyle w:val="Ttulo2"/>
        <w:numPr>
          <w:ilvl w:val="2"/>
          <w:numId w:val="24"/>
        </w:numPr>
        <w:spacing w:before="0" w:line="360" w:lineRule="auto"/>
        <w:ind w:left="851"/>
        <w:rPr>
          <w:rFonts w:asciiTheme="minorHAnsi" w:hAnsiTheme="minorHAnsi" w:cstheme="minorHAnsi"/>
          <w:b/>
          <w:color w:val="auto"/>
          <w:sz w:val="22"/>
          <w:szCs w:val="22"/>
        </w:rPr>
      </w:pPr>
      <w:bookmarkStart w:id="87" w:name="_Toc195010097"/>
      <w:r>
        <w:rPr>
          <w:rFonts w:asciiTheme="minorHAnsi" w:hAnsiTheme="minorHAnsi" w:cstheme="minorHAnsi"/>
          <w:b/>
          <w:color w:val="auto"/>
          <w:sz w:val="22"/>
          <w:szCs w:val="22"/>
        </w:rPr>
        <w:t>Sostenibilidad social</w:t>
      </w:r>
      <w:bookmarkEnd w:id="87"/>
    </w:p>
    <w:p w14:paraId="03AB0221"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Como se estableció previamente, el papel de la Procuraduría General del Estado en sistema jurídico nacional (y por tanto su fortalecimiento institucional) tiene fundamental importancia, si se tiene en cuenta que dicho sistema jurídico afecta a las variables fundamentales para el </w:t>
      </w:r>
      <w:r>
        <w:rPr>
          <w:rFonts w:cstheme="minorHAnsi"/>
        </w:rPr>
        <w:lastRenderedPageBreak/>
        <w:t>crecimiento económico, y suministra un marco regulador en el que se desarrollan las actividades de las personas, instituciones y empresas.</w:t>
      </w:r>
    </w:p>
    <w:p w14:paraId="527D5858" w14:textId="77777777" w:rsidR="007B3093" w:rsidRDefault="00000000">
      <w:pPr>
        <w:pStyle w:val="Prrafodelista"/>
        <w:spacing w:before="120" w:after="120" w:line="360" w:lineRule="auto"/>
        <w:ind w:left="142"/>
        <w:contextualSpacing w:val="0"/>
        <w:jc w:val="both"/>
        <w:rPr>
          <w:rFonts w:eastAsia="Times New Roman" w:cstheme="minorHAnsi"/>
          <w:bCs/>
          <w:color w:val="000000"/>
          <w:lang w:eastAsia="es-EC"/>
        </w:rPr>
      </w:pPr>
      <w:r>
        <w:rPr>
          <w:rFonts w:cstheme="minorHAnsi"/>
        </w:rPr>
        <w:t>Como ha sido especificado en diversos apartados de este documento, el proyecto permitirá dinamizar los trámites judiciales de defensa del Estado y evitar el aumento de su generación con acciones directas en las instituciones estatales, lo que repercutirá</w:t>
      </w:r>
      <w:r>
        <w:rPr>
          <w:rFonts w:eastAsia="Times New Roman" w:cstheme="minorHAnsi"/>
          <w:bCs/>
          <w:color w:val="000000"/>
          <w:lang w:eastAsia="es-EC"/>
        </w:rPr>
        <w:t xml:space="preserve"> en la mejora de la gestión general de las instituciones públicas, incluyendo toda política e </w:t>
      </w:r>
      <w:r>
        <w:rPr>
          <w:rFonts w:cstheme="minorHAnsi"/>
        </w:rPr>
        <w:t>intervención</w:t>
      </w:r>
      <w:r>
        <w:rPr>
          <w:rFonts w:eastAsia="Times New Roman" w:cstheme="minorHAnsi"/>
          <w:bCs/>
          <w:color w:val="000000"/>
          <w:lang w:eastAsia="es-EC"/>
        </w:rPr>
        <w:t xml:space="preserve"> pública con enfoque de género, interculturalidad, que se dirige a grupos de etarios</w:t>
      </w:r>
      <w:r>
        <w:rPr>
          <w:rFonts w:cstheme="minorHAnsi"/>
        </w:rPr>
        <w:t xml:space="preserve"> </w:t>
      </w:r>
      <w:r>
        <w:rPr>
          <w:rFonts w:eastAsia="Times New Roman" w:cstheme="minorHAnsi"/>
          <w:bCs/>
          <w:color w:val="000000"/>
          <w:lang w:eastAsia="es-EC"/>
        </w:rPr>
        <w:t>y  que incluye participación ciudadana; además, claro está, también las que consideran la atención a los grupos de atención prioritaria.</w:t>
      </w:r>
    </w:p>
    <w:p w14:paraId="2DB31631" w14:textId="77777777" w:rsidR="007B3093" w:rsidRDefault="00000000">
      <w:pPr>
        <w:pStyle w:val="Prrafodelista"/>
        <w:spacing w:before="120" w:after="120" w:line="360" w:lineRule="auto"/>
        <w:ind w:left="142"/>
        <w:contextualSpacing w:val="0"/>
        <w:jc w:val="both"/>
        <w:rPr>
          <w:rFonts w:eastAsia="Times New Roman" w:cstheme="minorHAnsi"/>
          <w:bCs/>
          <w:color w:val="000000"/>
          <w:lang w:eastAsia="es-EC"/>
        </w:rPr>
      </w:pPr>
      <w:r>
        <w:rPr>
          <w:rFonts w:eastAsia="Times New Roman" w:cstheme="minorHAnsi"/>
          <w:bCs/>
          <w:color w:val="000000"/>
          <w:lang w:eastAsia="es-EC"/>
        </w:rPr>
        <w:t>Una vez finalizado el proyecto al 2025, la normativa del Ministerio de Economía y Finanzas plantea el traspaso de bienes a propiedad de la institución ejecutora del proyecto, por lo que se requerirá de mantenimiento y actualización los siguientes sistemas a optimizarse y desarrollarse:</w:t>
      </w:r>
    </w:p>
    <w:p w14:paraId="4A6710B2" w14:textId="77777777" w:rsidR="007B3093" w:rsidRDefault="00000000">
      <w:pPr>
        <w:pStyle w:val="Prrafodelista"/>
        <w:numPr>
          <w:ilvl w:val="1"/>
          <w:numId w:val="3"/>
        </w:numPr>
        <w:spacing w:before="120" w:after="120" w:line="360" w:lineRule="auto"/>
        <w:contextualSpacing w:val="0"/>
        <w:jc w:val="both"/>
        <w:rPr>
          <w:rFonts w:eastAsia="Times New Roman" w:cstheme="minorHAnsi"/>
          <w:bCs/>
          <w:color w:val="000000"/>
          <w:lang w:eastAsia="es-EC"/>
        </w:rPr>
      </w:pPr>
      <w:r>
        <w:rPr>
          <w:rFonts w:eastAsia="Times New Roman" w:cstheme="minorHAnsi"/>
          <w:bCs/>
          <w:color w:val="000000"/>
          <w:lang w:eastAsia="es-EC"/>
        </w:rPr>
        <w:t>Sistema Informático Integrado de Gestión Interna y procesos misionales e Inteligencia y Análisis de Datos.</w:t>
      </w:r>
    </w:p>
    <w:p w14:paraId="6EF84DA9" w14:textId="77777777" w:rsidR="007B3093" w:rsidRDefault="00000000">
      <w:pPr>
        <w:pStyle w:val="Prrafodelista"/>
        <w:numPr>
          <w:ilvl w:val="1"/>
          <w:numId w:val="3"/>
        </w:numPr>
        <w:spacing w:before="120" w:after="120" w:line="360" w:lineRule="auto"/>
        <w:contextualSpacing w:val="0"/>
        <w:jc w:val="both"/>
        <w:rPr>
          <w:rFonts w:eastAsia="Times New Roman" w:cstheme="minorHAnsi"/>
          <w:bCs/>
          <w:color w:val="000000"/>
          <w:lang w:eastAsia="es-EC"/>
        </w:rPr>
      </w:pPr>
      <w:r>
        <w:rPr>
          <w:rFonts w:eastAsia="Times New Roman" w:cstheme="minorHAnsi"/>
          <w:bCs/>
          <w:color w:val="000000"/>
          <w:lang w:eastAsia="es-EC"/>
        </w:rPr>
        <w:t>Sistema de Gestión Documental optimizado.</w:t>
      </w:r>
    </w:p>
    <w:p w14:paraId="46C833CC" w14:textId="77777777" w:rsidR="007B3093" w:rsidRDefault="00000000">
      <w:pPr>
        <w:pStyle w:val="Prrafodelista"/>
        <w:numPr>
          <w:ilvl w:val="1"/>
          <w:numId w:val="3"/>
        </w:numPr>
        <w:spacing w:before="120" w:after="120" w:line="360" w:lineRule="auto"/>
        <w:contextualSpacing w:val="0"/>
        <w:jc w:val="both"/>
        <w:rPr>
          <w:rFonts w:eastAsia="Times New Roman" w:cstheme="minorHAnsi"/>
          <w:bCs/>
          <w:color w:val="000000"/>
          <w:lang w:eastAsia="es-EC"/>
        </w:rPr>
      </w:pPr>
      <w:r>
        <w:rPr>
          <w:rFonts w:eastAsia="Times New Roman" w:cstheme="minorHAnsi"/>
          <w:bCs/>
          <w:color w:val="000000"/>
          <w:lang w:eastAsia="es-EC"/>
        </w:rPr>
        <w:t>Interoperatividad con sistemas de otras instituciones PGE-CGE-FGE-UAFE-MEF.</w:t>
      </w:r>
    </w:p>
    <w:p w14:paraId="0977E610" w14:textId="77777777" w:rsidR="007B3093" w:rsidRDefault="00000000">
      <w:pPr>
        <w:pStyle w:val="Prrafodelista"/>
        <w:numPr>
          <w:ilvl w:val="1"/>
          <w:numId w:val="3"/>
        </w:numPr>
        <w:spacing w:before="120" w:after="120" w:line="360" w:lineRule="auto"/>
        <w:contextualSpacing w:val="0"/>
        <w:jc w:val="both"/>
        <w:rPr>
          <w:rFonts w:eastAsia="Times New Roman" w:cstheme="minorHAnsi"/>
          <w:bCs/>
          <w:color w:val="000000"/>
          <w:lang w:eastAsia="es-EC"/>
        </w:rPr>
      </w:pPr>
      <w:r>
        <w:rPr>
          <w:rFonts w:eastAsia="Times New Roman" w:cstheme="minorHAnsi"/>
          <w:bCs/>
          <w:color w:val="000000"/>
          <w:lang w:eastAsia="es-EC"/>
        </w:rPr>
        <w:t>Sistema informático para brindar asesoría Legal a Organismos del Estado.</w:t>
      </w:r>
    </w:p>
    <w:p w14:paraId="57C1BC31" w14:textId="77777777" w:rsidR="007B3093" w:rsidRDefault="00000000">
      <w:pPr>
        <w:spacing w:before="120" w:after="120" w:line="360" w:lineRule="auto"/>
        <w:jc w:val="both"/>
        <w:rPr>
          <w:rFonts w:eastAsia="Times New Roman" w:cstheme="minorHAnsi"/>
          <w:bCs/>
          <w:color w:val="000000"/>
          <w:lang w:eastAsia="es-EC"/>
        </w:rPr>
      </w:pPr>
      <w:r>
        <w:rPr>
          <w:rFonts w:eastAsia="Times New Roman" w:cstheme="minorHAnsi"/>
          <w:bCs/>
          <w:color w:val="000000"/>
          <w:lang w:eastAsia="es-EC"/>
        </w:rPr>
        <w:t xml:space="preserve">    Además, se adquirirá:</w:t>
      </w:r>
    </w:p>
    <w:p w14:paraId="3E5D8F79" w14:textId="77777777" w:rsidR="007B3093" w:rsidRDefault="00000000">
      <w:pPr>
        <w:pStyle w:val="Prrafodelista"/>
        <w:numPr>
          <w:ilvl w:val="1"/>
          <w:numId w:val="3"/>
        </w:numPr>
        <w:spacing w:before="120" w:after="120" w:line="360" w:lineRule="auto"/>
        <w:jc w:val="both"/>
        <w:rPr>
          <w:rFonts w:eastAsia="Times New Roman" w:cstheme="minorHAnsi"/>
          <w:bCs/>
          <w:color w:val="000000"/>
          <w:lang w:eastAsia="es-EC"/>
        </w:rPr>
      </w:pPr>
      <w:r>
        <w:rPr>
          <w:rFonts w:eastAsia="Times New Roman" w:cstheme="minorHAnsi"/>
          <w:bCs/>
          <w:color w:val="000000"/>
          <w:lang w:eastAsia="es-EC"/>
        </w:rPr>
        <w:t xml:space="preserve"> Licencias para usuario final PGE</w:t>
      </w:r>
    </w:p>
    <w:p w14:paraId="2655EF79" w14:textId="77777777" w:rsidR="007B3093" w:rsidRDefault="00000000">
      <w:pPr>
        <w:pStyle w:val="Prrafodelista"/>
        <w:numPr>
          <w:ilvl w:val="1"/>
          <w:numId w:val="3"/>
        </w:numPr>
        <w:spacing w:before="120" w:after="120" w:line="360" w:lineRule="auto"/>
        <w:jc w:val="both"/>
        <w:rPr>
          <w:rFonts w:eastAsia="Times New Roman" w:cstheme="minorHAnsi"/>
          <w:bCs/>
          <w:color w:val="000000"/>
          <w:lang w:eastAsia="es-EC"/>
        </w:rPr>
      </w:pPr>
      <w:r>
        <w:rPr>
          <w:rFonts w:eastAsia="Times New Roman" w:cstheme="minorHAnsi"/>
          <w:bCs/>
          <w:color w:val="000000"/>
          <w:lang w:eastAsia="es-EC"/>
        </w:rPr>
        <w:t>Servicio en nube para soporte de las nuevas herramientas</w:t>
      </w:r>
    </w:p>
    <w:p w14:paraId="49D0B89E" w14:textId="77777777" w:rsidR="007B3093" w:rsidRDefault="00000000">
      <w:pPr>
        <w:pStyle w:val="Prrafodelista"/>
        <w:numPr>
          <w:ilvl w:val="1"/>
          <w:numId w:val="3"/>
        </w:numPr>
        <w:spacing w:before="120" w:after="120" w:line="360" w:lineRule="auto"/>
        <w:jc w:val="both"/>
        <w:rPr>
          <w:rFonts w:eastAsia="Times New Roman" w:cstheme="minorHAnsi"/>
          <w:bCs/>
          <w:color w:val="000000"/>
          <w:lang w:eastAsia="es-EC"/>
        </w:rPr>
      </w:pPr>
      <w:r>
        <w:rPr>
          <w:rFonts w:eastAsia="Times New Roman" w:cstheme="minorHAnsi"/>
          <w:bCs/>
          <w:color w:val="000000"/>
          <w:lang w:eastAsia="es-EC"/>
        </w:rPr>
        <w:t>Adquirir equipamiento para comunicación.</w:t>
      </w:r>
    </w:p>
    <w:p w14:paraId="6747600F" w14:textId="77777777" w:rsidR="007B3093" w:rsidRDefault="00000000">
      <w:pPr>
        <w:spacing w:before="120" w:after="120" w:line="360" w:lineRule="auto"/>
        <w:ind w:left="708"/>
        <w:jc w:val="both"/>
        <w:rPr>
          <w:rFonts w:eastAsia="Times New Roman" w:cstheme="minorHAnsi"/>
          <w:bCs/>
          <w:color w:val="000000"/>
          <w:lang w:eastAsia="es-EC"/>
        </w:rPr>
      </w:pPr>
      <w:r>
        <w:rPr>
          <w:rFonts w:eastAsia="Times New Roman" w:cstheme="minorHAnsi"/>
          <w:bCs/>
          <w:color w:val="000000"/>
          <w:lang w:eastAsia="es-EC"/>
        </w:rPr>
        <w:t>Mismos que serán conservados y actualizados mediante el uso de recursos fiscales asignados al presupuesto de la Procuraduría General del Estado.</w:t>
      </w:r>
    </w:p>
    <w:p w14:paraId="383D1769" w14:textId="77777777" w:rsidR="007B3093" w:rsidRDefault="007B3093">
      <w:pPr>
        <w:spacing w:before="120" w:after="120" w:line="360" w:lineRule="auto"/>
        <w:ind w:left="708"/>
        <w:jc w:val="both"/>
        <w:rPr>
          <w:rFonts w:eastAsia="Times New Roman" w:cstheme="minorHAnsi"/>
          <w:bCs/>
          <w:color w:val="000000"/>
          <w:lang w:eastAsia="es-EC"/>
        </w:rPr>
      </w:pPr>
    </w:p>
    <w:p w14:paraId="1AB7E991" w14:textId="77777777" w:rsidR="007B3093" w:rsidRDefault="00000000">
      <w:pPr>
        <w:pStyle w:val="Ttulo2"/>
        <w:numPr>
          <w:ilvl w:val="0"/>
          <w:numId w:val="24"/>
        </w:numPr>
        <w:spacing w:before="0" w:line="360" w:lineRule="auto"/>
        <w:ind w:left="426"/>
        <w:rPr>
          <w:rFonts w:asciiTheme="minorHAnsi" w:hAnsiTheme="minorHAnsi" w:cstheme="minorHAnsi"/>
          <w:b/>
          <w:color w:val="auto"/>
          <w:sz w:val="22"/>
          <w:szCs w:val="22"/>
        </w:rPr>
      </w:pPr>
      <w:bookmarkStart w:id="88" w:name="_Toc195010098"/>
      <w:r>
        <w:rPr>
          <w:rFonts w:asciiTheme="minorHAnsi" w:hAnsiTheme="minorHAnsi" w:cstheme="minorHAnsi"/>
          <w:b/>
          <w:color w:val="auto"/>
          <w:sz w:val="22"/>
          <w:szCs w:val="22"/>
        </w:rPr>
        <w:t>FINANCIAMIENTO Y PRESUPUESTO</w:t>
      </w:r>
      <w:bookmarkEnd w:id="88"/>
    </w:p>
    <w:p w14:paraId="1C883206" w14:textId="77777777" w:rsidR="007B3093" w:rsidRDefault="00000000">
      <w:pPr>
        <w:pStyle w:val="Prrafodelista"/>
        <w:spacing w:before="120" w:after="120" w:line="360" w:lineRule="auto"/>
        <w:ind w:left="142" w:firstLine="425"/>
        <w:contextualSpacing w:val="0"/>
        <w:jc w:val="both"/>
      </w:pPr>
      <w:r>
        <w:t xml:space="preserve">El monto total del proyecto es de USD 5.174.795,49 de los cuales, USD 5.160.020,91 provienen de crédito externo otorgado por el Banco Interamericano de Desarrollo BID para la Procuraduría General del Estado, canalizados a través del Ministerio de Finanzas, y USD </w:t>
      </w:r>
      <w:r>
        <w:lastRenderedPageBreak/>
        <w:t xml:space="preserve">14.774,58 correspondientes al valor de recursos fiscales que financió el equipo de gestión del proyecto en el año 2019. </w:t>
      </w:r>
    </w:p>
    <w:p w14:paraId="65E86CF0" w14:textId="1B801171" w:rsidR="0065022A" w:rsidRPr="0065022A" w:rsidRDefault="00000000" w:rsidP="0065022A">
      <w:pPr>
        <w:pStyle w:val="Prrafodelista"/>
        <w:spacing w:before="120" w:after="120" w:line="360" w:lineRule="auto"/>
        <w:ind w:left="142" w:firstLine="425"/>
        <w:contextualSpacing w:val="0"/>
        <w:jc w:val="center"/>
        <w:rPr>
          <w:rFonts w:cstheme="minorHAnsi"/>
          <w:b/>
          <w:bCs/>
          <w:lang w:eastAsia="es-EC"/>
        </w:rPr>
      </w:pPr>
      <w:r>
        <w:rPr>
          <w:rFonts w:cstheme="minorHAnsi"/>
          <w:b/>
          <w:bCs/>
          <w:lang w:eastAsia="es-EC"/>
        </w:rPr>
        <w:t>Tabla No. 37: Financiamiento y Presupuesto</w:t>
      </w:r>
    </w:p>
    <w:tbl>
      <w:tblPr>
        <w:tblW w:w="5424" w:type="pct"/>
        <w:tblInd w:w="-289" w:type="dxa"/>
        <w:tblLayout w:type="fixed"/>
        <w:tblCellMar>
          <w:left w:w="70" w:type="dxa"/>
          <w:right w:w="70" w:type="dxa"/>
        </w:tblCellMar>
        <w:tblLook w:val="04A0" w:firstRow="1" w:lastRow="0" w:firstColumn="1" w:lastColumn="0" w:noHBand="0" w:noVBand="1"/>
      </w:tblPr>
      <w:tblGrid>
        <w:gridCol w:w="2268"/>
        <w:gridCol w:w="2304"/>
        <w:gridCol w:w="1262"/>
        <w:gridCol w:w="503"/>
        <w:gridCol w:w="885"/>
        <w:gridCol w:w="999"/>
        <w:gridCol w:w="993"/>
      </w:tblGrid>
      <w:tr w:rsidR="0065022A" w14:paraId="10A27CDE" w14:textId="77777777" w:rsidTr="002314D8">
        <w:trPr>
          <w:trHeight w:val="79"/>
          <w:tblHeader/>
        </w:trPr>
        <w:tc>
          <w:tcPr>
            <w:tcW w:w="1231" w:type="pct"/>
            <w:vMerge w:val="restart"/>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20A810DA" w14:textId="77777777" w:rsidR="0065022A" w:rsidRDefault="0065022A" w:rsidP="002314D8">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COMPONENTES</w:t>
            </w:r>
          </w:p>
        </w:tc>
        <w:tc>
          <w:tcPr>
            <w:tcW w:w="1250" w:type="pct"/>
            <w:vMerge w:val="restart"/>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6A9B309E" w14:textId="77777777" w:rsidR="0065022A" w:rsidRDefault="0065022A" w:rsidP="002314D8">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ACTIVIDADES</w:t>
            </w:r>
          </w:p>
        </w:tc>
        <w:tc>
          <w:tcPr>
            <w:tcW w:w="685" w:type="pct"/>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5EA50ACB" w14:textId="77777777" w:rsidR="0065022A" w:rsidRDefault="0065022A" w:rsidP="002314D8">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Grupo de Gasto</w:t>
            </w:r>
          </w:p>
        </w:tc>
        <w:tc>
          <w:tcPr>
            <w:tcW w:w="273" w:type="pct"/>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7C9BEF13" w14:textId="77777777" w:rsidR="0065022A" w:rsidRDefault="0065022A" w:rsidP="002314D8">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CODIGO</w:t>
            </w:r>
          </w:p>
        </w:tc>
        <w:tc>
          <w:tcPr>
            <w:tcW w:w="1561" w:type="pct"/>
            <w:gridSpan w:val="3"/>
            <w:tcBorders>
              <w:top w:val="single" w:sz="4" w:space="0" w:color="auto"/>
              <w:left w:val="nil"/>
              <w:bottom w:val="single" w:sz="4" w:space="0" w:color="auto"/>
              <w:right w:val="single" w:sz="4" w:space="0" w:color="auto"/>
            </w:tcBorders>
            <w:shd w:val="clear" w:color="000000" w:fill="1F497D"/>
            <w:noWrap/>
            <w:vAlign w:val="center"/>
            <w:hideMark/>
          </w:tcPr>
          <w:p w14:paraId="052FAA3C" w14:textId="77777777" w:rsidR="0065022A" w:rsidRDefault="0065022A" w:rsidP="002314D8">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TOTAL PROYECTO</w:t>
            </w:r>
          </w:p>
        </w:tc>
      </w:tr>
      <w:tr w:rsidR="0065022A" w14:paraId="0DCE0D81" w14:textId="77777777" w:rsidTr="00D60D2E">
        <w:trPr>
          <w:trHeight w:val="351"/>
          <w:tblHeader/>
        </w:trPr>
        <w:tc>
          <w:tcPr>
            <w:tcW w:w="1231" w:type="pct"/>
            <w:vMerge/>
            <w:tcBorders>
              <w:top w:val="single" w:sz="4" w:space="0" w:color="auto"/>
              <w:left w:val="single" w:sz="4" w:space="0" w:color="auto"/>
              <w:bottom w:val="single" w:sz="4" w:space="0" w:color="auto"/>
              <w:right w:val="single" w:sz="4" w:space="0" w:color="auto"/>
            </w:tcBorders>
            <w:vAlign w:val="center"/>
            <w:hideMark/>
          </w:tcPr>
          <w:p w14:paraId="449D058C" w14:textId="77777777" w:rsidR="0065022A" w:rsidRDefault="0065022A" w:rsidP="002314D8">
            <w:pPr>
              <w:spacing w:after="0" w:line="240" w:lineRule="auto"/>
              <w:rPr>
                <w:rFonts w:ascii="Calibri" w:eastAsia="Times New Roman" w:hAnsi="Calibri" w:cs="Calibri"/>
                <w:b/>
                <w:bCs/>
                <w:color w:val="FFFFFF"/>
                <w:sz w:val="14"/>
                <w:szCs w:val="14"/>
                <w:lang w:eastAsia="es-EC"/>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14:paraId="56EAAED7" w14:textId="77777777" w:rsidR="0065022A" w:rsidRDefault="0065022A" w:rsidP="002314D8">
            <w:pPr>
              <w:spacing w:after="0" w:line="240" w:lineRule="auto"/>
              <w:rPr>
                <w:rFonts w:ascii="Calibri" w:eastAsia="Times New Roman" w:hAnsi="Calibri" w:cs="Calibri"/>
                <w:b/>
                <w:bCs/>
                <w:color w:val="FFFFFF"/>
                <w:sz w:val="14"/>
                <w:szCs w:val="14"/>
                <w:lang w:eastAsia="es-EC"/>
              </w:rPr>
            </w:pPr>
          </w:p>
        </w:tc>
        <w:tc>
          <w:tcPr>
            <w:tcW w:w="685" w:type="pct"/>
            <w:vMerge/>
            <w:tcBorders>
              <w:top w:val="single" w:sz="4" w:space="0" w:color="auto"/>
              <w:left w:val="single" w:sz="4" w:space="0" w:color="auto"/>
              <w:bottom w:val="single" w:sz="4" w:space="0" w:color="auto"/>
              <w:right w:val="single" w:sz="4" w:space="0" w:color="auto"/>
            </w:tcBorders>
            <w:vAlign w:val="center"/>
            <w:hideMark/>
          </w:tcPr>
          <w:p w14:paraId="044245ED" w14:textId="77777777" w:rsidR="0065022A" w:rsidRDefault="0065022A" w:rsidP="002314D8">
            <w:pPr>
              <w:spacing w:after="0" w:line="240" w:lineRule="auto"/>
              <w:rPr>
                <w:rFonts w:ascii="Calibri" w:eastAsia="Times New Roman" w:hAnsi="Calibri" w:cs="Calibri"/>
                <w:b/>
                <w:bCs/>
                <w:color w:val="FFFFFF"/>
                <w:sz w:val="14"/>
                <w:szCs w:val="14"/>
                <w:lang w:eastAsia="es-EC"/>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14:paraId="7D814413" w14:textId="77777777" w:rsidR="0065022A" w:rsidRDefault="0065022A" w:rsidP="002314D8">
            <w:pPr>
              <w:spacing w:after="0" w:line="240" w:lineRule="auto"/>
              <w:rPr>
                <w:rFonts w:ascii="Calibri" w:eastAsia="Times New Roman" w:hAnsi="Calibri" w:cs="Calibri"/>
                <w:b/>
                <w:bCs/>
                <w:color w:val="FFFFFF"/>
                <w:sz w:val="14"/>
                <w:szCs w:val="14"/>
                <w:lang w:eastAsia="es-EC"/>
              </w:rPr>
            </w:pPr>
          </w:p>
        </w:tc>
        <w:tc>
          <w:tcPr>
            <w:tcW w:w="480" w:type="pct"/>
            <w:tcBorders>
              <w:top w:val="nil"/>
              <w:left w:val="nil"/>
              <w:bottom w:val="single" w:sz="4" w:space="0" w:color="auto"/>
              <w:right w:val="single" w:sz="4" w:space="0" w:color="auto"/>
            </w:tcBorders>
            <w:shd w:val="clear" w:color="000000" w:fill="1F497D"/>
            <w:vAlign w:val="center"/>
            <w:hideMark/>
          </w:tcPr>
          <w:p w14:paraId="631D88D5" w14:textId="77777777" w:rsidR="0065022A" w:rsidRDefault="0065022A" w:rsidP="002314D8">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FUENTE FISCAL</w:t>
            </w:r>
          </w:p>
        </w:tc>
        <w:tc>
          <w:tcPr>
            <w:tcW w:w="542" w:type="pct"/>
            <w:tcBorders>
              <w:top w:val="nil"/>
              <w:left w:val="nil"/>
              <w:bottom w:val="single" w:sz="4" w:space="0" w:color="auto"/>
              <w:right w:val="single" w:sz="4" w:space="0" w:color="auto"/>
            </w:tcBorders>
            <w:shd w:val="clear" w:color="000000" w:fill="1F497D"/>
            <w:vAlign w:val="center"/>
            <w:hideMark/>
          </w:tcPr>
          <w:p w14:paraId="7F173E00" w14:textId="77777777" w:rsidR="0065022A" w:rsidRDefault="0065022A" w:rsidP="002314D8">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FUENTE BID</w:t>
            </w:r>
          </w:p>
        </w:tc>
        <w:tc>
          <w:tcPr>
            <w:tcW w:w="539" w:type="pct"/>
            <w:tcBorders>
              <w:top w:val="nil"/>
              <w:left w:val="nil"/>
              <w:bottom w:val="single" w:sz="4" w:space="0" w:color="auto"/>
              <w:right w:val="single" w:sz="4" w:space="0" w:color="auto"/>
            </w:tcBorders>
            <w:shd w:val="clear" w:color="000000" w:fill="1F497D"/>
            <w:vAlign w:val="center"/>
            <w:hideMark/>
          </w:tcPr>
          <w:p w14:paraId="39B2720C" w14:textId="77777777" w:rsidR="0065022A" w:rsidRDefault="0065022A" w:rsidP="002314D8">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TOTAL</w:t>
            </w:r>
          </w:p>
        </w:tc>
      </w:tr>
      <w:tr w:rsidR="0065022A" w14:paraId="5BF8ABC6" w14:textId="77777777" w:rsidTr="00D60D2E">
        <w:trPr>
          <w:trHeight w:val="664"/>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34E8CADB"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250" w:type="pct"/>
            <w:tcBorders>
              <w:top w:val="nil"/>
              <w:left w:val="nil"/>
              <w:bottom w:val="single" w:sz="4" w:space="0" w:color="auto"/>
              <w:right w:val="single" w:sz="4" w:space="0" w:color="auto"/>
            </w:tcBorders>
            <w:shd w:val="clear" w:color="auto" w:fill="auto"/>
            <w:vAlign w:val="center"/>
            <w:hideMark/>
          </w:tcPr>
          <w:p w14:paraId="61BB07DA"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1.1. -  Realizar un diagnóstico situacional en profundidad, propuesta de modelo de gestión e instrumentos para su redefinición.</w:t>
            </w:r>
          </w:p>
        </w:tc>
        <w:tc>
          <w:tcPr>
            <w:tcW w:w="685" w:type="pct"/>
            <w:tcBorders>
              <w:top w:val="nil"/>
              <w:left w:val="nil"/>
              <w:bottom w:val="single" w:sz="4" w:space="0" w:color="auto"/>
              <w:right w:val="single" w:sz="4" w:space="0" w:color="auto"/>
            </w:tcBorders>
            <w:shd w:val="clear" w:color="auto" w:fill="auto"/>
            <w:noWrap/>
            <w:vAlign w:val="center"/>
            <w:hideMark/>
          </w:tcPr>
          <w:p w14:paraId="5F291D4C"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4755C40D"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404EFF97"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31B007AB"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789.768,39 </w:t>
            </w:r>
          </w:p>
        </w:tc>
        <w:tc>
          <w:tcPr>
            <w:tcW w:w="539" w:type="pct"/>
            <w:tcBorders>
              <w:top w:val="nil"/>
              <w:left w:val="nil"/>
              <w:bottom w:val="single" w:sz="4" w:space="0" w:color="auto"/>
              <w:right w:val="single" w:sz="4" w:space="0" w:color="auto"/>
            </w:tcBorders>
            <w:shd w:val="clear" w:color="auto" w:fill="auto"/>
            <w:noWrap/>
            <w:vAlign w:val="center"/>
            <w:hideMark/>
          </w:tcPr>
          <w:p w14:paraId="4922ED5C"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789.768,39 </w:t>
            </w:r>
          </w:p>
        </w:tc>
      </w:tr>
      <w:tr w:rsidR="0065022A" w14:paraId="0D2D79F3" w14:textId="77777777" w:rsidTr="00D60D2E">
        <w:trPr>
          <w:trHeight w:val="392"/>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6DE2C476"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250" w:type="pct"/>
            <w:tcBorders>
              <w:top w:val="nil"/>
              <w:left w:val="nil"/>
              <w:bottom w:val="single" w:sz="4" w:space="0" w:color="auto"/>
              <w:right w:val="single" w:sz="4" w:space="0" w:color="auto"/>
            </w:tcBorders>
            <w:shd w:val="clear" w:color="auto" w:fill="auto"/>
            <w:vAlign w:val="center"/>
            <w:hideMark/>
          </w:tcPr>
          <w:p w14:paraId="2F97D489"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1.2. - Implementar el Plan de gestión del cambio.</w:t>
            </w:r>
          </w:p>
        </w:tc>
        <w:tc>
          <w:tcPr>
            <w:tcW w:w="685" w:type="pct"/>
            <w:tcBorders>
              <w:top w:val="nil"/>
              <w:left w:val="nil"/>
              <w:bottom w:val="single" w:sz="4" w:space="0" w:color="auto"/>
              <w:right w:val="single" w:sz="4" w:space="0" w:color="auto"/>
            </w:tcBorders>
            <w:shd w:val="clear" w:color="auto" w:fill="auto"/>
            <w:noWrap/>
            <w:vAlign w:val="center"/>
            <w:hideMark/>
          </w:tcPr>
          <w:p w14:paraId="6EC1545F"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09CEC118"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5BD25D81"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305A0903"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120.070,24 </w:t>
            </w:r>
          </w:p>
        </w:tc>
        <w:tc>
          <w:tcPr>
            <w:tcW w:w="539" w:type="pct"/>
            <w:tcBorders>
              <w:top w:val="nil"/>
              <w:left w:val="nil"/>
              <w:bottom w:val="single" w:sz="4" w:space="0" w:color="auto"/>
              <w:right w:val="single" w:sz="4" w:space="0" w:color="auto"/>
            </w:tcBorders>
            <w:shd w:val="clear" w:color="auto" w:fill="auto"/>
            <w:noWrap/>
            <w:vAlign w:val="center"/>
            <w:hideMark/>
          </w:tcPr>
          <w:p w14:paraId="09188831"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120.070,24 </w:t>
            </w:r>
          </w:p>
        </w:tc>
      </w:tr>
      <w:tr w:rsidR="0065022A" w14:paraId="3C82C753" w14:textId="77777777" w:rsidTr="00D60D2E">
        <w:trPr>
          <w:trHeight w:val="443"/>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24AC10F5"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250" w:type="pct"/>
            <w:tcBorders>
              <w:top w:val="nil"/>
              <w:left w:val="nil"/>
              <w:bottom w:val="single" w:sz="4" w:space="0" w:color="auto"/>
              <w:right w:val="single" w:sz="4" w:space="0" w:color="auto"/>
            </w:tcBorders>
            <w:shd w:val="clear" w:color="auto" w:fill="auto"/>
            <w:vAlign w:val="center"/>
            <w:hideMark/>
          </w:tcPr>
          <w:p w14:paraId="78134AE3"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1.3. - Implementar un Sistema Informático Integrado</w:t>
            </w:r>
          </w:p>
        </w:tc>
        <w:tc>
          <w:tcPr>
            <w:tcW w:w="685" w:type="pct"/>
            <w:tcBorders>
              <w:top w:val="nil"/>
              <w:left w:val="nil"/>
              <w:bottom w:val="single" w:sz="4" w:space="0" w:color="auto"/>
              <w:right w:val="single" w:sz="4" w:space="0" w:color="auto"/>
            </w:tcBorders>
            <w:shd w:val="clear" w:color="auto" w:fill="auto"/>
            <w:noWrap/>
            <w:vAlign w:val="center"/>
            <w:hideMark/>
          </w:tcPr>
          <w:p w14:paraId="172CD609"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2E1BDC94"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7DE9F447"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134D31D2" w14:textId="24AD450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w:t>
            </w:r>
            <w:r w:rsidR="00D60D2E">
              <w:rPr>
                <w:rFonts w:ascii="Calibri" w:eastAsia="Times New Roman" w:hAnsi="Calibri" w:cs="Calibri"/>
                <w:color w:val="000000"/>
                <w:sz w:val="14"/>
                <w:szCs w:val="14"/>
                <w:lang w:eastAsia="es-EC"/>
              </w:rPr>
              <w:t>335.694,51</w:t>
            </w:r>
            <w:r>
              <w:rPr>
                <w:rFonts w:ascii="Calibri" w:eastAsia="Times New Roman" w:hAnsi="Calibri" w:cs="Calibri"/>
                <w:color w:val="000000"/>
                <w:sz w:val="14"/>
                <w:szCs w:val="14"/>
                <w:lang w:eastAsia="es-EC"/>
              </w:rPr>
              <w:t xml:space="preserve"> </w:t>
            </w:r>
          </w:p>
        </w:tc>
        <w:tc>
          <w:tcPr>
            <w:tcW w:w="539" w:type="pct"/>
            <w:tcBorders>
              <w:top w:val="nil"/>
              <w:left w:val="nil"/>
              <w:bottom w:val="single" w:sz="4" w:space="0" w:color="auto"/>
              <w:right w:val="single" w:sz="4" w:space="0" w:color="auto"/>
            </w:tcBorders>
            <w:shd w:val="clear" w:color="auto" w:fill="auto"/>
            <w:noWrap/>
            <w:vAlign w:val="center"/>
            <w:hideMark/>
          </w:tcPr>
          <w:p w14:paraId="137CF9AB" w14:textId="50CEECE3"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w:t>
            </w:r>
            <w:r w:rsidR="00D60D2E">
              <w:rPr>
                <w:rFonts w:ascii="Calibri" w:eastAsia="Times New Roman" w:hAnsi="Calibri" w:cs="Calibri"/>
                <w:color w:val="000000"/>
                <w:sz w:val="14"/>
                <w:szCs w:val="14"/>
                <w:lang w:eastAsia="es-EC"/>
              </w:rPr>
              <w:t>335.694,51</w:t>
            </w:r>
            <w:r>
              <w:rPr>
                <w:rFonts w:ascii="Calibri" w:eastAsia="Times New Roman" w:hAnsi="Calibri" w:cs="Calibri"/>
                <w:color w:val="000000"/>
                <w:sz w:val="14"/>
                <w:szCs w:val="14"/>
                <w:lang w:eastAsia="es-EC"/>
              </w:rPr>
              <w:t xml:space="preserve"> </w:t>
            </w:r>
          </w:p>
        </w:tc>
      </w:tr>
      <w:tr w:rsidR="0065022A" w14:paraId="183B59E4" w14:textId="77777777" w:rsidTr="00D60D2E">
        <w:trPr>
          <w:trHeight w:val="387"/>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7F0FB846"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250" w:type="pct"/>
            <w:tcBorders>
              <w:top w:val="nil"/>
              <w:left w:val="nil"/>
              <w:bottom w:val="single" w:sz="4" w:space="0" w:color="auto"/>
              <w:right w:val="single" w:sz="4" w:space="0" w:color="auto"/>
            </w:tcBorders>
            <w:shd w:val="clear" w:color="auto" w:fill="auto"/>
            <w:vAlign w:val="center"/>
            <w:hideMark/>
          </w:tcPr>
          <w:p w14:paraId="191D5E54"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1.4. - Fortalecer el Hardware para soportar el nuevo sistema integrado</w:t>
            </w:r>
          </w:p>
        </w:tc>
        <w:tc>
          <w:tcPr>
            <w:tcW w:w="685" w:type="pct"/>
            <w:tcBorders>
              <w:top w:val="nil"/>
              <w:left w:val="nil"/>
              <w:bottom w:val="single" w:sz="4" w:space="0" w:color="auto"/>
              <w:right w:val="single" w:sz="4" w:space="0" w:color="auto"/>
            </w:tcBorders>
            <w:shd w:val="clear" w:color="auto" w:fill="auto"/>
            <w:noWrap/>
            <w:vAlign w:val="center"/>
            <w:hideMark/>
          </w:tcPr>
          <w:p w14:paraId="16B86A99"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3BDE3E42"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5807392D"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28294CF7"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17.360,00 </w:t>
            </w:r>
          </w:p>
        </w:tc>
        <w:tc>
          <w:tcPr>
            <w:tcW w:w="539" w:type="pct"/>
            <w:tcBorders>
              <w:top w:val="nil"/>
              <w:left w:val="nil"/>
              <w:bottom w:val="single" w:sz="4" w:space="0" w:color="auto"/>
              <w:right w:val="single" w:sz="4" w:space="0" w:color="auto"/>
            </w:tcBorders>
            <w:shd w:val="clear" w:color="auto" w:fill="auto"/>
            <w:noWrap/>
            <w:vAlign w:val="center"/>
            <w:hideMark/>
          </w:tcPr>
          <w:p w14:paraId="537A5C7F"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17.360,00 </w:t>
            </w:r>
          </w:p>
        </w:tc>
      </w:tr>
      <w:tr w:rsidR="0065022A" w14:paraId="38BE7882" w14:textId="77777777" w:rsidTr="00D60D2E">
        <w:trPr>
          <w:trHeight w:val="296"/>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37F44CEE"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250" w:type="pct"/>
            <w:tcBorders>
              <w:top w:val="nil"/>
              <w:left w:val="nil"/>
              <w:bottom w:val="single" w:sz="4" w:space="0" w:color="auto"/>
              <w:right w:val="single" w:sz="4" w:space="0" w:color="auto"/>
            </w:tcBorders>
            <w:shd w:val="clear" w:color="auto" w:fill="auto"/>
            <w:vAlign w:val="center"/>
            <w:hideMark/>
          </w:tcPr>
          <w:p w14:paraId="32381CC8"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1.4. - Fortalecer el Hardware para soportar el nuevo sistema integrado</w:t>
            </w:r>
          </w:p>
        </w:tc>
        <w:tc>
          <w:tcPr>
            <w:tcW w:w="685" w:type="pct"/>
            <w:tcBorders>
              <w:top w:val="nil"/>
              <w:left w:val="nil"/>
              <w:bottom w:val="single" w:sz="4" w:space="0" w:color="auto"/>
              <w:right w:val="single" w:sz="4" w:space="0" w:color="auto"/>
            </w:tcBorders>
            <w:shd w:val="clear" w:color="auto" w:fill="auto"/>
            <w:noWrap/>
            <w:vAlign w:val="center"/>
            <w:hideMark/>
          </w:tcPr>
          <w:p w14:paraId="2DB4E1B9"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BIENES_DE_LARGA_DURACION__PROPIEDAD_PLANTA_Y_EQUIPO</w:t>
            </w:r>
          </w:p>
        </w:tc>
        <w:tc>
          <w:tcPr>
            <w:tcW w:w="273" w:type="pct"/>
            <w:tcBorders>
              <w:top w:val="nil"/>
              <w:left w:val="nil"/>
              <w:bottom w:val="single" w:sz="4" w:space="0" w:color="auto"/>
              <w:right w:val="single" w:sz="4" w:space="0" w:color="auto"/>
            </w:tcBorders>
            <w:shd w:val="clear" w:color="auto" w:fill="auto"/>
            <w:noWrap/>
            <w:vAlign w:val="center"/>
            <w:hideMark/>
          </w:tcPr>
          <w:p w14:paraId="0F445179"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84</w:t>
            </w:r>
          </w:p>
        </w:tc>
        <w:tc>
          <w:tcPr>
            <w:tcW w:w="480" w:type="pct"/>
            <w:tcBorders>
              <w:top w:val="nil"/>
              <w:left w:val="nil"/>
              <w:bottom w:val="single" w:sz="4" w:space="0" w:color="auto"/>
              <w:right w:val="single" w:sz="4" w:space="0" w:color="auto"/>
            </w:tcBorders>
            <w:shd w:val="clear" w:color="auto" w:fill="auto"/>
            <w:noWrap/>
            <w:vAlign w:val="center"/>
            <w:hideMark/>
          </w:tcPr>
          <w:p w14:paraId="4AF64B93"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65BE1E37"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632.956,88 </w:t>
            </w:r>
          </w:p>
        </w:tc>
        <w:tc>
          <w:tcPr>
            <w:tcW w:w="539" w:type="pct"/>
            <w:tcBorders>
              <w:top w:val="nil"/>
              <w:left w:val="nil"/>
              <w:bottom w:val="single" w:sz="4" w:space="0" w:color="auto"/>
              <w:right w:val="single" w:sz="4" w:space="0" w:color="auto"/>
            </w:tcBorders>
            <w:shd w:val="clear" w:color="auto" w:fill="auto"/>
            <w:noWrap/>
            <w:vAlign w:val="center"/>
            <w:hideMark/>
          </w:tcPr>
          <w:p w14:paraId="499A1FB0"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632.956,88 </w:t>
            </w:r>
          </w:p>
        </w:tc>
      </w:tr>
      <w:tr w:rsidR="0065022A" w14:paraId="6B3FDDEE" w14:textId="77777777" w:rsidTr="00D60D2E">
        <w:trPr>
          <w:trHeight w:val="190"/>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7E21D755"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250" w:type="pct"/>
            <w:tcBorders>
              <w:top w:val="nil"/>
              <w:left w:val="nil"/>
              <w:bottom w:val="single" w:sz="4" w:space="0" w:color="auto"/>
              <w:right w:val="single" w:sz="4" w:space="0" w:color="auto"/>
            </w:tcBorders>
            <w:shd w:val="clear" w:color="auto" w:fill="auto"/>
            <w:vAlign w:val="center"/>
            <w:hideMark/>
          </w:tcPr>
          <w:p w14:paraId="734EDC59"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1.5. - Administración del Proyecto</w:t>
            </w:r>
          </w:p>
        </w:tc>
        <w:tc>
          <w:tcPr>
            <w:tcW w:w="685" w:type="pct"/>
            <w:tcBorders>
              <w:top w:val="nil"/>
              <w:left w:val="nil"/>
              <w:bottom w:val="single" w:sz="4" w:space="0" w:color="auto"/>
              <w:right w:val="single" w:sz="4" w:space="0" w:color="auto"/>
            </w:tcBorders>
            <w:shd w:val="clear" w:color="auto" w:fill="auto"/>
            <w:noWrap/>
            <w:vAlign w:val="center"/>
            <w:hideMark/>
          </w:tcPr>
          <w:p w14:paraId="336847EE"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EGRESOS_EN_PERSONAL_PARA_INVERSION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429C4A34"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71</w:t>
            </w:r>
          </w:p>
        </w:tc>
        <w:tc>
          <w:tcPr>
            <w:tcW w:w="480" w:type="pct"/>
            <w:tcBorders>
              <w:top w:val="nil"/>
              <w:left w:val="nil"/>
              <w:bottom w:val="single" w:sz="4" w:space="0" w:color="auto"/>
              <w:right w:val="single" w:sz="4" w:space="0" w:color="auto"/>
            </w:tcBorders>
            <w:shd w:val="clear" w:color="auto" w:fill="auto"/>
            <w:noWrap/>
            <w:vAlign w:val="center"/>
            <w:hideMark/>
          </w:tcPr>
          <w:p w14:paraId="00D79771"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15.543,19</w:t>
            </w:r>
          </w:p>
        </w:tc>
        <w:tc>
          <w:tcPr>
            <w:tcW w:w="542" w:type="pct"/>
            <w:tcBorders>
              <w:top w:val="nil"/>
              <w:left w:val="nil"/>
              <w:bottom w:val="single" w:sz="4" w:space="0" w:color="auto"/>
              <w:right w:val="single" w:sz="4" w:space="0" w:color="auto"/>
            </w:tcBorders>
            <w:shd w:val="clear" w:color="auto" w:fill="auto"/>
            <w:noWrap/>
            <w:vAlign w:val="center"/>
            <w:hideMark/>
          </w:tcPr>
          <w:p w14:paraId="69D988C3"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539" w:type="pct"/>
            <w:tcBorders>
              <w:top w:val="nil"/>
              <w:left w:val="nil"/>
              <w:bottom w:val="single" w:sz="4" w:space="0" w:color="auto"/>
              <w:right w:val="single" w:sz="4" w:space="0" w:color="auto"/>
            </w:tcBorders>
            <w:shd w:val="clear" w:color="auto" w:fill="auto"/>
            <w:noWrap/>
            <w:vAlign w:val="center"/>
            <w:hideMark/>
          </w:tcPr>
          <w:p w14:paraId="5960A251"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15.543,19 </w:t>
            </w:r>
          </w:p>
        </w:tc>
      </w:tr>
      <w:tr w:rsidR="0065022A" w14:paraId="5218D917" w14:textId="77777777" w:rsidTr="00D60D2E">
        <w:trPr>
          <w:trHeight w:val="240"/>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0C31F1DE"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1250" w:type="pct"/>
            <w:tcBorders>
              <w:top w:val="nil"/>
              <w:left w:val="nil"/>
              <w:bottom w:val="single" w:sz="4" w:space="0" w:color="auto"/>
              <w:right w:val="single" w:sz="4" w:space="0" w:color="auto"/>
            </w:tcBorders>
            <w:shd w:val="clear" w:color="auto" w:fill="auto"/>
            <w:vAlign w:val="center"/>
            <w:hideMark/>
          </w:tcPr>
          <w:p w14:paraId="7318959B"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1.5. - Administración del Proyecto</w:t>
            </w:r>
          </w:p>
        </w:tc>
        <w:tc>
          <w:tcPr>
            <w:tcW w:w="685" w:type="pct"/>
            <w:tcBorders>
              <w:top w:val="nil"/>
              <w:left w:val="nil"/>
              <w:bottom w:val="single" w:sz="4" w:space="0" w:color="auto"/>
              <w:right w:val="single" w:sz="4" w:space="0" w:color="auto"/>
            </w:tcBorders>
            <w:shd w:val="clear" w:color="auto" w:fill="auto"/>
            <w:noWrap/>
            <w:vAlign w:val="center"/>
            <w:hideMark/>
          </w:tcPr>
          <w:p w14:paraId="113051D9"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05C0B319"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4CA38193"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0,00</w:t>
            </w:r>
          </w:p>
        </w:tc>
        <w:tc>
          <w:tcPr>
            <w:tcW w:w="542" w:type="pct"/>
            <w:tcBorders>
              <w:top w:val="nil"/>
              <w:left w:val="nil"/>
              <w:bottom w:val="single" w:sz="4" w:space="0" w:color="auto"/>
              <w:right w:val="single" w:sz="4" w:space="0" w:color="auto"/>
            </w:tcBorders>
            <w:shd w:val="clear" w:color="auto" w:fill="auto"/>
            <w:noWrap/>
            <w:vAlign w:val="center"/>
            <w:hideMark/>
          </w:tcPr>
          <w:p w14:paraId="37AEC6C9"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528.120,80 </w:t>
            </w:r>
          </w:p>
        </w:tc>
        <w:tc>
          <w:tcPr>
            <w:tcW w:w="539" w:type="pct"/>
            <w:tcBorders>
              <w:top w:val="nil"/>
              <w:left w:val="nil"/>
              <w:bottom w:val="single" w:sz="4" w:space="0" w:color="auto"/>
              <w:right w:val="single" w:sz="4" w:space="0" w:color="auto"/>
            </w:tcBorders>
            <w:shd w:val="clear" w:color="auto" w:fill="auto"/>
            <w:noWrap/>
            <w:vAlign w:val="center"/>
            <w:hideMark/>
          </w:tcPr>
          <w:p w14:paraId="470CD374"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528.120,80</w:t>
            </w:r>
          </w:p>
        </w:tc>
      </w:tr>
      <w:tr w:rsidR="0065022A" w14:paraId="62610E5E" w14:textId="77777777" w:rsidTr="00D60D2E">
        <w:trPr>
          <w:trHeight w:val="135"/>
        </w:trPr>
        <w:tc>
          <w:tcPr>
            <w:tcW w:w="3166" w:type="pct"/>
            <w:gridSpan w:val="3"/>
            <w:tcBorders>
              <w:top w:val="single" w:sz="4" w:space="0" w:color="auto"/>
              <w:left w:val="single" w:sz="4" w:space="0" w:color="auto"/>
              <w:bottom w:val="single" w:sz="4" w:space="0" w:color="auto"/>
              <w:right w:val="single" w:sz="4" w:space="0" w:color="000000"/>
            </w:tcBorders>
            <w:shd w:val="clear" w:color="000000" w:fill="538DD5"/>
            <w:vAlign w:val="center"/>
            <w:hideMark/>
          </w:tcPr>
          <w:p w14:paraId="1E4D19EE" w14:textId="77777777" w:rsidR="0065022A" w:rsidRDefault="0065022A" w:rsidP="002314D8">
            <w:pPr>
              <w:spacing w:after="0" w:line="240" w:lineRule="auto"/>
              <w:jc w:val="center"/>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COMPONENTE 1</w:t>
            </w:r>
          </w:p>
        </w:tc>
        <w:tc>
          <w:tcPr>
            <w:tcW w:w="273" w:type="pct"/>
            <w:tcBorders>
              <w:top w:val="nil"/>
              <w:left w:val="nil"/>
              <w:bottom w:val="single" w:sz="4" w:space="0" w:color="auto"/>
              <w:right w:val="single" w:sz="4" w:space="0" w:color="auto"/>
            </w:tcBorders>
            <w:shd w:val="clear" w:color="000000" w:fill="538DD5"/>
            <w:noWrap/>
            <w:vAlign w:val="center"/>
            <w:hideMark/>
          </w:tcPr>
          <w:p w14:paraId="0EE87962" w14:textId="77777777" w:rsidR="0065022A" w:rsidRDefault="0065022A" w:rsidP="002314D8">
            <w:pPr>
              <w:spacing w:after="0" w:line="240" w:lineRule="auto"/>
              <w:jc w:val="center"/>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w:t>
            </w:r>
          </w:p>
        </w:tc>
        <w:tc>
          <w:tcPr>
            <w:tcW w:w="480" w:type="pct"/>
            <w:tcBorders>
              <w:top w:val="nil"/>
              <w:left w:val="nil"/>
              <w:bottom w:val="single" w:sz="4" w:space="0" w:color="auto"/>
              <w:right w:val="single" w:sz="4" w:space="0" w:color="auto"/>
            </w:tcBorders>
            <w:shd w:val="clear" w:color="000000" w:fill="538DD5"/>
            <w:noWrap/>
            <w:vAlign w:val="center"/>
            <w:hideMark/>
          </w:tcPr>
          <w:p w14:paraId="078567BE"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15.543,19</w:t>
            </w:r>
          </w:p>
        </w:tc>
        <w:tc>
          <w:tcPr>
            <w:tcW w:w="542" w:type="pct"/>
            <w:tcBorders>
              <w:top w:val="nil"/>
              <w:left w:val="nil"/>
              <w:bottom w:val="single" w:sz="4" w:space="0" w:color="auto"/>
              <w:right w:val="single" w:sz="4" w:space="0" w:color="auto"/>
            </w:tcBorders>
            <w:shd w:val="clear" w:color="000000" w:fill="538DD5"/>
            <w:noWrap/>
            <w:vAlign w:val="center"/>
            <w:hideMark/>
          </w:tcPr>
          <w:p w14:paraId="23E98DE9"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4.423.970,83</w:t>
            </w:r>
          </w:p>
        </w:tc>
        <w:tc>
          <w:tcPr>
            <w:tcW w:w="539" w:type="pct"/>
            <w:tcBorders>
              <w:top w:val="nil"/>
              <w:left w:val="nil"/>
              <w:bottom w:val="single" w:sz="4" w:space="0" w:color="auto"/>
              <w:right w:val="single" w:sz="4" w:space="0" w:color="auto"/>
            </w:tcBorders>
            <w:shd w:val="clear" w:color="000000" w:fill="538DD5"/>
            <w:noWrap/>
            <w:vAlign w:val="center"/>
            <w:hideMark/>
          </w:tcPr>
          <w:p w14:paraId="51F5EBBA"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4.439.514,02</w:t>
            </w:r>
          </w:p>
        </w:tc>
      </w:tr>
      <w:tr w:rsidR="0065022A" w14:paraId="2FE0BDC1" w14:textId="77777777" w:rsidTr="00D60D2E">
        <w:trPr>
          <w:trHeight w:val="518"/>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40711725"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2. - Fortalecer la defensa legal del Estado</w:t>
            </w:r>
          </w:p>
        </w:tc>
        <w:tc>
          <w:tcPr>
            <w:tcW w:w="1250" w:type="pct"/>
            <w:tcBorders>
              <w:top w:val="nil"/>
              <w:left w:val="nil"/>
              <w:bottom w:val="single" w:sz="4" w:space="0" w:color="auto"/>
              <w:right w:val="single" w:sz="4" w:space="0" w:color="auto"/>
            </w:tcBorders>
            <w:shd w:val="clear" w:color="auto" w:fill="auto"/>
            <w:vAlign w:val="center"/>
            <w:hideMark/>
          </w:tcPr>
          <w:p w14:paraId="4D91CEF7"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2.1. - Capacitar a los funcionarios de la PGE en temas jurídicos y gestión de casos orales</w:t>
            </w:r>
          </w:p>
        </w:tc>
        <w:tc>
          <w:tcPr>
            <w:tcW w:w="685" w:type="pct"/>
            <w:tcBorders>
              <w:top w:val="nil"/>
              <w:left w:val="nil"/>
              <w:bottom w:val="single" w:sz="4" w:space="0" w:color="auto"/>
              <w:right w:val="single" w:sz="4" w:space="0" w:color="auto"/>
            </w:tcBorders>
            <w:shd w:val="clear" w:color="auto" w:fill="auto"/>
            <w:noWrap/>
            <w:vAlign w:val="center"/>
            <w:hideMark/>
          </w:tcPr>
          <w:p w14:paraId="6DBDC27A"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23DABFFA"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1A03A4D4"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18D705AD"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85.750,18 </w:t>
            </w:r>
          </w:p>
        </w:tc>
        <w:tc>
          <w:tcPr>
            <w:tcW w:w="539" w:type="pct"/>
            <w:tcBorders>
              <w:top w:val="nil"/>
              <w:left w:val="nil"/>
              <w:bottom w:val="single" w:sz="4" w:space="0" w:color="auto"/>
              <w:right w:val="single" w:sz="4" w:space="0" w:color="auto"/>
            </w:tcBorders>
            <w:shd w:val="clear" w:color="auto" w:fill="auto"/>
            <w:noWrap/>
            <w:vAlign w:val="center"/>
            <w:hideMark/>
          </w:tcPr>
          <w:p w14:paraId="0C017B38"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85.750,18 </w:t>
            </w:r>
          </w:p>
        </w:tc>
      </w:tr>
      <w:tr w:rsidR="0065022A" w14:paraId="298BAACC" w14:textId="77777777" w:rsidTr="00D60D2E">
        <w:trPr>
          <w:trHeight w:val="413"/>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5BDC679C"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2. - Fortalecer la defensa legal del Estado</w:t>
            </w:r>
          </w:p>
        </w:tc>
        <w:tc>
          <w:tcPr>
            <w:tcW w:w="1250" w:type="pct"/>
            <w:tcBorders>
              <w:top w:val="nil"/>
              <w:left w:val="nil"/>
              <w:bottom w:val="single" w:sz="4" w:space="0" w:color="auto"/>
              <w:right w:val="single" w:sz="4" w:space="0" w:color="auto"/>
            </w:tcBorders>
            <w:shd w:val="clear" w:color="auto" w:fill="auto"/>
            <w:vAlign w:val="center"/>
            <w:hideMark/>
          </w:tcPr>
          <w:p w14:paraId="317FA4FD"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2.2. - Brindar una capacitación especializada en jurisprudencia internacional</w:t>
            </w:r>
          </w:p>
        </w:tc>
        <w:tc>
          <w:tcPr>
            <w:tcW w:w="685" w:type="pct"/>
            <w:tcBorders>
              <w:top w:val="nil"/>
              <w:left w:val="nil"/>
              <w:bottom w:val="single" w:sz="4" w:space="0" w:color="auto"/>
              <w:right w:val="single" w:sz="4" w:space="0" w:color="auto"/>
            </w:tcBorders>
            <w:shd w:val="clear" w:color="auto" w:fill="auto"/>
            <w:noWrap/>
            <w:vAlign w:val="center"/>
            <w:hideMark/>
          </w:tcPr>
          <w:p w14:paraId="08E9452C"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780F527E"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7EDC9DBC"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709C4023"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21.365,78 </w:t>
            </w:r>
          </w:p>
        </w:tc>
        <w:tc>
          <w:tcPr>
            <w:tcW w:w="539" w:type="pct"/>
            <w:tcBorders>
              <w:top w:val="nil"/>
              <w:left w:val="nil"/>
              <w:bottom w:val="single" w:sz="4" w:space="0" w:color="auto"/>
              <w:right w:val="single" w:sz="4" w:space="0" w:color="auto"/>
            </w:tcBorders>
            <w:shd w:val="clear" w:color="auto" w:fill="auto"/>
            <w:noWrap/>
            <w:vAlign w:val="center"/>
            <w:hideMark/>
          </w:tcPr>
          <w:p w14:paraId="35556EE2"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21.365,78 </w:t>
            </w:r>
          </w:p>
        </w:tc>
      </w:tr>
      <w:tr w:rsidR="0065022A" w14:paraId="3DC5BB8A" w14:textId="77777777" w:rsidTr="00D60D2E">
        <w:trPr>
          <w:trHeight w:val="603"/>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6E240DA7"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2. - Fortalecer la defensa legal del Estado</w:t>
            </w:r>
          </w:p>
        </w:tc>
        <w:tc>
          <w:tcPr>
            <w:tcW w:w="1250" w:type="pct"/>
            <w:tcBorders>
              <w:top w:val="nil"/>
              <w:left w:val="nil"/>
              <w:bottom w:val="single" w:sz="4" w:space="0" w:color="auto"/>
              <w:right w:val="single" w:sz="4" w:space="0" w:color="auto"/>
            </w:tcBorders>
            <w:shd w:val="clear" w:color="auto" w:fill="auto"/>
            <w:vAlign w:val="center"/>
            <w:hideMark/>
          </w:tcPr>
          <w:p w14:paraId="782CACAF"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2.3. - Elaborar protocolos y guías para la coordinación interinstitucional para la defensa de casos.</w:t>
            </w:r>
          </w:p>
        </w:tc>
        <w:tc>
          <w:tcPr>
            <w:tcW w:w="685" w:type="pct"/>
            <w:tcBorders>
              <w:top w:val="nil"/>
              <w:left w:val="nil"/>
              <w:bottom w:val="single" w:sz="4" w:space="0" w:color="auto"/>
              <w:right w:val="single" w:sz="4" w:space="0" w:color="auto"/>
            </w:tcBorders>
            <w:shd w:val="clear" w:color="auto" w:fill="auto"/>
            <w:noWrap/>
            <w:vAlign w:val="center"/>
            <w:hideMark/>
          </w:tcPr>
          <w:p w14:paraId="64E9C0DD"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7698D1E6"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5FB948CF"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622B0889"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39.374,00 </w:t>
            </w:r>
          </w:p>
        </w:tc>
        <w:tc>
          <w:tcPr>
            <w:tcW w:w="539" w:type="pct"/>
            <w:tcBorders>
              <w:top w:val="nil"/>
              <w:left w:val="nil"/>
              <w:bottom w:val="single" w:sz="4" w:space="0" w:color="auto"/>
              <w:right w:val="single" w:sz="4" w:space="0" w:color="auto"/>
            </w:tcBorders>
            <w:shd w:val="clear" w:color="auto" w:fill="auto"/>
            <w:noWrap/>
            <w:vAlign w:val="center"/>
            <w:hideMark/>
          </w:tcPr>
          <w:p w14:paraId="27F359B8"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39.374,00 </w:t>
            </w:r>
          </w:p>
        </w:tc>
      </w:tr>
      <w:tr w:rsidR="0065022A" w14:paraId="45B92295" w14:textId="77777777" w:rsidTr="00D60D2E">
        <w:trPr>
          <w:trHeight w:val="331"/>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65B872D9"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2. - Fortalecer la defensa legal del Estado</w:t>
            </w:r>
          </w:p>
        </w:tc>
        <w:tc>
          <w:tcPr>
            <w:tcW w:w="1250" w:type="pct"/>
            <w:tcBorders>
              <w:top w:val="nil"/>
              <w:left w:val="nil"/>
              <w:bottom w:val="single" w:sz="4" w:space="0" w:color="auto"/>
              <w:right w:val="single" w:sz="4" w:space="0" w:color="auto"/>
            </w:tcBorders>
            <w:shd w:val="clear" w:color="auto" w:fill="auto"/>
            <w:vAlign w:val="center"/>
            <w:hideMark/>
          </w:tcPr>
          <w:p w14:paraId="701AE73D"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2.4. - Obtener acceso a bases de datos especializadas en temas jurídicos.</w:t>
            </w:r>
          </w:p>
        </w:tc>
        <w:tc>
          <w:tcPr>
            <w:tcW w:w="685" w:type="pct"/>
            <w:tcBorders>
              <w:top w:val="nil"/>
              <w:left w:val="nil"/>
              <w:bottom w:val="single" w:sz="4" w:space="0" w:color="auto"/>
              <w:right w:val="single" w:sz="4" w:space="0" w:color="auto"/>
            </w:tcBorders>
            <w:shd w:val="clear" w:color="auto" w:fill="auto"/>
            <w:noWrap/>
            <w:vAlign w:val="center"/>
            <w:hideMark/>
          </w:tcPr>
          <w:p w14:paraId="53260B64"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758FDB75"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2AE3196E"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65536999"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8.870,16 </w:t>
            </w:r>
          </w:p>
        </w:tc>
        <w:tc>
          <w:tcPr>
            <w:tcW w:w="539" w:type="pct"/>
            <w:tcBorders>
              <w:top w:val="nil"/>
              <w:left w:val="nil"/>
              <w:bottom w:val="single" w:sz="4" w:space="0" w:color="auto"/>
              <w:right w:val="single" w:sz="4" w:space="0" w:color="auto"/>
            </w:tcBorders>
            <w:shd w:val="clear" w:color="auto" w:fill="auto"/>
            <w:noWrap/>
            <w:vAlign w:val="center"/>
            <w:hideMark/>
          </w:tcPr>
          <w:p w14:paraId="4C070E37"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8.870,16 </w:t>
            </w:r>
          </w:p>
        </w:tc>
      </w:tr>
      <w:tr w:rsidR="0065022A" w14:paraId="54A15E84" w14:textId="77777777" w:rsidTr="00D60D2E">
        <w:trPr>
          <w:trHeight w:val="99"/>
        </w:trPr>
        <w:tc>
          <w:tcPr>
            <w:tcW w:w="3166" w:type="pct"/>
            <w:gridSpan w:val="3"/>
            <w:tcBorders>
              <w:top w:val="single" w:sz="4" w:space="0" w:color="auto"/>
              <w:left w:val="single" w:sz="4" w:space="0" w:color="auto"/>
              <w:bottom w:val="single" w:sz="4" w:space="0" w:color="auto"/>
              <w:right w:val="single" w:sz="4" w:space="0" w:color="000000"/>
            </w:tcBorders>
            <w:shd w:val="clear" w:color="000000" w:fill="538DD5"/>
            <w:vAlign w:val="center"/>
            <w:hideMark/>
          </w:tcPr>
          <w:p w14:paraId="6A70765C" w14:textId="77777777" w:rsidR="0065022A" w:rsidRDefault="0065022A" w:rsidP="002314D8">
            <w:pPr>
              <w:spacing w:after="0" w:line="240" w:lineRule="auto"/>
              <w:jc w:val="center"/>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COMPONENTE 2</w:t>
            </w:r>
          </w:p>
        </w:tc>
        <w:tc>
          <w:tcPr>
            <w:tcW w:w="273" w:type="pct"/>
            <w:tcBorders>
              <w:top w:val="nil"/>
              <w:left w:val="nil"/>
              <w:bottom w:val="single" w:sz="4" w:space="0" w:color="auto"/>
              <w:right w:val="single" w:sz="4" w:space="0" w:color="auto"/>
            </w:tcBorders>
            <w:shd w:val="clear" w:color="000000" w:fill="538DD5"/>
            <w:noWrap/>
            <w:vAlign w:val="center"/>
            <w:hideMark/>
          </w:tcPr>
          <w:p w14:paraId="77798527" w14:textId="77777777" w:rsidR="0065022A" w:rsidRDefault="0065022A" w:rsidP="002314D8">
            <w:pPr>
              <w:spacing w:after="0" w:line="240" w:lineRule="auto"/>
              <w:jc w:val="center"/>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w:t>
            </w:r>
          </w:p>
        </w:tc>
        <w:tc>
          <w:tcPr>
            <w:tcW w:w="480" w:type="pct"/>
            <w:tcBorders>
              <w:top w:val="nil"/>
              <w:left w:val="nil"/>
              <w:bottom w:val="single" w:sz="4" w:space="0" w:color="auto"/>
              <w:right w:val="single" w:sz="4" w:space="0" w:color="auto"/>
            </w:tcBorders>
            <w:shd w:val="clear" w:color="000000" w:fill="538DD5"/>
            <w:noWrap/>
            <w:vAlign w:val="center"/>
            <w:hideMark/>
          </w:tcPr>
          <w:p w14:paraId="0BF6324A"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   </w:t>
            </w:r>
          </w:p>
        </w:tc>
        <w:tc>
          <w:tcPr>
            <w:tcW w:w="542" w:type="pct"/>
            <w:tcBorders>
              <w:top w:val="nil"/>
              <w:left w:val="nil"/>
              <w:bottom w:val="single" w:sz="4" w:space="0" w:color="auto"/>
              <w:right w:val="single" w:sz="4" w:space="0" w:color="auto"/>
            </w:tcBorders>
            <w:shd w:val="clear" w:color="000000" w:fill="538DD5"/>
            <w:noWrap/>
            <w:vAlign w:val="center"/>
            <w:hideMark/>
          </w:tcPr>
          <w:p w14:paraId="7EF403F1"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155.360,12 </w:t>
            </w:r>
          </w:p>
        </w:tc>
        <w:tc>
          <w:tcPr>
            <w:tcW w:w="539" w:type="pct"/>
            <w:tcBorders>
              <w:top w:val="nil"/>
              <w:left w:val="nil"/>
              <w:bottom w:val="single" w:sz="4" w:space="0" w:color="auto"/>
              <w:right w:val="single" w:sz="4" w:space="0" w:color="auto"/>
            </w:tcBorders>
            <w:shd w:val="clear" w:color="000000" w:fill="538DD5"/>
            <w:noWrap/>
            <w:vAlign w:val="center"/>
            <w:hideMark/>
          </w:tcPr>
          <w:p w14:paraId="72482431"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155.360,12 </w:t>
            </w:r>
          </w:p>
        </w:tc>
      </w:tr>
      <w:tr w:rsidR="0065022A" w14:paraId="2FC7A25E" w14:textId="77777777" w:rsidTr="00D60D2E">
        <w:trPr>
          <w:trHeight w:val="739"/>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4DB3CB63"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3. - Fortalecer la capacidad de control, consultoría y asesoría legal de la PGE</w:t>
            </w:r>
          </w:p>
        </w:tc>
        <w:tc>
          <w:tcPr>
            <w:tcW w:w="1250" w:type="pct"/>
            <w:tcBorders>
              <w:top w:val="nil"/>
              <w:left w:val="nil"/>
              <w:bottom w:val="single" w:sz="4" w:space="0" w:color="auto"/>
              <w:right w:val="single" w:sz="4" w:space="0" w:color="auto"/>
            </w:tcBorders>
            <w:shd w:val="clear" w:color="auto" w:fill="auto"/>
            <w:vAlign w:val="center"/>
            <w:hideMark/>
          </w:tcPr>
          <w:p w14:paraId="058E8237"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3.1. - Generar un sistema informático para brindar asesoría Legal a Organismos del Estado para no infringir los marcos normativos y para desarrollar una defensa óptima.</w:t>
            </w:r>
          </w:p>
        </w:tc>
        <w:tc>
          <w:tcPr>
            <w:tcW w:w="685" w:type="pct"/>
            <w:tcBorders>
              <w:top w:val="nil"/>
              <w:left w:val="nil"/>
              <w:bottom w:val="single" w:sz="4" w:space="0" w:color="auto"/>
              <w:right w:val="single" w:sz="4" w:space="0" w:color="auto"/>
            </w:tcBorders>
            <w:shd w:val="clear" w:color="auto" w:fill="auto"/>
            <w:noWrap/>
            <w:vAlign w:val="center"/>
            <w:hideMark/>
          </w:tcPr>
          <w:p w14:paraId="47262503"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1D66C44D"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vAlign w:val="center"/>
            <w:hideMark/>
          </w:tcPr>
          <w:p w14:paraId="0A857A25"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3DAB8B73"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8.736,00 </w:t>
            </w:r>
          </w:p>
        </w:tc>
        <w:tc>
          <w:tcPr>
            <w:tcW w:w="539" w:type="pct"/>
            <w:tcBorders>
              <w:top w:val="nil"/>
              <w:left w:val="nil"/>
              <w:bottom w:val="single" w:sz="4" w:space="0" w:color="auto"/>
              <w:right w:val="single" w:sz="4" w:space="0" w:color="auto"/>
            </w:tcBorders>
            <w:shd w:val="clear" w:color="auto" w:fill="auto"/>
            <w:noWrap/>
            <w:vAlign w:val="center"/>
            <w:hideMark/>
          </w:tcPr>
          <w:p w14:paraId="7911827B"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8.736,00 </w:t>
            </w:r>
          </w:p>
        </w:tc>
      </w:tr>
      <w:tr w:rsidR="0065022A" w14:paraId="5D746AC6" w14:textId="77777777" w:rsidTr="00D60D2E">
        <w:trPr>
          <w:trHeight w:val="581"/>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18ACC964"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3. - Fortalecer la capacidad de control, consultoría y asesoría legal de la PGE</w:t>
            </w:r>
          </w:p>
        </w:tc>
        <w:tc>
          <w:tcPr>
            <w:tcW w:w="1250" w:type="pct"/>
            <w:tcBorders>
              <w:top w:val="nil"/>
              <w:left w:val="nil"/>
              <w:bottom w:val="single" w:sz="4" w:space="0" w:color="auto"/>
              <w:right w:val="single" w:sz="4" w:space="0" w:color="auto"/>
            </w:tcBorders>
            <w:shd w:val="clear" w:color="auto" w:fill="auto"/>
            <w:vAlign w:val="center"/>
            <w:hideMark/>
          </w:tcPr>
          <w:p w14:paraId="37B6C19E"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3.2. - Capacitar a organismos del Estado o Municipios para la formulación adecuada de sus consultas.</w:t>
            </w:r>
          </w:p>
        </w:tc>
        <w:tc>
          <w:tcPr>
            <w:tcW w:w="685" w:type="pct"/>
            <w:tcBorders>
              <w:top w:val="nil"/>
              <w:left w:val="nil"/>
              <w:bottom w:val="single" w:sz="4" w:space="0" w:color="auto"/>
              <w:right w:val="single" w:sz="4" w:space="0" w:color="auto"/>
            </w:tcBorders>
            <w:shd w:val="clear" w:color="auto" w:fill="auto"/>
            <w:noWrap/>
            <w:vAlign w:val="center"/>
            <w:hideMark/>
          </w:tcPr>
          <w:p w14:paraId="792E9E64"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0C7F53EC"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0BC3464D"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5D6CA8F9"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131.947,36 </w:t>
            </w:r>
          </w:p>
        </w:tc>
        <w:tc>
          <w:tcPr>
            <w:tcW w:w="539" w:type="pct"/>
            <w:tcBorders>
              <w:top w:val="nil"/>
              <w:left w:val="nil"/>
              <w:bottom w:val="single" w:sz="4" w:space="0" w:color="auto"/>
              <w:right w:val="single" w:sz="4" w:space="0" w:color="auto"/>
            </w:tcBorders>
            <w:shd w:val="clear" w:color="auto" w:fill="auto"/>
            <w:noWrap/>
            <w:vAlign w:val="center"/>
            <w:hideMark/>
          </w:tcPr>
          <w:p w14:paraId="2C9B50B8"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131.947,36 </w:t>
            </w:r>
          </w:p>
        </w:tc>
      </w:tr>
      <w:tr w:rsidR="0065022A" w14:paraId="440D007F" w14:textId="77777777" w:rsidTr="00D60D2E">
        <w:trPr>
          <w:trHeight w:val="53"/>
        </w:trPr>
        <w:tc>
          <w:tcPr>
            <w:tcW w:w="3166" w:type="pct"/>
            <w:gridSpan w:val="3"/>
            <w:tcBorders>
              <w:top w:val="single" w:sz="4" w:space="0" w:color="auto"/>
              <w:left w:val="single" w:sz="4" w:space="0" w:color="auto"/>
              <w:bottom w:val="single" w:sz="4" w:space="0" w:color="auto"/>
              <w:right w:val="single" w:sz="4" w:space="0" w:color="000000"/>
            </w:tcBorders>
            <w:shd w:val="clear" w:color="000000" w:fill="538DD5"/>
            <w:vAlign w:val="center"/>
            <w:hideMark/>
          </w:tcPr>
          <w:p w14:paraId="56311627" w14:textId="77777777" w:rsidR="0065022A" w:rsidRDefault="0065022A" w:rsidP="002314D8">
            <w:pPr>
              <w:spacing w:after="0" w:line="240" w:lineRule="auto"/>
              <w:jc w:val="center"/>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COMPONENTE 3</w:t>
            </w:r>
          </w:p>
        </w:tc>
        <w:tc>
          <w:tcPr>
            <w:tcW w:w="273" w:type="pct"/>
            <w:tcBorders>
              <w:top w:val="nil"/>
              <w:left w:val="nil"/>
              <w:bottom w:val="single" w:sz="4" w:space="0" w:color="auto"/>
              <w:right w:val="single" w:sz="4" w:space="0" w:color="auto"/>
            </w:tcBorders>
            <w:shd w:val="clear" w:color="000000" w:fill="538DD5"/>
            <w:noWrap/>
            <w:vAlign w:val="center"/>
            <w:hideMark/>
          </w:tcPr>
          <w:p w14:paraId="342BC969" w14:textId="77777777" w:rsidR="0065022A" w:rsidRDefault="0065022A" w:rsidP="002314D8">
            <w:pPr>
              <w:spacing w:after="0" w:line="240" w:lineRule="auto"/>
              <w:jc w:val="center"/>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w:t>
            </w:r>
          </w:p>
        </w:tc>
        <w:tc>
          <w:tcPr>
            <w:tcW w:w="480" w:type="pct"/>
            <w:tcBorders>
              <w:top w:val="nil"/>
              <w:left w:val="nil"/>
              <w:bottom w:val="single" w:sz="4" w:space="0" w:color="auto"/>
              <w:right w:val="single" w:sz="4" w:space="0" w:color="auto"/>
            </w:tcBorders>
            <w:shd w:val="clear" w:color="000000" w:fill="538DD5"/>
            <w:noWrap/>
            <w:vAlign w:val="center"/>
            <w:hideMark/>
          </w:tcPr>
          <w:p w14:paraId="0EDA828F"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   </w:t>
            </w:r>
          </w:p>
        </w:tc>
        <w:tc>
          <w:tcPr>
            <w:tcW w:w="542" w:type="pct"/>
            <w:tcBorders>
              <w:top w:val="nil"/>
              <w:left w:val="nil"/>
              <w:bottom w:val="single" w:sz="4" w:space="0" w:color="auto"/>
              <w:right w:val="single" w:sz="4" w:space="0" w:color="auto"/>
            </w:tcBorders>
            <w:shd w:val="clear" w:color="000000" w:fill="538DD5"/>
            <w:noWrap/>
            <w:vAlign w:val="center"/>
            <w:hideMark/>
          </w:tcPr>
          <w:p w14:paraId="6FCF7160"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140.683,36 </w:t>
            </w:r>
          </w:p>
        </w:tc>
        <w:tc>
          <w:tcPr>
            <w:tcW w:w="539" w:type="pct"/>
            <w:tcBorders>
              <w:top w:val="nil"/>
              <w:left w:val="nil"/>
              <w:bottom w:val="single" w:sz="4" w:space="0" w:color="auto"/>
              <w:right w:val="single" w:sz="4" w:space="0" w:color="auto"/>
            </w:tcBorders>
            <w:shd w:val="clear" w:color="000000" w:fill="538DD5"/>
            <w:noWrap/>
            <w:vAlign w:val="center"/>
            <w:hideMark/>
          </w:tcPr>
          <w:p w14:paraId="043D7062"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140.683,36 </w:t>
            </w:r>
          </w:p>
        </w:tc>
      </w:tr>
      <w:tr w:rsidR="0065022A" w14:paraId="36520624" w14:textId="77777777" w:rsidTr="00D60D2E">
        <w:trPr>
          <w:trHeight w:val="244"/>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41D8D803"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4. - Fortalecer los Centros de Mediación de la PGE</w:t>
            </w:r>
          </w:p>
        </w:tc>
        <w:tc>
          <w:tcPr>
            <w:tcW w:w="1250" w:type="pct"/>
            <w:tcBorders>
              <w:top w:val="nil"/>
              <w:left w:val="nil"/>
              <w:bottom w:val="single" w:sz="4" w:space="0" w:color="auto"/>
              <w:right w:val="single" w:sz="4" w:space="0" w:color="auto"/>
            </w:tcBorders>
            <w:shd w:val="clear" w:color="auto" w:fill="auto"/>
            <w:vAlign w:val="center"/>
            <w:hideMark/>
          </w:tcPr>
          <w:p w14:paraId="36E3B6B2"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4.1. - Readecuar los espacios de los centros de mediación.</w:t>
            </w:r>
          </w:p>
        </w:tc>
        <w:tc>
          <w:tcPr>
            <w:tcW w:w="685" w:type="pct"/>
            <w:tcBorders>
              <w:top w:val="nil"/>
              <w:left w:val="nil"/>
              <w:bottom w:val="single" w:sz="4" w:space="0" w:color="auto"/>
              <w:right w:val="single" w:sz="4" w:space="0" w:color="auto"/>
            </w:tcBorders>
            <w:shd w:val="clear" w:color="auto" w:fill="auto"/>
            <w:noWrap/>
            <w:vAlign w:val="center"/>
            <w:hideMark/>
          </w:tcPr>
          <w:p w14:paraId="58E488B4"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525D4A84"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60007DB9"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0DE3FEE6"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147.791,02 </w:t>
            </w:r>
          </w:p>
        </w:tc>
        <w:tc>
          <w:tcPr>
            <w:tcW w:w="539" w:type="pct"/>
            <w:tcBorders>
              <w:top w:val="nil"/>
              <w:left w:val="nil"/>
              <w:bottom w:val="single" w:sz="4" w:space="0" w:color="auto"/>
              <w:right w:val="single" w:sz="4" w:space="0" w:color="auto"/>
            </w:tcBorders>
            <w:shd w:val="clear" w:color="auto" w:fill="auto"/>
            <w:noWrap/>
            <w:vAlign w:val="center"/>
            <w:hideMark/>
          </w:tcPr>
          <w:p w14:paraId="7EB6651D"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147.791,02 </w:t>
            </w:r>
          </w:p>
        </w:tc>
      </w:tr>
      <w:tr w:rsidR="0065022A" w14:paraId="4F39B2A8" w14:textId="77777777" w:rsidTr="00D60D2E">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03C26F9E"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4. - Fortalecer los Centros de Mediación de la PGE</w:t>
            </w:r>
          </w:p>
        </w:tc>
        <w:tc>
          <w:tcPr>
            <w:tcW w:w="1250" w:type="pct"/>
            <w:tcBorders>
              <w:top w:val="nil"/>
              <w:left w:val="nil"/>
              <w:bottom w:val="single" w:sz="4" w:space="0" w:color="auto"/>
              <w:right w:val="single" w:sz="4" w:space="0" w:color="auto"/>
            </w:tcBorders>
            <w:shd w:val="clear" w:color="auto" w:fill="auto"/>
            <w:vAlign w:val="center"/>
            <w:hideMark/>
          </w:tcPr>
          <w:p w14:paraId="5540C063"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4.1. - Readecuar los espacios de los centros de mediación.</w:t>
            </w:r>
          </w:p>
        </w:tc>
        <w:tc>
          <w:tcPr>
            <w:tcW w:w="685" w:type="pct"/>
            <w:tcBorders>
              <w:top w:val="nil"/>
              <w:left w:val="nil"/>
              <w:bottom w:val="single" w:sz="4" w:space="0" w:color="auto"/>
              <w:right w:val="single" w:sz="4" w:space="0" w:color="auto"/>
            </w:tcBorders>
            <w:shd w:val="clear" w:color="auto" w:fill="auto"/>
            <w:noWrap/>
            <w:vAlign w:val="center"/>
            <w:hideMark/>
          </w:tcPr>
          <w:p w14:paraId="30217473"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BIENES_DE_LARGA_DURACION__PROPIEDAD_PLANTA_Y_EQUIPO</w:t>
            </w:r>
          </w:p>
        </w:tc>
        <w:tc>
          <w:tcPr>
            <w:tcW w:w="273" w:type="pct"/>
            <w:tcBorders>
              <w:top w:val="nil"/>
              <w:left w:val="nil"/>
              <w:bottom w:val="single" w:sz="4" w:space="0" w:color="auto"/>
              <w:right w:val="single" w:sz="4" w:space="0" w:color="auto"/>
            </w:tcBorders>
            <w:shd w:val="clear" w:color="auto" w:fill="auto"/>
            <w:noWrap/>
            <w:vAlign w:val="center"/>
            <w:hideMark/>
          </w:tcPr>
          <w:p w14:paraId="0E7D3B7E"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84</w:t>
            </w:r>
          </w:p>
        </w:tc>
        <w:tc>
          <w:tcPr>
            <w:tcW w:w="480" w:type="pct"/>
            <w:tcBorders>
              <w:top w:val="nil"/>
              <w:left w:val="nil"/>
              <w:bottom w:val="single" w:sz="4" w:space="0" w:color="auto"/>
              <w:right w:val="single" w:sz="4" w:space="0" w:color="auto"/>
            </w:tcBorders>
            <w:shd w:val="clear" w:color="auto" w:fill="auto"/>
            <w:noWrap/>
            <w:vAlign w:val="center"/>
            <w:hideMark/>
          </w:tcPr>
          <w:p w14:paraId="756010D6"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0172C733"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107.877,90 </w:t>
            </w:r>
          </w:p>
        </w:tc>
        <w:tc>
          <w:tcPr>
            <w:tcW w:w="539" w:type="pct"/>
            <w:tcBorders>
              <w:top w:val="nil"/>
              <w:left w:val="nil"/>
              <w:bottom w:val="single" w:sz="4" w:space="0" w:color="auto"/>
              <w:right w:val="single" w:sz="4" w:space="0" w:color="auto"/>
            </w:tcBorders>
            <w:shd w:val="clear" w:color="auto" w:fill="auto"/>
            <w:noWrap/>
            <w:vAlign w:val="center"/>
            <w:hideMark/>
          </w:tcPr>
          <w:p w14:paraId="2B50A0E8"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107.877,90 </w:t>
            </w:r>
          </w:p>
        </w:tc>
      </w:tr>
      <w:tr w:rsidR="0065022A" w14:paraId="2A457B77" w14:textId="77777777" w:rsidTr="00D60D2E">
        <w:trPr>
          <w:trHeight w:val="53"/>
        </w:trPr>
        <w:tc>
          <w:tcPr>
            <w:tcW w:w="3166" w:type="pct"/>
            <w:gridSpan w:val="3"/>
            <w:tcBorders>
              <w:top w:val="single" w:sz="4" w:space="0" w:color="auto"/>
              <w:left w:val="single" w:sz="4" w:space="0" w:color="auto"/>
              <w:bottom w:val="single" w:sz="4" w:space="0" w:color="auto"/>
              <w:right w:val="single" w:sz="4" w:space="0" w:color="000000"/>
            </w:tcBorders>
            <w:shd w:val="clear" w:color="000000" w:fill="538DD5"/>
            <w:vAlign w:val="center"/>
            <w:hideMark/>
          </w:tcPr>
          <w:p w14:paraId="7387BC38" w14:textId="77777777" w:rsidR="0065022A" w:rsidRDefault="0065022A" w:rsidP="002314D8">
            <w:pPr>
              <w:spacing w:after="0" w:line="240" w:lineRule="auto"/>
              <w:jc w:val="center"/>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COMPONENTE 4</w:t>
            </w:r>
          </w:p>
        </w:tc>
        <w:tc>
          <w:tcPr>
            <w:tcW w:w="273" w:type="pct"/>
            <w:tcBorders>
              <w:top w:val="nil"/>
              <w:left w:val="nil"/>
              <w:bottom w:val="single" w:sz="4" w:space="0" w:color="auto"/>
              <w:right w:val="single" w:sz="4" w:space="0" w:color="auto"/>
            </w:tcBorders>
            <w:shd w:val="clear" w:color="000000" w:fill="538DD5"/>
            <w:noWrap/>
            <w:vAlign w:val="center"/>
            <w:hideMark/>
          </w:tcPr>
          <w:p w14:paraId="394CA921" w14:textId="77777777" w:rsidR="0065022A" w:rsidRDefault="0065022A" w:rsidP="002314D8">
            <w:pPr>
              <w:spacing w:after="0" w:line="240" w:lineRule="auto"/>
              <w:jc w:val="center"/>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w:t>
            </w:r>
          </w:p>
        </w:tc>
        <w:tc>
          <w:tcPr>
            <w:tcW w:w="480" w:type="pct"/>
            <w:tcBorders>
              <w:top w:val="nil"/>
              <w:left w:val="nil"/>
              <w:bottom w:val="single" w:sz="4" w:space="0" w:color="auto"/>
              <w:right w:val="single" w:sz="4" w:space="0" w:color="auto"/>
            </w:tcBorders>
            <w:shd w:val="clear" w:color="000000" w:fill="538DD5"/>
            <w:noWrap/>
            <w:vAlign w:val="center"/>
            <w:hideMark/>
          </w:tcPr>
          <w:p w14:paraId="4D012956"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   </w:t>
            </w:r>
          </w:p>
        </w:tc>
        <w:tc>
          <w:tcPr>
            <w:tcW w:w="542" w:type="pct"/>
            <w:tcBorders>
              <w:top w:val="nil"/>
              <w:left w:val="nil"/>
              <w:bottom w:val="single" w:sz="4" w:space="0" w:color="auto"/>
              <w:right w:val="single" w:sz="4" w:space="0" w:color="auto"/>
            </w:tcBorders>
            <w:shd w:val="clear" w:color="000000" w:fill="538DD5"/>
            <w:noWrap/>
            <w:vAlign w:val="center"/>
            <w:hideMark/>
          </w:tcPr>
          <w:p w14:paraId="409B939F"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255.668,92 </w:t>
            </w:r>
          </w:p>
        </w:tc>
        <w:tc>
          <w:tcPr>
            <w:tcW w:w="539" w:type="pct"/>
            <w:tcBorders>
              <w:top w:val="nil"/>
              <w:left w:val="nil"/>
              <w:bottom w:val="single" w:sz="4" w:space="0" w:color="auto"/>
              <w:right w:val="single" w:sz="4" w:space="0" w:color="auto"/>
            </w:tcBorders>
            <w:shd w:val="clear" w:color="000000" w:fill="538DD5"/>
            <w:noWrap/>
            <w:vAlign w:val="center"/>
            <w:hideMark/>
          </w:tcPr>
          <w:p w14:paraId="2B7B0A43"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255.668,92 </w:t>
            </w:r>
          </w:p>
        </w:tc>
      </w:tr>
      <w:tr w:rsidR="0065022A" w14:paraId="491A5A01" w14:textId="77777777" w:rsidTr="00D60D2E">
        <w:trPr>
          <w:trHeight w:val="445"/>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469E56E0"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1250" w:type="pct"/>
            <w:tcBorders>
              <w:top w:val="nil"/>
              <w:left w:val="nil"/>
              <w:bottom w:val="single" w:sz="4" w:space="0" w:color="auto"/>
              <w:right w:val="single" w:sz="4" w:space="0" w:color="auto"/>
            </w:tcBorders>
            <w:shd w:val="clear" w:color="auto" w:fill="auto"/>
            <w:vAlign w:val="center"/>
            <w:hideMark/>
          </w:tcPr>
          <w:p w14:paraId="4377B6A0"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5.1. - Diseñar una estrategia de comunicación</w:t>
            </w:r>
          </w:p>
        </w:tc>
        <w:tc>
          <w:tcPr>
            <w:tcW w:w="685" w:type="pct"/>
            <w:tcBorders>
              <w:top w:val="nil"/>
              <w:left w:val="nil"/>
              <w:bottom w:val="single" w:sz="4" w:space="0" w:color="auto"/>
              <w:right w:val="single" w:sz="4" w:space="0" w:color="auto"/>
            </w:tcBorders>
            <w:shd w:val="clear" w:color="auto" w:fill="auto"/>
            <w:noWrap/>
            <w:vAlign w:val="center"/>
            <w:hideMark/>
          </w:tcPr>
          <w:p w14:paraId="62A5FD80"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14FB0E7D"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7E6795F7"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66F12CA6"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20.000,00 </w:t>
            </w:r>
          </w:p>
        </w:tc>
        <w:tc>
          <w:tcPr>
            <w:tcW w:w="539" w:type="pct"/>
            <w:tcBorders>
              <w:top w:val="nil"/>
              <w:left w:val="nil"/>
              <w:bottom w:val="single" w:sz="4" w:space="0" w:color="auto"/>
              <w:right w:val="single" w:sz="4" w:space="0" w:color="auto"/>
            </w:tcBorders>
            <w:shd w:val="clear" w:color="auto" w:fill="auto"/>
            <w:noWrap/>
            <w:vAlign w:val="center"/>
            <w:hideMark/>
          </w:tcPr>
          <w:p w14:paraId="4D4AC953"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20.000,00 </w:t>
            </w:r>
          </w:p>
        </w:tc>
      </w:tr>
      <w:tr w:rsidR="0065022A" w14:paraId="4FE2B672" w14:textId="77777777" w:rsidTr="00D60D2E">
        <w:trPr>
          <w:trHeight w:val="243"/>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12FBC4F0"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1250" w:type="pct"/>
            <w:tcBorders>
              <w:top w:val="nil"/>
              <w:left w:val="nil"/>
              <w:bottom w:val="single" w:sz="4" w:space="0" w:color="auto"/>
              <w:right w:val="single" w:sz="4" w:space="0" w:color="auto"/>
            </w:tcBorders>
            <w:shd w:val="clear" w:color="auto" w:fill="auto"/>
            <w:vAlign w:val="center"/>
            <w:hideMark/>
          </w:tcPr>
          <w:p w14:paraId="5FBEE63B"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5.2. - Capacitar en herramientas de comunicación</w:t>
            </w:r>
          </w:p>
        </w:tc>
        <w:tc>
          <w:tcPr>
            <w:tcW w:w="685" w:type="pct"/>
            <w:tcBorders>
              <w:top w:val="nil"/>
              <w:left w:val="nil"/>
              <w:bottom w:val="single" w:sz="4" w:space="0" w:color="auto"/>
              <w:right w:val="single" w:sz="4" w:space="0" w:color="auto"/>
            </w:tcBorders>
            <w:shd w:val="clear" w:color="auto" w:fill="auto"/>
            <w:noWrap/>
            <w:vAlign w:val="center"/>
            <w:hideMark/>
          </w:tcPr>
          <w:p w14:paraId="3993445E"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61B2A94E"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480" w:type="pct"/>
            <w:tcBorders>
              <w:top w:val="nil"/>
              <w:left w:val="nil"/>
              <w:bottom w:val="single" w:sz="4" w:space="0" w:color="auto"/>
              <w:right w:val="single" w:sz="4" w:space="0" w:color="auto"/>
            </w:tcBorders>
            <w:shd w:val="clear" w:color="auto" w:fill="auto"/>
            <w:noWrap/>
            <w:vAlign w:val="center"/>
            <w:hideMark/>
          </w:tcPr>
          <w:p w14:paraId="1E160967"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4E7375C1"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10.000,00 </w:t>
            </w:r>
          </w:p>
        </w:tc>
        <w:tc>
          <w:tcPr>
            <w:tcW w:w="539" w:type="pct"/>
            <w:tcBorders>
              <w:top w:val="nil"/>
              <w:left w:val="nil"/>
              <w:bottom w:val="single" w:sz="4" w:space="0" w:color="auto"/>
              <w:right w:val="single" w:sz="4" w:space="0" w:color="auto"/>
            </w:tcBorders>
            <w:shd w:val="clear" w:color="auto" w:fill="auto"/>
            <w:noWrap/>
            <w:vAlign w:val="center"/>
            <w:hideMark/>
          </w:tcPr>
          <w:p w14:paraId="3E7955F0"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10.000,00 </w:t>
            </w:r>
          </w:p>
        </w:tc>
      </w:tr>
      <w:tr w:rsidR="0065022A" w14:paraId="4E62651C" w14:textId="77777777" w:rsidTr="00D60D2E">
        <w:trPr>
          <w:trHeight w:val="433"/>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477E2096"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lastRenderedPageBreak/>
              <w:t>COMPONENTE 5. - Diseñar e implementar la estrategia de comunicación de la PGE</w:t>
            </w:r>
          </w:p>
        </w:tc>
        <w:tc>
          <w:tcPr>
            <w:tcW w:w="1250" w:type="pct"/>
            <w:tcBorders>
              <w:top w:val="nil"/>
              <w:left w:val="nil"/>
              <w:bottom w:val="single" w:sz="4" w:space="0" w:color="auto"/>
              <w:right w:val="single" w:sz="4" w:space="0" w:color="auto"/>
            </w:tcBorders>
            <w:shd w:val="clear" w:color="auto" w:fill="auto"/>
            <w:vAlign w:val="center"/>
            <w:hideMark/>
          </w:tcPr>
          <w:p w14:paraId="4CB4E6EB"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5.3. - Desarrollar materiales de difusión</w:t>
            </w:r>
          </w:p>
        </w:tc>
        <w:tc>
          <w:tcPr>
            <w:tcW w:w="685" w:type="pct"/>
            <w:tcBorders>
              <w:top w:val="nil"/>
              <w:left w:val="nil"/>
              <w:bottom w:val="single" w:sz="4" w:space="0" w:color="auto"/>
              <w:right w:val="single" w:sz="4" w:space="0" w:color="auto"/>
            </w:tcBorders>
            <w:shd w:val="clear" w:color="auto" w:fill="auto"/>
            <w:noWrap/>
            <w:vAlign w:val="center"/>
            <w:hideMark/>
          </w:tcPr>
          <w:p w14:paraId="530BA9B3"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017A1A30"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444B54F7"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1907640C"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93.560,67 </w:t>
            </w:r>
          </w:p>
        </w:tc>
        <w:tc>
          <w:tcPr>
            <w:tcW w:w="539" w:type="pct"/>
            <w:tcBorders>
              <w:top w:val="nil"/>
              <w:left w:val="nil"/>
              <w:bottom w:val="single" w:sz="4" w:space="0" w:color="auto"/>
              <w:right w:val="single" w:sz="4" w:space="0" w:color="auto"/>
            </w:tcBorders>
            <w:shd w:val="clear" w:color="auto" w:fill="auto"/>
            <w:noWrap/>
            <w:vAlign w:val="center"/>
            <w:hideMark/>
          </w:tcPr>
          <w:p w14:paraId="4B95D6E8"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93.560,67 </w:t>
            </w:r>
          </w:p>
        </w:tc>
      </w:tr>
      <w:tr w:rsidR="0065022A" w14:paraId="6AF393A9" w14:textId="77777777" w:rsidTr="00D60D2E">
        <w:trPr>
          <w:trHeight w:val="362"/>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2FCDD36A"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1250" w:type="pct"/>
            <w:tcBorders>
              <w:top w:val="nil"/>
              <w:left w:val="nil"/>
              <w:bottom w:val="single" w:sz="4" w:space="0" w:color="auto"/>
              <w:right w:val="single" w:sz="4" w:space="0" w:color="auto"/>
            </w:tcBorders>
            <w:shd w:val="clear" w:color="auto" w:fill="auto"/>
            <w:vAlign w:val="center"/>
            <w:hideMark/>
          </w:tcPr>
          <w:p w14:paraId="06346719"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5.3. - Desarrollar materiales de difusión</w:t>
            </w:r>
          </w:p>
        </w:tc>
        <w:tc>
          <w:tcPr>
            <w:tcW w:w="685" w:type="pct"/>
            <w:tcBorders>
              <w:top w:val="nil"/>
              <w:left w:val="nil"/>
              <w:bottom w:val="single" w:sz="4" w:space="0" w:color="auto"/>
              <w:right w:val="single" w:sz="4" w:space="0" w:color="auto"/>
            </w:tcBorders>
            <w:shd w:val="clear" w:color="auto" w:fill="auto"/>
            <w:noWrap/>
            <w:vAlign w:val="center"/>
            <w:hideMark/>
          </w:tcPr>
          <w:p w14:paraId="2363D88A"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BIENES_DE_LARGA_DURACION__PROPIEDAD_PLANTA_Y_EQUIPO</w:t>
            </w:r>
          </w:p>
        </w:tc>
        <w:tc>
          <w:tcPr>
            <w:tcW w:w="273" w:type="pct"/>
            <w:tcBorders>
              <w:top w:val="nil"/>
              <w:left w:val="nil"/>
              <w:bottom w:val="single" w:sz="4" w:space="0" w:color="auto"/>
              <w:right w:val="single" w:sz="4" w:space="0" w:color="auto"/>
            </w:tcBorders>
            <w:shd w:val="clear" w:color="auto" w:fill="auto"/>
            <w:noWrap/>
            <w:vAlign w:val="center"/>
            <w:hideMark/>
          </w:tcPr>
          <w:p w14:paraId="4876F149"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84</w:t>
            </w:r>
          </w:p>
        </w:tc>
        <w:tc>
          <w:tcPr>
            <w:tcW w:w="480" w:type="pct"/>
            <w:tcBorders>
              <w:top w:val="nil"/>
              <w:left w:val="nil"/>
              <w:bottom w:val="single" w:sz="4" w:space="0" w:color="auto"/>
              <w:right w:val="single" w:sz="4" w:space="0" w:color="auto"/>
            </w:tcBorders>
            <w:shd w:val="clear" w:color="auto" w:fill="auto"/>
            <w:noWrap/>
            <w:vAlign w:val="center"/>
            <w:hideMark/>
          </w:tcPr>
          <w:p w14:paraId="16135E7B"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001C49D0"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728,78 </w:t>
            </w:r>
          </w:p>
        </w:tc>
        <w:tc>
          <w:tcPr>
            <w:tcW w:w="539" w:type="pct"/>
            <w:tcBorders>
              <w:top w:val="nil"/>
              <w:left w:val="nil"/>
              <w:bottom w:val="single" w:sz="4" w:space="0" w:color="auto"/>
              <w:right w:val="single" w:sz="4" w:space="0" w:color="auto"/>
            </w:tcBorders>
            <w:shd w:val="clear" w:color="auto" w:fill="auto"/>
            <w:noWrap/>
            <w:vAlign w:val="center"/>
            <w:hideMark/>
          </w:tcPr>
          <w:p w14:paraId="58485BB8"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728,78 </w:t>
            </w:r>
          </w:p>
        </w:tc>
      </w:tr>
      <w:tr w:rsidR="0065022A" w14:paraId="0868A656" w14:textId="77777777" w:rsidTr="00D60D2E">
        <w:trPr>
          <w:trHeight w:val="544"/>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1D749F40"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1250" w:type="pct"/>
            <w:tcBorders>
              <w:top w:val="nil"/>
              <w:left w:val="nil"/>
              <w:bottom w:val="single" w:sz="4" w:space="0" w:color="auto"/>
              <w:right w:val="single" w:sz="4" w:space="0" w:color="auto"/>
            </w:tcBorders>
            <w:shd w:val="clear" w:color="auto" w:fill="auto"/>
            <w:vAlign w:val="center"/>
            <w:hideMark/>
          </w:tcPr>
          <w:p w14:paraId="1E0E209C"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5.4. - Realizar una encuesta ciudadana de percepción</w:t>
            </w:r>
          </w:p>
        </w:tc>
        <w:tc>
          <w:tcPr>
            <w:tcW w:w="685" w:type="pct"/>
            <w:tcBorders>
              <w:top w:val="nil"/>
              <w:left w:val="nil"/>
              <w:bottom w:val="single" w:sz="4" w:space="0" w:color="auto"/>
              <w:right w:val="single" w:sz="4" w:space="0" w:color="auto"/>
            </w:tcBorders>
            <w:shd w:val="clear" w:color="auto" w:fill="auto"/>
            <w:noWrap/>
            <w:vAlign w:val="center"/>
            <w:hideMark/>
          </w:tcPr>
          <w:p w14:paraId="1F05C9A8"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BIENES_Y_SERVICIOS_PARA_INVERSION</w:t>
            </w:r>
          </w:p>
        </w:tc>
        <w:tc>
          <w:tcPr>
            <w:tcW w:w="273" w:type="pct"/>
            <w:tcBorders>
              <w:top w:val="nil"/>
              <w:left w:val="nil"/>
              <w:bottom w:val="single" w:sz="4" w:space="0" w:color="auto"/>
              <w:right w:val="single" w:sz="4" w:space="0" w:color="auto"/>
            </w:tcBorders>
            <w:shd w:val="clear" w:color="auto" w:fill="auto"/>
            <w:noWrap/>
            <w:vAlign w:val="center"/>
            <w:hideMark/>
          </w:tcPr>
          <w:p w14:paraId="3C15E25C"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73</w:t>
            </w:r>
          </w:p>
        </w:tc>
        <w:tc>
          <w:tcPr>
            <w:tcW w:w="480" w:type="pct"/>
            <w:tcBorders>
              <w:top w:val="nil"/>
              <w:left w:val="nil"/>
              <w:bottom w:val="single" w:sz="4" w:space="0" w:color="auto"/>
              <w:right w:val="single" w:sz="4" w:space="0" w:color="auto"/>
            </w:tcBorders>
            <w:shd w:val="clear" w:color="auto" w:fill="auto"/>
            <w:noWrap/>
            <w:vAlign w:val="center"/>
            <w:hideMark/>
          </w:tcPr>
          <w:p w14:paraId="2E99C355"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542" w:type="pct"/>
            <w:tcBorders>
              <w:top w:val="nil"/>
              <w:left w:val="nil"/>
              <w:bottom w:val="single" w:sz="4" w:space="0" w:color="auto"/>
              <w:right w:val="single" w:sz="4" w:space="0" w:color="auto"/>
            </w:tcBorders>
            <w:shd w:val="clear" w:color="auto" w:fill="auto"/>
            <w:noWrap/>
            <w:vAlign w:val="center"/>
            <w:hideMark/>
          </w:tcPr>
          <w:p w14:paraId="5BE75A89"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10.000,00 </w:t>
            </w:r>
          </w:p>
        </w:tc>
        <w:tc>
          <w:tcPr>
            <w:tcW w:w="539" w:type="pct"/>
            <w:tcBorders>
              <w:top w:val="nil"/>
              <w:left w:val="nil"/>
              <w:bottom w:val="single" w:sz="4" w:space="0" w:color="auto"/>
              <w:right w:val="single" w:sz="4" w:space="0" w:color="auto"/>
            </w:tcBorders>
            <w:shd w:val="clear" w:color="auto" w:fill="auto"/>
            <w:noWrap/>
            <w:vAlign w:val="center"/>
            <w:hideMark/>
          </w:tcPr>
          <w:p w14:paraId="55891E9F"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10.000,00 </w:t>
            </w:r>
          </w:p>
        </w:tc>
      </w:tr>
      <w:tr w:rsidR="0065022A" w14:paraId="42DDA079" w14:textId="77777777" w:rsidTr="00D60D2E">
        <w:trPr>
          <w:trHeight w:val="597"/>
        </w:trPr>
        <w:tc>
          <w:tcPr>
            <w:tcW w:w="1231" w:type="pct"/>
            <w:tcBorders>
              <w:top w:val="nil"/>
              <w:left w:val="single" w:sz="4" w:space="0" w:color="auto"/>
              <w:bottom w:val="single" w:sz="4" w:space="0" w:color="auto"/>
              <w:right w:val="single" w:sz="4" w:space="0" w:color="auto"/>
            </w:tcBorders>
            <w:shd w:val="clear" w:color="auto" w:fill="auto"/>
            <w:vAlign w:val="center"/>
            <w:hideMark/>
          </w:tcPr>
          <w:p w14:paraId="31C1EC49"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1250" w:type="pct"/>
            <w:tcBorders>
              <w:top w:val="nil"/>
              <w:left w:val="nil"/>
              <w:bottom w:val="single" w:sz="4" w:space="0" w:color="auto"/>
              <w:right w:val="single" w:sz="4" w:space="0" w:color="auto"/>
            </w:tcBorders>
            <w:shd w:val="clear" w:color="auto" w:fill="auto"/>
            <w:vAlign w:val="center"/>
            <w:hideMark/>
          </w:tcPr>
          <w:p w14:paraId="77928B73"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5.5. - Adquirir equipamiento para comunicación</w:t>
            </w:r>
          </w:p>
        </w:tc>
        <w:tc>
          <w:tcPr>
            <w:tcW w:w="685" w:type="pct"/>
            <w:tcBorders>
              <w:top w:val="nil"/>
              <w:left w:val="nil"/>
              <w:bottom w:val="single" w:sz="4" w:space="0" w:color="auto"/>
              <w:right w:val="single" w:sz="4" w:space="0" w:color="auto"/>
            </w:tcBorders>
            <w:shd w:val="clear" w:color="auto" w:fill="auto"/>
            <w:noWrap/>
            <w:vAlign w:val="center"/>
            <w:hideMark/>
          </w:tcPr>
          <w:p w14:paraId="4BFCC04D" w14:textId="77777777" w:rsidR="0065022A" w:rsidRDefault="0065022A" w:rsidP="002314D8">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BIENES_DE_LARGA_DURACION__PROPIEDAD_PLANTA_Y_EQUIPO</w:t>
            </w:r>
          </w:p>
        </w:tc>
        <w:tc>
          <w:tcPr>
            <w:tcW w:w="273" w:type="pct"/>
            <w:tcBorders>
              <w:top w:val="nil"/>
              <w:left w:val="nil"/>
              <w:bottom w:val="single" w:sz="4" w:space="0" w:color="auto"/>
              <w:right w:val="single" w:sz="4" w:space="0" w:color="auto"/>
            </w:tcBorders>
            <w:shd w:val="clear" w:color="auto" w:fill="auto"/>
            <w:noWrap/>
            <w:vAlign w:val="center"/>
            <w:hideMark/>
          </w:tcPr>
          <w:p w14:paraId="3A6A17D3" w14:textId="77777777" w:rsidR="0065022A" w:rsidRDefault="0065022A" w:rsidP="002314D8">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84</w:t>
            </w:r>
          </w:p>
        </w:tc>
        <w:tc>
          <w:tcPr>
            <w:tcW w:w="480" w:type="pct"/>
            <w:tcBorders>
              <w:top w:val="nil"/>
              <w:left w:val="nil"/>
              <w:bottom w:val="single" w:sz="4" w:space="0" w:color="auto"/>
              <w:right w:val="single" w:sz="4" w:space="0" w:color="auto"/>
            </w:tcBorders>
            <w:shd w:val="clear" w:color="auto" w:fill="auto"/>
            <w:noWrap/>
            <w:vAlign w:val="center"/>
            <w:hideMark/>
          </w:tcPr>
          <w:p w14:paraId="1320C8EE"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542" w:type="pct"/>
            <w:tcBorders>
              <w:top w:val="nil"/>
              <w:left w:val="nil"/>
              <w:bottom w:val="single" w:sz="4" w:space="0" w:color="auto"/>
              <w:right w:val="single" w:sz="4" w:space="0" w:color="auto"/>
            </w:tcBorders>
            <w:shd w:val="clear" w:color="auto" w:fill="auto"/>
            <w:noWrap/>
            <w:vAlign w:val="center"/>
            <w:hideMark/>
          </w:tcPr>
          <w:p w14:paraId="6BC90CAE"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49.279,62 </w:t>
            </w:r>
          </w:p>
        </w:tc>
        <w:tc>
          <w:tcPr>
            <w:tcW w:w="539" w:type="pct"/>
            <w:tcBorders>
              <w:top w:val="nil"/>
              <w:left w:val="nil"/>
              <w:bottom w:val="single" w:sz="4" w:space="0" w:color="auto"/>
              <w:right w:val="single" w:sz="4" w:space="0" w:color="auto"/>
            </w:tcBorders>
            <w:shd w:val="clear" w:color="auto" w:fill="auto"/>
            <w:noWrap/>
            <w:vAlign w:val="center"/>
            <w:hideMark/>
          </w:tcPr>
          <w:p w14:paraId="1AF84E39" w14:textId="77777777" w:rsidR="0065022A" w:rsidRDefault="0065022A" w:rsidP="002314D8">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49.279,62 </w:t>
            </w:r>
          </w:p>
        </w:tc>
      </w:tr>
      <w:tr w:rsidR="0065022A" w14:paraId="0592CA2C" w14:textId="77777777" w:rsidTr="00D60D2E">
        <w:trPr>
          <w:trHeight w:val="53"/>
        </w:trPr>
        <w:tc>
          <w:tcPr>
            <w:tcW w:w="3166" w:type="pct"/>
            <w:gridSpan w:val="3"/>
            <w:tcBorders>
              <w:top w:val="single" w:sz="4" w:space="0" w:color="auto"/>
              <w:left w:val="single" w:sz="4" w:space="0" w:color="auto"/>
              <w:bottom w:val="single" w:sz="4" w:space="0" w:color="auto"/>
              <w:right w:val="single" w:sz="4" w:space="0" w:color="000000"/>
            </w:tcBorders>
            <w:shd w:val="clear" w:color="000000" w:fill="538DD5"/>
            <w:vAlign w:val="center"/>
            <w:hideMark/>
          </w:tcPr>
          <w:p w14:paraId="4B620B89" w14:textId="77777777" w:rsidR="0065022A" w:rsidRDefault="0065022A" w:rsidP="002314D8">
            <w:pPr>
              <w:spacing w:after="0" w:line="240" w:lineRule="auto"/>
              <w:jc w:val="center"/>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COMPONENTE 5</w:t>
            </w:r>
          </w:p>
        </w:tc>
        <w:tc>
          <w:tcPr>
            <w:tcW w:w="273" w:type="pct"/>
            <w:tcBorders>
              <w:top w:val="nil"/>
              <w:left w:val="nil"/>
              <w:bottom w:val="single" w:sz="4" w:space="0" w:color="auto"/>
              <w:right w:val="single" w:sz="4" w:space="0" w:color="auto"/>
            </w:tcBorders>
            <w:shd w:val="clear" w:color="000000" w:fill="538DD5"/>
            <w:noWrap/>
            <w:vAlign w:val="center"/>
            <w:hideMark/>
          </w:tcPr>
          <w:p w14:paraId="0B616ED9" w14:textId="77777777" w:rsidR="0065022A" w:rsidRDefault="0065022A" w:rsidP="002314D8">
            <w:pPr>
              <w:spacing w:after="0" w:line="240" w:lineRule="auto"/>
              <w:jc w:val="center"/>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w:t>
            </w:r>
          </w:p>
        </w:tc>
        <w:tc>
          <w:tcPr>
            <w:tcW w:w="480" w:type="pct"/>
            <w:tcBorders>
              <w:top w:val="nil"/>
              <w:left w:val="nil"/>
              <w:bottom w:val="single" w:sz="4" w:space="0" w:color="auto"/>
              <w:right w:val="single" w:sz="4" w:space="0" w:color="auto"/>
            </w:tcBorders>
            <w:shd w:val="clear" w:color="000000" w:fill="538DD5"/>
            <w:noWrap/>
            <w:vAlign w:val="center"/>
            <w:hideMark/>
          </w:tcPr>
          <w:p w14:paraId="33E639C6" w14:textId="77777777" w:rsidR="0065022A" w:rsidRDefault="0065022A" w:rsidP="002314D8">
            <w:pPr>
              <w:spacing w:after="0" w:line="240" w:lineRule="auto"/>
              <w:jc w:val="center"/>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15.543,19                  </w:t>
            </w:r>
          </w:p>
        </w:tc>
        <w:tc>
          <w:tcPr>
            <w:tcW w:w="542" w:type="pct"/>
            <w:tcBorders>
              <w:top w:val="nil"/>
              <w:left w:val="nil"/>
              <w:bottom w:val="single" w:sz="4" w:space="0" w:color="auto"/>
              <w:right w:val="single" w:sz="4" w:space="0" w:color="auto"/>
            </w:tcBorders>
            <w:shd w:val="clear" w:color="000000" w:fill="538DD5"/>
            <w:noWrap/>
            <w:vAlign w:val="center"/>
            <w:hideMark/>
          </w:tcPr>
          <w:p w14:paraId="22432A96"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183.569,07 </w:t>
            </w:r>
          </w:p>
        </w:tc>
        <w:tc>
          <w:tcPr>
            <w:tcW w:w="539" w:type="pct"/>
            <w:tcBorders>
              <w:top w:val="nil"/>
              <w:left w:val="nil"/>
              <w:bottom w:val="single" w:sz="4" w:space="0" w:color="auto"/>
              <w:right w:val="single" w:sz="4" w:space="0" w:color="auto"/>
            </w:tcBorders>
            <w:shd w:val="clear" w:color="000000" w:fill="538DD5"/>
            <w:noWrap/>
            <w:vAlign w:val="center"/>
            <w:hideMark/>
          </w:tcPr>
          <w:p w14:paraId="05C5852D" w14:textId="77777777" w:rsidR="0065022A" w:rsidRDefault="0065022A" w:rsidP="002314D8">
            <w:pPr>
              <w:spacing w:after="0" w:line="240" w:lineRule="auto"/>
              <w:jc w:val="right"/>
              <w:rPr>
                <w:rFonts w:ascii="Calibri" w:eastAsia="Times New Roman" w:hAnsi="Calibri" w:cs="Calibri"/>
                <w:color w:val="FFFFFF"/>
                <w:sz w:val="14"/>
                <w:szCs w:val="14"/>
                <w:lang w:eastAsia="es-EC"/>
              </w:rPr>
            </w:pPr>
            <w:r>
              <w:rPr>
                <w:rFonts w:ascii="Calibri" w:eastAsia="Times New Roman" w:hAnsi="Calibri" w:cs="Calibri"/>
                <w:color w:val="FFFFFF"/>
                <w:sz w:val="14"/>
                <w:szCs w:val="14"/>
                <w:lang w:eastAsia="es-EC"/>
              </w:rPr>
              <w:t xml:space="preserve">     183.569,07 </w:t>
            </w:r>
          </w:p>
        </w:tc>
      </w:tr>
      <w:tr w:rsidR="0065022A" w14:paraId="71234D10" w14:textId="77777777" w:rsidTr="00D60D2E">
        <w:trPr>
          <w:trHeight w:val="202"/>
        </w:trPr>
        <w:tc>
          <w:tcPr>
            <w:tcW w:w="3439" w:type="pct"/>
            <w:gridSpan w:val="4"/>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6B629DA6" w14:textId="77777777" w:rsidR="0065022A" w:rsidRDefault="0065022A" w:rsidP="002314D8">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TOTAL</w:t>
            </w:r>
          </w:p>
        </w:tc>
        <w:tc>
          <w:tcPr>
            <w:tcW w:w="480" w:type="pct"/>
            <w:tcBorders>
              <w:top w:val="nil"/>
              <w:left w:val="nil"/>
              <w:bottom w:val="single" w:sz="4" w:space="0" w:color="auto"/>
              <w:right w:val="single" w:sz="4" w:space="0" w:color="auto"/>
            </w:tcBorders>
            <w:shd w:val="clear" w:color="000000" w:fill="1F497D"/>
            <w:noWrap/>
            <w:vAlign w:val="center"/>
            <w:hideMark/>
          </w:tcPr>
          <w:p w14:paraId="4146D4D4" w14:textId="77777777" w:rsidR="0065022A" w:rsidRDefault="0065022A" w:rsidP="002314D8">
            <w:pPr>
              <w:spacing w:after="0" w:line="240" w:lineRule="auto"/>
              <w:jc w:val="right"/>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xml:space="preserve">     15.543,19 </w:t>
            </w:r>
          </w:p>
        </w:tc>
        <w:tc>
          <w:tcPr>
            <w:tcW w:w="542" w:type="pct"/>
            <w:tcBorders>
              <w:top w:val="nil"/>
              <w:left w:val="nil"/>
              <w:bottom w:val="single" w:sz="4" w:space="0" w:color="auto"/>
              <w:right w:val="single" w:sz="4" w:space="0" w:color="auto"/>
            </w:tcBorders>
            <w:shd w:val="clear" w:color="000000" w:fill="1F497D"/>
            <w:noWrap/>
            <w:vAlign w:val="center"/>
            <w:hideMark/>
          </w:tcPr>
          <w:p w14:paraId="555F95AB" w14:textId="77777777" w:rsidR="0065022A" w:rsidRDefault="0065022A" w:rsidP="002314D8">
            <w:pPr>
              <w:spacing w:after="0" w:line="240" w:lineRule="auto"/>
              <w:jc w:val="right"/>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xml:space="preserve"> 5.159.252,30 </w:t>
            </w:r>
          </w:p>
        </w:tc>
        <w:tc>
          <w:tcPr>
            <w:tcW w:w="539" w:type="pct"/>
            <w:tcBorders>
              <w:top w:val="nil"/>
              <w:left w:val="nil"/>
              <w:bottom w:val="single" w:sz="4" w:space="0" w:color="auto"/>
              <w:right w:val="single" w:sz="4" w:space="0" w:color="auto"/>
            </w:tcBorders>
            <w:shd w:val="clear" w:color="000000" w:fill="1F497D"/>
            <w:noWrap/>
            <w:vAlign w:val="center"/>
            <w:hideMark/>
          </w:tcPr>
          <w:p w14:paraId="4EFD93FE" w14:textId="77777777" w:rsidR="0065022A" w:rsidRDefault="0065022A" w:rsidP="002314D8">
            <w:pPr>
              <w:spacing w:after="0" w:line="240" w:lineRule="auto"/>
              <w:jc w:val="right"/>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 xml:space="preserve"> 5.174.795,49 </w:t>
            </w:r>
          </w:p>
        </w:tc>
      </w:tr>
    </w:tbl>
    <w:p w14:paraId="72505E30" w14:textId="77777777" w:rsidR="0065022A" w:rsidRDefault="0065022A" w:rsidP="0065022A">
      <w:proofErr w:type="gramStart"/>
      <w:r>
        <w:t>Nota.-</w:t>
      </w:r>
      <w:proofErr w:type="gramEnd"/>
      <w:r>
        <w:t xml:space="preserve"> Los valores definidos incluyen IVA.</w:t>
      </w:r>
    </w:p>
    <w:p w14:paraId="4AF4C4C3" w14:textId="1B29EEB3" w:rsidR="007B3093" w:rsidRDefault="007B3093"/>
    <w:p w14:paraId="2B2D5059" w14:textId="77777777" w:rsidR="007B3093" w:rsidRDefault="007B3093"/>
    <w:p w14:paraId="04702234" w14:textId="77777777" w:rsidR="007B3093" w:rsidRDefault="00000000">
      <w:pPr>
        <w:pStyle w:val="Ttulo2"/>
        <w:numPr>
          <w:ilvl w:val="0"/>
          <w:numId w:val="24"/>
        </w:numPr>
        <w:spacing w:before="0" w:line="360" w:lineRule="auto"/>
        <w:ind w:left="426"/>
        <w:rPr>
          <w:rFonts w:asciiTheme="minorHAnsi" w:hAnsiTheme="minorHAnsi" w:cstheme="minorHAnsi"/>
          <w:b/>
          <w:color w:val="auto"/>
          <w:sz w:val="22"/>
          <w:szCs w:val="22"/>
        </w:rPr>
      </w:pPr>
      <w:bookmarkStart w:id="89" w:name="_Toc195010099"/>
      <w:r>
        <w:rPr>
          <w:rFonts w:asciiTheme="minorHAnsi" w:hAnsiTheme="minorHAnsi" w:cstheme="minorHAnsi"/>
          <w:b/>
          <w:color w:val="auto"/>
          <w:sz w:val="22"/>
          <w:szCs w:val="22"/>
        </w:rPr>
        <w:t>ESTRATEGIA DE EJECUCIÓN</w:t>
      </w:r>
      <w:bookmarkEnd w:id="89"/>
    </w:p>
    <w:p w14:paraId="5CDCDD63" w14:textId="77777777" w:rsidR="007B3093" w:rsidRDefault="00000000">
      <w:pPr>
        <w:pStyle w:val="Ttulo2"/>
        <w:numPr>
          <w:ilvl w:val="1"/>
          <w:numId w:val="83"/>
        </w:numPr>
        <w:spacing w:before="0" w:line="360" w:lineRule="auto"/>
        <w:rPr>
          <w:rFonts w:asciiTheme="minorHAnsi" w:hAnsiTheme="minorHAnsi" w:cstheme="minorHAnsi"/>
          <w:b/>
          <w:color w:val="auto"/>
          <w:sz w:val="22"/>
          <w:szCs w:val="22"/>
        </w:rPr>
      </w:pPr>
      <w:bookmarkStart w:id="90" w:name="_Toc195010100"/>
      <w:r>
        <w:rPr>
          <w:rFonts w:asciiTheme="minorHAnsi" w:hAnsiTheme="minorHAnsi" w:cstheme="minorHAnsi"/>
          <w:b/>
          <w:color w:val="auto"/>
          <w:sz w:val="22"/>
          <w:szCs w:val="22"/>
        </w:rPr>
        <w:t>Estructura operativa</w:t>
      </w:r>
      <w:bookmarkEnd w:id="90"/>
    </w:p>
    <w:p w14:paraId="2025F728" w14:textId="77777777" w:rsidR="007B3093" w:rsidRDefault="00000000">
      <w:pPr>
        <w:pStyle w:val="Prrafodelista"/>
        <w:spacing w:before="120" w:after="120" w:line="360" w:lineRule="auto"/>
        <w:ind w:left="142"/>
        <w:contextualSpacing w:val="0"/>
        <w:jc w:val="both"/>
        <w:rPr>
          <w:rFonts w:cstheme="minorHAnsi"/>
        </w:rPr>
      </w:pPr>
      <w:r>
        <w:rPr>
          <w:rFonts w:cstheme="minorHAnsi"/>
        </w:rPr>
        <w:t>El Ministerio de Economía y Finanzas – MEF es el ejecutor del “Programa de modernización de la administración financiera”, a través de la Coordinación General de Programas BID. Dentro del programa, el componente 3 se constituye en el proyecto de “Fortalecimiento Institucional de la PGE”.</w:t>
      </w:r>
    </w:p>
    <w:p w14:paraId="6B878B5A" w14:textId="77777777" w:rsidR="007B3093" w:rsidRDefault="00000000">
      <w:pPr>
        <w:pStyle w:val="Prrafodelista"/>
        <w:spacing w:before="120" w:after="120" w:line="360" w:lineRule="auto"/>
        <w:ind w:left="142"/>
        <w:contextualSpacing w:val="0"/>
        <w:jc w:val="both"/>
        <w:rPr>
          <w:rFonts w:cstheme="minorHAnsi"/>
        </w:rPr>
      </w:pPr>
      <w:r>
        <w:rPr>
          <w:rFonts w:cstheme="minorHAnsi"/>
        </w:rPr>
        <w:t>El responsable de la ejecución del proyecto de “Fortalecimiento Institucional de la PGE” es la Procuraduría General del Estado, para lo cual ha conformado un equipo de gestión quienes serán los responsables de la administración y ejecución, tendrá una asignación presupuestaria propia y gestionará directamente los pagos por las acciones a desarrollarse en la institución.</w:t>
      </w:r>
    </w:p>
    <w:p w14:paraId="49F9E305" w14:textId="77777777" w:rsidR="007B3093" w:rsidRDefault="00000000">
      <w:pPr>
        <w:pStyle w:val="Prrafodelista"/>
        <w:spacing w:before="120" w:after="120" w:line="360" w:lineRule="auto"/>
        <w:ind w:left="142"/>
        <w:contextualSpacing w:val="0"/>
        <w:jc w:val="both"/>
        <w:rPr>
          <w:rFonts w:cstheme="minorHAnsi"/>
        </w:rPr>
      </w:pPr>
      <w:r>
        <w:rPr>
          <w:rFonts w:cstheme="minorHAnsi"/>
        </w:rPr>
        <w:t>El equipo de gestión, que está conformado por un coordinador, un especialista en adquisiciones, un especialista financiero, un especialista en tecnologías de la información y comunicación, y, un especialista en seguimiento y monitoreo, tendrán la labor de articular los procesos con las diferentes instancias de la PGE, enmarcados en las políticas del BID.</w:t>
      </w:r>
    </w:p>
    <w:p w14:paraId="1287233E" w14:textId="77777777" w:rsidR="007B3093" w:rsidRDefault="00000000">
      <w:pPr>
        <w:pStyle w:val="Prrafodelista"/>
        <w:spacing w:before="120" w:after="120" w:line="360" w:lineRule="auto"/>
        <w:ind w:left="142"/>
        <w:contextualSpacing w:val="0"/>
        <w:jc w:val="both"/>
        <w:rPr>
          <w:rFonts w:cstheme="minorHAnsi"/>
        </w:rPr>
      </w:pPr>
      <w:r>
        <w:rPr>
          <w:rFonts w:cstheme="minorHAnsi"/>
        </w:rPr>
        <w:t>Además, el Equipo de Gestión realizará la articulación permanente con las áreas misionales de la PGE, para el levantamiento de información y desarrollo de los productos programados en el presente proyecto; así como también con las áreas adjetivas que correspondan a fin de gestionar la ejecución de las actividades programadas en el proyecto.</w:t>
      </w:r>
    </w:p>
    <w:p w14:paraId="655FAEA1" w14:textId="77777777" w:rsidR="007B3093" w:rsidRDefault="00000000">
      <w:pPr>
        <w:pStyle w:val="Prrafodelista"/>
        <w:spacing w:before="120" w:after="120" w:line="360" w:lineRule="auto"/>
        <w:ind w:left="142"/>
        <w:contextualSpacing w:val="0"/>
        <w:jc w:val="both"/>
        <w:rPr>
          <w:rFonts w:cstheme="minorHAnsi"/>
        </w:rPr>
      </w:pPr>
      <w:r>
        <w:rPr>
          <w:rFonts w:cstheme="minorHAnsi"/>
        </w:rPr>
        <w:t>A continuación, se presenta un diagrama explicativo de los canales de comunicación que mantendrá el Equipo de Gestión del Proyecto de la PGE, al interior de la Institución:</w:t>
      </w:r>
    </w:p>
    <w:p w14:paraId="22BB3DAB" w14:textId="77777777" w:rsidR="007B3093" w:rsidRDefault="007B3093">
      <w:pPr>
        <w:spacing w:before="120" w:after="120" w:line="360" w:lineRule="auto"/>
        <w:jc w:val="both"/>
        <w:rPr>
          <w:rFonts w:cstheme="minorHAnsi"/>
          <w:noProof/>
          <w:lang w:eastAsia="es-EC"/>
        </w:rPr>
        <w:sectPr w:rsidR="007B3093">
          <w:pgSz w:w="11906" w:h="16838"/>
          <w:pgMar w:top="1417" w:right="1701" w:bottom="1417" w:left="1701" w:header="708" w:footer="708" w:gutter="0"/>
          <w:cols w:space="708"/>
          <w:docGrid w:linePitch="360"/>
        </w:sectPr>
      </w:pPr>
    </w:p>
    <w:p w14:paraId="0439812C" w14:textId="77777777" w:rsidR="007B3093" w:rsidRDefault="007B3093">
      <w:pPr>
        <w:spacing w:before="120" w:after="120" w:line="360" w:lineRule="auto"/>
        <w:jc w:val="center"/>
        <w:rPr>
          <w:rFonts w:cstheme="minorHAnsi"/>
          <w:noProof/>
          <w:lang w:eastAsia="es-EC"/>
        </w:rPr>
      </w:pPr>
    </w:p>
    <w:p w14:paraId="2D1D235E" w14:textId="77777777" w:rsidR="007B3093" w:rsidRDefault="00000000">
      <w:pPr>
        <w:spacing w:before="120" w:after="120" w:line="360" w:lineRule="auto"/>
        <w:jc w:val="center"/>
        <w:rPr>
          <w:rFonts w:cstheme="minorHAnsi"/>
        </w:rPr>
      </w:pPr>
      <w:r>
        <w:rPr>
          <w:rFonts w:cstheme="minorHAnsi"/>
          <w:noProof/>
          <w:lang w:val="en-US"/>
        </w:rPr>
        <w:drawing>
          <wp:inline distT="0" distB="0" distL="0" distR="0" wp14:anchorId="54015966" wp14:editId="52CF90C5">
            <wp:extent cx="9494520" cy="390678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35159" cy="3923502"/>
                    </a:xfrm>
                    <a:prstGeom prst="rect">
                      <a:avLst/>
                    </a:prstGeom>
                    <a:noFill/>
                  </pic:spPr>
                </pic:pic>
              </a:graphicData>
            </a:graphic>
          </wp:inline>
        </w:drawing>
      </w:r>
    </w:p>
    <w:p w14:paraId="51E29155" w14:textId="77777777" w:rsidR="007B3093" w:rsidRDefault="007B3093">
      <w:pPr>
        <w:pStyle w:val="Prrafodelista"/>
        <w:spacing w:before="120" w:after="120" w:line="360" w:lineRule="auto"/>
        <w:ind w:left="142" w:firstLine="425"/>
        <w:contextualSpacing w:val="0"/>
        <w:jc w:val="center"/>
        <w:rPr>
          <w:rFonts w:cstheme="minorHAnsi"/>
        </w:rPr>
      </w:pPr>
    </w:p>
    <w:p w14:paraId="7BEE4EF4" w14:textId="77777777" w:rsidR="007B3093" w:rsidRDefault="007B3093">
      <w:pPr>
        <w:pStyle w:val="Prrafodelista"/>
        <w:spacing w:before="120" w:after="120" w:line="360" w:lineRule="auto"/>
        <w:ind w:left="142" w:firstLine="425"/>
        <w:contextualSpacing w:val="0"/>
        <w:jc w:val="center"/>
        <w:rPr>
          <w:rFonts w:cstheme="minorHAnsi"/>
        </w:rPr>
        <w:sectPr w:rsidR="007B3093">
          <w:pgSz w:w="16838" w:h="11906" w:orient="landscape"/>
          <w:pgMar w:top="1701" w:right="1418" w:bottom="1701" w:left="1418" w:header="709" w:footer="709" w:gutter="0"/>
          <w:cols w:space="708"/>
          <w:docGrid w:linePitch="360"/>
        </w:sectPr>
      </w:pPr>
    </w:p>
    <w:p w14:paraId="0057E81F" w14:textId="77777777" w:rsidR="007B3093" w:rsidRDefault="007B3093">
      <w:pPr>
        <w:pStyle w:val="Prrafodelista"/>
        <w:spacing w:before="120" w:after="120" w:line="360" w:lineRule="auto"/>
        <w:ind w:left="142" w:firstLine="425"/>
        <w:contextualSpacing w:val="0"/>
        <w:jc w:val="center"/>
        <w:rPr>
          <w:rFonts w:cstheme="minorHAnsi"/>
        </w:rPr>
      </w:pPr>
    </w:p>
    <w:p w14:paraId="47709BF1" w14:textId="77777777" w:rsidR="007B3093" w:rsidRDefault="00000000">
      <w:pPr>
        <w:pStyle w:val="Prrafodelista"/>
        <w:spacing w:before="120" w:after="120" w:line="360" w:lineRule="auto"/>
        <w:ind w:left="142"/>
        <w:contextualSpacing w:val="0"/>
        <w:jc w:val="both"/>
        <w:rPr>
          <w:rFonts w:cstheme="minorHAnsi"/>
        </w:rPr>
      </w:pPr>
      <w:r>
        <w:rPr>
          <w:rFonts w:cstheme="minorHAnsi"/>
        </w:rPr>
        <w:t>La Procuraduría General del Estado – PGE coordinará con el Ministerio de Economía y Finanzas – MEF la entrega de la información del proyecto, quien será el responsable de consolidar y presentar los informes en los formatos establecidos por el BID en los plazos que lo determinen.  El MEF desarrollará una matriz de comunicación para facilitar el intercambio de información entre los involucrados.</w:t>
      </w:r>
    </w:p>
    <w:p w14:paraId="461B4C9C" w14:textId="77777777" w:rsidR="007B3093" w:rsidRDefault="00000000">
      <w:pPr>
        <w:pStyle w:val="Prrafodelista"/>
        <w:spacing w:before="120" w:after="120" w:line="360" w:lineRule="auto"/>
        <w:ind w:left="142"/>
        <w:contextualSpacing w:val="0"/>
        <w:jc w:val="both"/>
        <w:rPr>
          <w:rFonts w:cstheme="minorHAnsi"/>
        </w:rPr>
      </w:pPr>
      <w:r>
        <w:rPr>
          <w:rFonts w:cstheme="minorHAnsi"/>
        </w:rPr>
        <w:t>Periódicamente el MEF y PGE realizarán reuniones de coordinación para garantizar el cumplimiento de la ejecución del proyecto, que quedarán registradas mediante ayudas memoria e informes.</w:t>
      </w:r>
    </w:p>
    <w:p w14:paraId="2056DFA8" w14:textId="77777777" w:rsidR="007B3093" w:rsidRDefault="00000000">
      <w:pPr>
        <w:pStyle w:val="Prrafodelista"/>
        <w:spacing w:before="120" w:after="120" w:line="360" w:lineRule="auto"/>
        <w:ind w:left="142"/>
        <w:contextualSpacing w:val="0"/>
        <w:jc w:val="both"/>
        <w:rPr>
          <w:rFonts w:cstheme="minorHAnsi"/>
        </w:rPr>
      </w:pPr>
      <w:r>
        <w:rPr>
          <w:rFonts w:cstheme="minorHAnsi"/>
        </w:rPr>
        <w:t>El Ministerio de Economía y Finanzas (MEF), será el Organismo Ejecutor del Programa (OE) y en consecuencia será el responsable de la ejecución y la contraparte oficial del Programa. El MEF ejecutará el Programa a través de: la Coordinación General de Programas BID, donde se encuentra el Equipo de Gestión del Programa del MEF (EDG-MEF) que apoyará la gestión de adquisiciones, financiera y de monitoreo del Programa, y de las áreas institucionales del MEF que son las responsables de los aspectos técnicos según su competencia. El MEF tendrá a su cargo la ejecución de los componentes que le corresponden y la administración del Programa. Además, el MEF será el responsable de la consolidación y presentación de informes de progreso, desembolsos, de contratar las evaluaciones y las auditorías, así como del cumplimiento de las condiciones generales previas a los desembolsos.</w:t>
      </w:r>
    </w:p>
    <w:p w14:paraId="3FCEE17C" w14:textId="77777777" w:rsidR="007B3093" w:rsidRDefault="00000000">
      <w:pPr>
        <w:pStyle w:val="Prrafodelista"/>
        <w:spacing w:before="120" w:after="120" w:line="360" w:lineRule="auto"/>
        <w:ind w:left="142"/>
        <w:contextualSpacing w:val="0"/>
        <w:jc w:val="both"/>
      </w:pPr>
      <w:r>
        <w:t>La Procuraduría General del Estado (PGE) será el Organismo Subejecutor del Programa (OSE) y se encargará de la ejecución de las actividades del Componente 3 del Programa: Fortalecimiento Institucional de la PGE. La PGE ejecutará las actividades del Programa a través de un Equipo de Gestión para sus actividades del Programa (EDG-PGE) creada para el efecto. La PGE, tendrá asignado presupuesto propio y gestionará directamente las contrataciones y pagos a su cargo, por medio de la Cuenta Única del Tesoro (CUT).  Sin embargo, como se señaló anteriormente, el MEF será el responsable de mantener información consolidada de todo el Programa, presentar los informes requeridos y gestionar los desembolsos ante el BID.</w:t>
      </w:r>
    </w:p>
    <w:p w14:paraId="7EAD2763"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Para la ejecución del componente 3 del programa, que se constituye en el presente proyecto de inversión, se </w:t>
      </w:r>
      <w:r>
        <w:t xml:space="preserve">formará un Equipo de Gestión del Programa de la Procuraduría General del Estado (EDG-PGE) que estará constituido al menos por un Coordinador de las actividades del Programa a cargo de la PGE (CP-EDG/PGE), un Especialista de Adquisiciones (EA-EDG), un </w:t>
      </w:r>
      <w:r>
        <w:lastRenderedPageBreak/>
        <w:t xml:space="preserve">Especialista Financiero (EF-EDG), Especialista de Tecnologías de la Información y Comunicación y un Especialista en Monitoreo y Evaluación (EME-EDG) que tendrá la siguiente estructura: </w:t>
      </w:r>
      <w:r>
        <w:rPr>
          <w:rFonts w:cstheme="minorHAnsi"/>
        </w:rPr>
        <w:t xml:space="preserve"> </w:t>
      </w:r>
    </w:p>
    <w:p w14:paraId="53CCFCE5" w14:textId="77777777" w:rsidR="007B3093" w:rsidRDefault="00000000">
      <w:pPr>
        <w:pStyle w:val="Prrafodelista"/>
        <w:spacing w:before="120" w:after="120" w:line="360" w:lineRule="auto"/>
        <w:ind w:left="142" w:firstLine="425"/>
        <w:contextualSpacing w:val="0"/>
        <w:jc w:val="both"/>
        <w:rPr>
          <w:rFonts w:cstheme="minorHAnsi"/>
        </w:rPr>
      </w:pPr>
      <w:r>
        <w:rPr>
          <w:rFonts w:cstheme="minorHAnsi"/>
          <w:noProof/>
          <w:lang w:val="en-US"/>
        </w:rPr>
        <w:drawing>
          <wp:inline distT="0" distB="0" distL="0" distR="0" wp14:anchorId="7FF1B2EC" wp14:editId="766A145F">
            <wp:extent cx="5400040" cy="2607932"/>
            <wp:effectExtent l="0" t="0" r="0" b="2540"/>
            <wp:docPr id="6" name="Imagen 6" descr="C:\Users\Christian\Downloads\PROF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Downloads\PROFI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607932"/>
                    </a:xfrm>
                    <a:prstGeom prst="rect">
                      <a:avLst/>
                    </a:prstGeom>
                    <a:noFill/>
                    <a:ln>
                      <a:noFill/>
                    </a:ln>
                  </pic:spPr>
                </pic:pic>
              </a:graphicData>
            </a:graphic>
          </wp:inline>
        </w:drawing>
      </w:r>
    </w:p>
    <w:p w14:paraId="7A0EC7D0" w14:textId="77777777" w:rsidR="007B3093" w:rsidRDefault="00000000">
      <w:pPr>
        <w:pStyle w:val="Prrafodelista"/>
        <w:spacing w:before="120" w:after="120" w:line="360" w:lineRule="auto"/>
        <w:ind w:left="142" w:firstLine="425"/>
        <w:contextualSpacing w:val="0"/>
        <w:jc w:val="both"/>
        <w:rPr>
          <w:rFonts w:cstheme="minorHAnsi"/>
          <w:b/>
        </w:rPr>
      </w:pPr>
      <w:r>
        <w:rPr>
          <w:rFonts w:cstheme="minorHAnsi"/>
          <w:b/>
        </w:rPr>
        <w:t>Coordinador del Proyecto a cargo de la PGE (CP-EDG/PGE)</w:t>
      </w:r>
    </w:p>
    <w:p w14:paraId="2414629C" w14:textId="77777777" w:rsidR="007B3093" w:rsidRDefault="00000000">
      <w:pPr>
        <w:pStyle w:val="Prrafodelista"/>
        <w:numPr>
          <w:ilvl w:val="0"/>
          <w:numId w:val="42"/>
        </w:numPr>
        <w:spacing w:before="120" w:after="120" w:line="360" w:lineRule="auto"/>
        <w:jc w:val="both"/>
        <w:rPr>
          <w:rFonts w:cstheme="minorHAnsi"/>
        </w:rPr>
      </w:pPr>
      <w:r>
        <w:rPr>
          <w:rFonts w:cstheme="minorHAnsi"/>
        </w:rPr>
        <w:t>Gestionar la ejecución de las actividades del Programa a cargo de la PGE, enfocado en el logro de los productos y resultados.</w:t>
      </w:r>
    </w:p>
    <w:p w14:paraId="3D17D1D0" w14:textId="77777777" w:rsidR="007B3093" w:rsidRDefault="00000000">
      <w:pPr>
        <w:pStyle w:val="Prrafodelista"/>
        <w:numPr>
          <w:ilvl w:val="0"/>
          <w:numId w:val="42"/>
        </w:numPr>
        <w:spacing w:before="120" w:after="120" w:line="360" w:lineRule="auto"/>
        <w:jc w:val="both"/>
        <w:rPr>
          <w:rFonts w:cstheme="minorHAnsi"/>
        </w:rPr>
      </w:pPr>
      <w:r>
        <w:rPr>
          <w:rFonts w:cstheme="minorHAnsi"/>
        </w:rPr>
        <w:t xml:space="preserve">Informar y brindar asistencia al CGP-EDG/MEF respecto de la ejecución del componente o actividades del Programa a cargo de la PGE. </w:t>
      </w:r>
    </w:p>
    <w:p w14:paraId="55D8FBEB" w14:textId="77777777" w:rsidR="007B3093" w:rsidRDefault="00000000">
      <w:pPr>
        <w:pStyle w:val="Prrafodelista"/>
        <w:numPr>
          <w:ilvl w:val="0"/>
          <w:numId w:val="42"/>
        </w:numPr>
        <w:spacing w:before="120" w:after="120" w:line="360" w:lineRule="auto"/>
        <w:jc w:val="both"/>
        <w:rPr>
          <w:rFonts w:cstheme="minorHAnsi"/>
        </w:rPr>
      </w:pPr>
      <w:r>
        <w:rPr>
          <w:rFonts w:cstheme="minorHAnsi"/>
        </w:rPr>
        <w:t>Velar por el cumplimiento de los acuerdos establecidos para la ejecución del componente y actividades del Programa a cargo de la PGE.</w:t>
      </w:r>
    </w:p>
    <w:p w14:paraId="00453AAB" w14:textId="77777777" w:rsidR="007B3093" w:rsidRDefault="00000000">
      <w:pPr>
        <w:pStyle w:val="Prrafodelista"/>
        <w:numPr>
          <w:ilvl w:val="0"/>
          <w:numId w:val="42"/>
        </w:numPr>
        <w:spacing w:before="120" w:after="120" w:line="360" w:lineRule="auto"/>
        <w:jc w:val="both"/>
        <w:rPr>
          <w:rFonts w:cstheme="minorHAnsi"/>
        </w:rPr>
      </w:pPr>
      <w:r>
        <w:rPr>
          <w:rFonts w:cstheme="minorHAnsi"/>
        </w:rPr>
        <w:t>Ejecutar los mecanismos de coordinación, monitoreo y control, establecidos con el EDG-MEF, relacionadas con la ejecución del Componente y actividades del Programa a cargo de la PGE.</w:t>
      </w:r>
    </w:p>
    <w:p w14:paraId="7AE872DB" w14:textId="77777777" w:rsidR="007B3093" w:rsidRDefault="00000000">
      <w:pPr>
        <w:pStyle w:val="Prrafodelista"/>
        <w:numPr>
          <w:ilvl w:val="0"/>
          <w:numId w:val="42"/>
        </w:numPr>
        <w:spacing w:before="120" w:after="120" w:line="360" w:lineRule="auto"/>
        <w:jc w:val="both"/>
        <w:rPr>
          <w:rFonts w:cstheme="minorHAnsi"/>
        </w:rPr>
      </w:pPr>
      <w:r>
        <w:rPr>
          <w:rFonts w:cstheme="minorHAnsi"/>
        </w:rPr>
        <w:t>Preparar y suministrar la información del componente y actividades del Programa a cargo de la PGE.</w:t>
      </w:r>
    </w:p>
    <w:p w14:paraId="428B395D" w14:textId="77777777" w:rsidR="007B3093" w:rsidRDefault="00000000">
      <w:pPr>
        <w:pStyle w:val="Prrafodelista"/>
        <w:numPr>
          <w:ilvl w:val="0"/>
          <w:numId w:val="42"/>
        </w:numPr>
        <w:spacing w:before="120" w:after="120" w:line="360" w:lineRule="auto"/>
        <w:jc w:val="both"/>
        <w:rPr>
          <w:rFonts w:cstheme="minorHAnsi"/>
        </w:rPr>
      </w:pPr>
      <w:r>
        <w:rPr>
          <w:rFonts w:cstheme="minorHAnsi"/>
        </w:rPr>
        <w:t>Ser el responsable del monitoreo y seguimiento de las actividades del Programa a cargo de la PGE.</w:t>
      </w:r>
    </w:p>
    <w:p w14:paraId="72248C1C" w14:textId="77777777" w:rsidR="007B3093" w:rsidRDefault="00000000">
      <w:pPr>
        <w:pStyle w:val="Prrafodelista"/>
        <w:numPr>
          <w:ilvl w:val="0"/>
          <w:numId w:val="42"/>
        </w:numPr>
        <w:spacing w:before="120" w:after="120" w:line="360" w:lineRule="auto"/>
        <w:jc w:val="both"/>
        <w:rPr>
          <w:rFonts w:cstheme="minorHAnsi"/>
        </w:rPr>
      </w:pPr>
      <w:r>
        <w:rPr>
          <w:rFonts w:cstheme="minorHAnsi"/>
        </w:rPr>
        <w:t>Servir de nexo de coordinación e interlocución con el BID, respecto de la ejecución de las adquisiciones del componente o actividades del Programa a cargo de la PGE.</w:t>
      </w:r>
    </w:p>
    <w:p w14:paraId="7F1FFA84" w14:textId="77777777" w:rsidR="007B3093" w:rsidRDefault="00000000">
      <w:pPr>
        <w:pStyle w:val="Prrafodelista"/>
        <w:numPr>
          <w:ilvl w:val="0"/>
          <w:numId w:val="42"/>
        </w:numPr>
        <w:spacing w:before="120" w:after="120" w:line="360" w:lineRule="auto"/>
        <w:jc w:val="both"/>
        <w:rPr>
          <w:rFonts w:cstheme="minorHAnsi"/>
        </w:rPr>
      </w:pPr>
      <w:r>
        <w:rPr>
          <w:rFonts w:cstheme="minorHAnsi"/>
        </w:rPr>
        <w:t xml:space="preserve">Coordinar y gestionar la asignación de los recursos y del presupuesto asignado para la ejecución del componente y actividades del Programa a cargo de la PGE. </w:t>
      </w:r>
    </w:p>
    <w:p w14:paraId="08DA8CF9" w14:textId="77777777" w:rsidR="007B3093" w:rsidRDefault="00000000">
      <w:pPr>
        <w:pStyle w:val="Prrafodelista"/>
        <w:numPr>
          <w:ilvl w:val="0"/>
          <w:numId w:val="42"/>
        </w:numPr>
        <w:spacing w:before="120" w:after="120" w:line="360" w:lineRule="auto"/>
        <w:jc w:val="both"/>
        <w:rPr>
          <w:rFonts w:cstheme="minorHAnsi"/>
        </w:rPr>
      </w:pPr>
      <w:r>
        <w:rPr>
          <w:rFonts w:cstheme="minorHAnsi"/>
        </w:rPr>
        <w:lastRenderedPageBreak/>
        <w:t>Firmar y aprobar los informes Financieros correspondientes a del componente y actividades del Programa a cargo de la PGE elaborados por el Especialista Financiero del EDG/PGE.</w:t>
      </w:r>
    </w:p>
    <w:p w14:paraId="435ED90A" w14:textId="77777777" w:rsidR="007B3093" w:rsidRDefault="00000000">
      <w:pPr>
        <w:pStyle w:val="Prrafodelista"/>
        <w:numPr>
          <w:ilvl w:val="0"/>
          <w:numId w:val="42"/>
        </w:numPr>
        <w:spacing w:before="120" w:after="120" w:line="360" w:lineRule="auto"/>
        <w:jc w:val="both"/>
        <w:rPr>
          <w:rFonts w:cstheme="minorHAnsi"/>
        </w:rPr>
      </w:pPr>
      <w:r>
        <w:rPr>
          <w:rFonts w:cstheme="minorHAnsi"/>
        </w:rPr>
        <w:t>Las demás funciones establecidas para la ejecución de los proyectos financiados por el BID.</w:t>
      </w:r>
    </w:p>
    <w:p w14:paraId="28B93165" w14:textId="77777777" w:rsidR="007B3093" w:rsidRDefault="00000000">
      <w:pPr>
        <w:spacing w:before="120" w:after="120" w:line="360" w:lineRule="auto"/>
        <w:jc w:val="both"/>
        <w:rPr>
          <w:rFonts w:cstheme="minorHAnsi"/>
          <w:b/>
        </w:rPr>
      </w:pPr>
      <w:r>
        <w:rPr>
          <w:rFonts w:cstheme="minorHAnsi"/>
          <w:b/>
        </w:rPr>
        <w:t>Especialista de Adquisiciones (EA-EDG/PGE)</w:t>
      </w:r>
    </w:p>
    <w:p w14:paraId="63A8C495" w14:textId="77777777" w:rsidR="007B3093" w:rsidRDefault="00000000">
      <w:pPr>
        <w:pStyle w:val="Prrafodelista"/>
        <w:numPr>
          <w:ilvl w:val="0"/>
          <w:numId w:val="43"/>
        </w:numPr>
        <w:spacing w:before="120" w:after="120" w:line="360" w:lineRule="auto"/>
        <w:jc w:val="both"/>
        <w:rPr>
          <w:rFonts w:cstheme="minorHAnsi"/>
        </w:rPr>
      </w:pPr>
      <w:r>
        <w:rPr>
          <w:rFonts w:cstheme="minorHAnsi"/>
        </w:rPr>
        <w:t xml:space="preserve">Aplicar y dar cumplimiento a las Normas, Políticas y Procesos de Adquisiciones y Contrataciones establecidos para la ejecución del Programa. </w:t>
      </w:r>
    </w:p>
    <w:p w14:paraId="5C8A809D" w14:textId="77777777" w:rsidR="007B3093" w:rsidRDefault="00000000">
      <w:pPr>
        <w:pStyle w:val="Prrafodelista"/>
        <w:numPr>
          <w:ilvl w:val="0"/>
          <w:numId w:val="43"/>
        </w:numPr>
        <w:spacing w:before="120" w:after="120" w:line="360" w:lineRule="auto"/>
        <w:jc w:val="both"/>
        <w:rPr>
          <w:rFonts w:cstheme="minorHAnsi"/>
        </w:rPr>
      </w:pPr>
      <w:r>
        <w:rPr>
          <w:rFonts w:cstheme="minorHAnsi"/>
        </w:rPr>
        <w:t>Proveer la información necesaria al EDG-MEF para que mantenga actualizado el Plan de Adquisiciones del Programa.</w:t>
      </w:r>
    </w:p>
    <w:p w14:paraId="4874E3DF" w14:textId="77777777" w:rsidR="007B3093" w:rsidRDefault="00000000">
      <w:pPr>
        <w:pStyle w:val="Prrafodelista"/>
        <w:numPr>
          <w:ilvl w:val="0"/>
          <w:numId w:val="43"/>
        </w:numPr>
        <w:spacing w:before="120" w:after="120" w:line="360" w:lineRule="auto"/>
        <w:jc w:val="both"/>
        <w:rPr>
          <w:rFonts w:cstheme="minorHAnsi"/>
        </w:rPr>
      </w:pPr>
      <w:r>
        <w:rPr>
          <w:rFonts w:cstheme="minorHAnsi"/>
        </w:rPr>
        <w:t>Preparar la documentación e informes de las adquisiciones del componente o actividades del Programa a cargo de la PGE, requeridos por el Coordinador.</w:t>
      </w:r>
    </w:p>
    <w:p w14:paraId="4756BDE0" w14:textId="77777777" w:rsidR="007B3093" w:rsidRDefault="00000000">
      <w:pPr>
        <w:pStyle w:val="Prrafodelista"/>
        <w:numPr>
          <w:ilvl w:val="0"/>
          <w:numId w:val="43"/>
        </w:numPr>
        <w:spacing w:before="120" w:after="120" w:line="360" w:lineRule="auto"/>
        <w:jc w:val="both"/>
        <w:rPr>
          <w:rFonts w:cstheme="minorHAnsi"/>
        </w:rPr>
      </w:pPr>
      <w:r>
        <w:rPr>
          <w:rFonts w:cstheme="minorHAnsi"/>
        </w:rPr>
        <w:t>Apoyar en la preparación de la documentación precontractual necesaria, según corresponda a cada tipo de adquisición o contratación de las actividades que corresponden a la PGE en la ejecución del Programa.</w:t>
      </w:r>
    </w:p>
    <w:p w14:paraId="65BF0860" w14:textId="77777777" w:rsidR="007B3093" w:rsidRDefault="00000000">
      <w:pPr>
        <w:pStyle w:val="Prrafodelista"/>
        <w:numPr>
          <w:ilvl w:val="0"/>
          <w:numId w:val="43"/>
        </w:numPr>
        <w:spacing w:before="120" w:after="120" w:line="360" w:lineRule="auto"/>
        <w:jc w:val="both"/>
        <w:rPr>
          <w:rFonts w:cstheme="minorHAnsi"/>
        </w:rPr>
      </w:pPr>
      <w:r>
        <w:rPr>
          <w:rFonts w:cstheme="minorHAnsi"/>
        </w:rPr>
        <w:t xml:space="preserve">Gestionar y dar seguimiento a los procesos de No Objeción emitidos por el Banco, según corresponda a cada tipo de adquisición o contratación de las actividades que corresponden a la PGE en la ejecución del Programa. </w:t>
      </w:r>
    </w:p>
    <w:p w14:paraId="6CB12815" w14:textId="77777777" w:rsidR="007B3093" w:rsidRDefault="00000000">
      <w:pPr>
        <w:pStyle w:val="Prrafodelista"/>
        <w:numPr>
          <w:ilvl w:val="0"/>
          <w:numId w:val="43"/>
        </w:numPr>
        <w:spacing w:before="120" w:after="120" w:line="360" w:lineRule="auto"/>
        <w:jc w:val="both"/>
        <w:rPr>
          <w:rFonts w:cstheme="minorHAnsi"/>
        </w:rPr>
      </w:pPr>
      <w:r>
        <w:rPr>
          <w:rFonts w:cstheme="minorHAnsi"/>
        </w:rPr>
        <w:t xml:space="preserve">Supervisar la gestión de adquisiciones de las actividades del Programa que corresponden a la PGE </w:t>
      </w:r>
    </w:p>
    <w:p w14:paraId="635BAC55" w14:textId="77777777" w:rsidR="007B3093" w:rsidRDefault="00000000">
      <w:pPr>
        <w:pStyle w:val="Prrafodelista"/>
        <w:numPr>
          <w:ilvl w:val="0"/>
          <w:numId w:val="43"/>
        </w:numPr>
        <w:spacing w:before="120" w:after="120" w:line="360" w:lineRule="auto"/>
        <w:jc w:val="both"/>
        <w:rPr>
          <w:rFonts w:cstheme="minorHAnsi"/>
        </w:rPr>
      </w:pPr>
      <w:r>
        <w:rPr>
          <w:rFonts w:cstheme="minorHAnsi"/>
        </w:rPr>
        <w:t xml:space="preserve">Gestionar y coordinar los procesos de adquisiciones de las actividades que corresponden al MEF en la ejecución del Programa. </w:t>
      </w:r>
    </w:p>
    <w:p w14:paraId="4EEF18B6" w14:textId="77777777" w:rsidR="007B3093" w:rsidRDefault="00000000">
      <w:pPr>
        <w:pStyle w:val="Prrafodelista"/>
        <w:numPr>
          <w:ilvl w:val="0"/>
          <w:numId w:val="43"/>
        </w:numPr>
        <w:spacing w:before="120" w:after="120" w:line="360" w:lineRule="auto"/>
        <w:jc w:val="both"/>
        <w:rPr>
          <w:rFonts w:cstheme="minorHAnsi"/>
        </w:rPr>
      </w:pPr>
      <w:r>
        <w:rPr>
          <w:rFonts w:cstheme="minorHAnsi"/>
        </w:rPr>
        <w:t xml:space="preserve">Mantener un sistema de control y archivo documental y electrónico ordenado y completo de la información de sustento de los procesos de adquisiciones, contrataciones de las actividades que corresponden a la PGE en la ejecución del Programa. </w:t>
      </w:r>
    </w:p>
    <w:p w14:paraId="4593E42B" w14:textId="77777777" w:rsidR="007B3093" w:rsidRDefault="00000000">
      <w:pPr>
        <w:pStyle w:val="Prrafodelista"/>
        <w:numPr>
          <w:ilvl w:val="0"/>
          <w:numId w:val="43"/>
        </w:numPr>
        <w:spacing w:before="120" w:after="120" w:line="360" w:lineRule="auto"/>
        <w:jc w:val="both"/>
        <w:rPr>
          <w:rFonts w:cstheme="minorHAnsi"/>
        </w:rPr>
      </w:pPr>
      <w:r>
        <w:rPr>
          <w:rFonts w:cstheme="minorHAnsi"/>
        </w:rPr>
        <w:t>Velar por el cumplimiento de los acuerdos de adquisiciones y contrataciones establecidos para la ejecución del componente o actividades a cargo de la PGE.</w:t>
      </w:r>
    </w:p>
    <w:p w14:paraId="55A52E98" w14:textId="77777777" w:rsidR="007B3093" w:rsidRDefault="00000000">
      <w:pPr>
        <w:pStyle w:val="Prrafodelista"/>
        <w:numPr>
          <w:ilvl w:val="0"/>
          <w:numId w:val="43"/>
        </w:numPr>
        <w:spacing w:before="120" w:after="120" w:line="360" w:lineRule="auto"/>
        <w:jc w:val="both"/>
        <w:rPr>
          <w:rFonts w:cstheme="minorHAnsi"/>
        </w:rPr>
      </w:pPr>
      <w:r>
        <w:rPr>
          <w:rFonts w:cstheme="minorHAnsi"/>
        </w:rPr>
        <w:t>Las demás funciones descritas en el ROP y las asignadas por el Coordinador, con la finalidad de dar cumplimiento al Programa.</w:t>
      </w:r>
    </w:p>
    <w:p w14:paraId="3CF9696A" w14:textId="77777777" w:rsidR="007B3093" w:rsidRDefault="00000000">
      <w:pPr>
        <w:spacing w:before="120" w:after="120" w:line="360" w:lineRule="auto"/>
        <w:jc w:val="both"/>
        <w:rPr>
          <w:rFonts w:cstheme="minorHAnsi"/>
          <w:b/>
        </w:rPr>
      </w:pPr>
      <w:r>
        <w:rPr>
          <w:rFonts w:cstheme="minorHAnsi"/>
          <w:b/>
        </w:rPr>
        <w:t>Especialista Financiero (EF-EDG/PGE)</w:t>
      </w:r>
    </w:p>
    <w:p w14:paraId="474DEC70" w14:textId="77777777" w:rsidR="007B3093" w:rsidRDefault="00000000">
      <w:pPr>
        <w:pStyle w:val="Prrafodelista"/>
        <w:numPr>
          <w:ilvl w:val="0"/>
          <w:numId w:val="44"/>
        </w:numPr>
        <w:spacing w:before="120" w:after="120" w:line="360" w:lineRule="auto"/>
        <w:jc w:val="both"/>
        <w:rPr>
          <w:rFonts w:cstheme="minorHAnsi"/>
        </w:rPr>
      </w:pPr>
      <w:r>
        <w:rPr>
          <w:rFonts w:cstheme="minorHAnsi"/>
        </w:rPr>
        <w:t xml:space="preserve">Preparar la información presupuestaria y financiera necesaria, del componente y actividades del Programa a cargo de la PGE, con la finalidad de facilitar al EDG-MEF </w:t>
      </w:r>
      <w:r>
        <w:rPr>
          <w:rFonts w:cstheme="minorHAnsi"/>
        </w:rPr>
        <w:lastRenderedPageBreak/>
        <w:t xml:space="preserve">la preparación y consolidación de la información presupuestaria y financiera del Programa, en la forma y periodicidad establecidos, en el Contrato de Préstamo y el ROP. </w:t>
      </w:r>
    </w:p>
    <w:p w14:paraId="137451DE" w14:textId="77777777" w:rsidR="007B3093" w:rsidRDefault="00000000">
      <w:pPr>
        <w:pStyle w:val="Prrafodelista"/>
        <w:numPr>
          <w:ilvl w:val="0"/>
          <w:numId w:val="44"/>
        </w:numPr>
        <w:spacing w:before="120" w:after="120" w:line="360" w:lineRule="auto"/>
        <w:jc w:val="both"/>
        <w:rPr>
          <w:rFonts w:cstheme="minorHAnsi"/>
        </w:rPr>
      </w:pPr>
      <w:r>
        <w:rPr>
          <w:rFonts w:cstheme="minorHAnsi"/>
        </w:rPr>
        <w:t xml:space="preserve">Remitir al EDG-MEF en un plazo de 5 días calendarios posteriores al cierre de cada mes: (i) una base de datos en Excel que contenga cada uno de los Comprobante Único de Registro </w:t>
      </w:r>
      <w:proofErr w:type="spellStart"/>
      <w:r>
        <w:rPr>
          <w:rFonts w:cstheme="minorHAnsi"/>
        </w:rPr>
        <w:t>CURs</w:t>
      </w:r>
      <w:proofErr w:type="spellEnd"/>
      <w:r>
        <w:rPr>
          <w:rFonts w:cstheme="minorHAnsi"/>
        </w:rPr>
        <w:t xml:space="preserve"> pagados en el mes, los cuales deberán estar clasificados por el producto de la </w:t>
      </w:r>
      <w:proofErr w:type="spellStart"/>
      <w:r>
        <w:rPr>
          <w:rFonts w:cstheme="minorHAnsi"/>
        </w:rPr>
        <w:t>MdR</w:t>
      </w:r>
      <w:proofErr w:type="spellEnd"/>
      <w:r>
        <w:rPr>
          <w:rFonts w:cstheme="minorHAnsi"/>
        </w:rPr>
        <w:t xml:space="preserve"> del Programa BID al que contribuyen y la fuente de financiamiento a la cual debe ser registrada en la Contabilidad del Programa. El detalle de </w:t>
      </w:r>
      <w:proofErr w:type="spellStart"/>
      <w:r>
        <w:rPr>
          <w:rFonts w:cstheme="minorHAnsi"/>
        </w:rPr>
        <w:t>CURs</w:t>
      </w:r>
      <w:proofErr w:type="spellEnd"/>
      <w:r>
        <w:rPr>
          <w:rFonts w:cstheme="minorHAnsi"/>
        </w:rPr>
        <w:t xml:space="preserve"> mensual debe estar cuadrado con el reporte de ejecución presupuestaria y en caso de existir diferencias, se deberá incluir las notas explicativas respectivas. El contenido (campos de información) de las bases de datos de los </w:t>
      </w:r>
      <w:proofErr w:type="spellStart"/>
      <w:r>
        <w:rPr>
          <w:rFonts w:cstheme="minorHAnsi"/>
        </w:rPr>
        <w:t>CURs</w:t>
      </w:r>
      <w:proofErr w:type="spellEnd"/>
      <w:r>
        <w:rPr>
          <w:rFonts w:cstheme="minorHAnsi"/>
        </w:rPr>
        <w:t xml:space="preserve"> deberán ser entregados según los requerimientos y formatos indicados por el EDG-MEF. </w:t>
      </w:r>
    </w:p>
    <w:p w14:paraId="70756891" w14:textId="77777777" w:rsidR="007B3093" w:rsidRDefault="00000000">
      <w:pPr>
        <w:pStyle w:val="Prrafodelista"/>
        <w:numPr>
          <w:ilvl w:val="0"/>
          <w:numId w:val="44"/>
        </w:numPr>
        <w:spacing w:before="120" w:after="120" w:line="360" w:lineRule="auto"/>
        <w:jc w:val="both"/>
        <w:rPr>
          <w:rFonts w:cstheme="minorHAnsi"/>
        </w:rPr>
      </w:pPr>
      <w:r>
        <w:rPr>
          <w:rFonts w:cstheme="minorHAnsi"/>
        </w:rPr>
        <w:t xml:space="preserve">Presentar la conciliación mensual de la información financiera, que deberá ser registrada en la contabilidad del Programa por parte del EDG-MEF. En caso de existir diferencias entre la ejecución presupuestaria y las inversiones que deben ser registradas en la contabilidad del Programa, se deberán incluir las notas explicativas respectivas. </w:t>
      </w:r>
    </w:p>
    <w:p w14:paraId="63398859" w14:textId="77777777" w:rsidR="007B3093" w:rsidRDefault="00000000">
      <w:pPr>
        <w:pStyle w:val="Prrafodelista"/>
        <w:numPr>
          <w:ilvl w:val="0"/>
          <w:numId w:val="44"/>
        </w:numPr>
        <w:spacing w:before="120" w:after="120" w:line="360" w:lineRule="auto"/>
        <w:jc w:val="both"/>
        <w:rPr>
          <w:rFonts w:cstheme="minorHAnsi"/>
        </w:rPr>
      </w:pPr>
      <w:r>
        <w:rPr>
          <w:rFonts w:cstheme="minorHAnsi"/>
        </w:rPr>
        <w:t xml:space="preserve">Mantener archivada y organizada toda la documentación de respaldo física y/o digital de los pagos ejecutados por la PGE, con cargo al componente y productos del Contrato de Préstamo y enviar el respaldo digital al EDG- MEF en un plazo máximo de 5 días calendario. </w:t>
      </w:r>
    </w:p>
    <w:p w14:paraId="313099F8" w14:textId="77777777" w:rsidR="007B3093" w:rsidRDefault="00000000">
      <w:pPr>
        <w:pStyle w:val="Prrafodelista"/>
        <w:numPr>
          <w:ilvl w:val="0"/>
          <w:numId w:val="44"/>
        </w:numPr>
        <w:spacing w:before="120" w:after="120" w:line="360" w:lineRule="auto"/>
        <w:jc w:val="both"/>
        <w:rPr>
          <w:rFonts w:cstheme="minorHAnsi"/>
        </w:rPr>
      </w:pPr>
      <w:r>
        <w:rPr>
          <w:rFonts w:cstheme="minorHAnsi"/>
        </w:rPr>
        <w:t>Apoyar y facilitar la ejecución de las auditorías externas respecto de las actividades del Programa a su cargo, mediante la entrega de información completa, oportuna y confiable.</w:t>
      </w:r>
    </w:p>
    <w:p w14:paraId="308F9E8E" w14:textId="77777777" w:rsidR="007B3093" w:rsidRDefault="00000000">
      <w:pPr>
        <w:pStyle w:val="Prrafodelista"/>
        <w:numPr>
          <w:ilvl w:val="0"/>
          <w:numId w:val="44"/>
        </w:numPr>
        <w:spacing w:before="120" w:after="120" w:line="360" w:lineRule="auto"/>
        <w:jc w:val="both"/>
        <w:rPr>
          <w:rFonts w:cstheme="minorHAnsi"/>
        </w:rPr>
      </w:pPr>
      <w:r>
        <w:rPr>
          <w:rFonts w:cstheme="minorHAnsi"/>
        </w:rPr>
        <w:t>Implementar y actualizar el Plan de Cuentas del Programa acordado con el EDG-MEF en función de la normativa contable pertinente, las necesidades de registro y presentación de información del programa, dentro de lo establecido en la gestión financiera del Programa descrita en el ROP.</w:t>
      </w:r>
    </w:p>
    <w:p w14:paraId="10C270CD" w14:textId="77777777" w:rsidR="007B3093" w:rsidRDefault="00000000">
      <w:pPr>
        <w:pStyle w:val="Prrafodelista"/>
        <w:numPr>
          <w:ilvl w:val="0"/>
          <w:numId w:val="44"/>
        </w:numPr>
        <w:spacing w:before="120" w:after="120" w:line="360" w:lineRule="auto"/>
        <w:jc w:val="both"/>
        <w:rPr>
          <w:rFonts w:cstheme="minorHAnsi"/>
        </w:rPr>
      </w:pPr>
      <w:r>
        <w:rPr>
          <w:rFonts w:cstheme="minorHAnsi"/>
        </w:rPr>
        <w:t xml:space="preserve">Apoyar al EDG-MEF en la preparación de las solicitudes de desembolso (anticipos, reembolso, justificaciones) del Programa, para su presentación al BID. </w:t>
      </w:r>
    </w:p>
    <w:p w14:paraId="0E6E1954" w14:textId="77777777" w:rsidR="007B3093" w:rsidRDefault="00000000">
      <w:pPr>
        <w:pStyle w:val="Prrafodelista"/>
        <w:numPr>
          <w:ilvl w:val="0"/>
          <w:numId w:val="44"/>
        </w:numPr>
        <w:spacing w:before="120" w:after="120" w:line="360" w:lineRule="auto"/>
        <w:jc w:val="both"/>
        <w:rPr>
          <w:rFonts w:cstheme="minorHAnsi"/>
        </w:rPr>
      </w:pPr>
      <w:r>
        <w:rPr>
          <w:rFonts w:cstheme="minorHAnsi"/>
        </w:rPr>
        <w:t>Gestionar y coordinar oportunamente la disponibilidad de recursos de los productos del Programa a cargo de la PGE.</w:t>
      </w:r>
    </w:p>
    <w:p w14:paraId="30CE6F7A" w14:textId="77777777" w:rsidR="007B3093" w:rsidRDefault="00000000">
      <w:pPr>
        <w:pStyle w:val="Prrafodelista"/>
        <w:numPr>
          <w:ilvl w:val="0"/>
          <w:numId w:val="44"/>
        </w:numPr>
        <w:spacing w:before="120" w:after="120" w:line="360" w:lineRule="auto"/>
        <w:jc w:val="both"/>
        <w:rPr>
          <w:rFonts w:cstheme="minorHAnsi"/>
        </w:rPr>
      </w:pPr>
      <w:r>
        <w:rPr>
          <w:rFonts w:cstheme="minorHAnsi"/>
        </w:rPr>
        <w:lastRenderedPageBreak/>
        <w:t>Gestionar la emisión de las certificaciones y avales presupuestarios necesarios correspondientes a los procesos precontractuales de las actividades del Programa a cargo de la PGE, en coordinación con el EDG-MEF.</w:t>
      </w:r>
    </w:p>
    <w:p w14:paraId="7A976B7E" w14:textId="77777777" w:rsidR="007B3093" w:rsidRDefault="00000000">
      <w:pPr>
        <w:pStyle w:val="Prrafodelista"/>
        <w:numPr>
          <w:ilvl w:val="0"/>
          <w:numId w:val="44"/>
        </w:numPr>
        <w:spacing w:before="120" w:after="120" w:line="360" w:lineRule="auto"/>
        <w:jc w:val="both"/>
        <w:rPr>
          <w:rFonts w:cstheme="minorHAnsi"/>
        </w:rPr>
      </w:pPr>
      <w:r>
        <w:rPr>
          <w:rFonts w:cstheme="minorHAnsi"/>
        </w:rPr>
        <w:t>Velar por el cumplimiento de los acuerdos establecidos para la ejecución de su componente, en el Contrato de Préstamo, ROP, que corresponda a gestión financiera del componente y actividades a su cargo.</w:t>
      </w:r>
    </w:p>
    <w:p w14:paraId="1E03A840" w14:textId="77777777" w:rsidR="007B3093" w:rsidRDefault="00000000">
      <w:pPr>
        <w:pStyle w:val="Prrafodelista"/>
        <w:numPr>
          <w:ilvl w:val="0"/>
          <w:numId w:val="44"/>
        </w:numPr>
        <w:spacing w:before="120" w:after="120" w:line="360" w:lineRule="auto"/>
        <w:jc w:val="both"/>
        <w:rPr>
          <w:rFonts w:cstheme="minorHAnsi"/>
        </w:rPr>
      </w:pPr>
      <w:r>
        <w:rPr>
          <w:rFonts w:cstheme="minorHAnsi"/>
        </w:rPr>
        <w:t>Las demás funciones asignadas por el Coordinador del Proyecto, con la finalidad de dar cumplimiento al Programa.</w:t>
      </w:r>
    </w:p>
    <w:p w14:paraId="0D5A733F" w14:textId="77777777" w:rsidR="007B3093" w:rsidRDefault="007B3093">
      <w:pPr>
        <w:pStyle w:val="Prrafodelista"/>
        <w:spacing w:before="120" w:after="120" w:line="360" w:lineRule="auto"/>
        <w:ind w:left="1068"/>
        <w:jc w:val="both"/>
        <w:rPr>
          <w:rFonts w:cstheme="minorHAnsi"/>
        </w:rPr>
      </w:pPr>
    </w:p>
    <w:p w14:paraId="6204031D" w14:textId="77777777" w:rsidR="007B3093" w:rsidRDefault="00000000">
      <w:pPr>
        <w:rPr>
          <w:rFonts w:cstheme="minorHAnsi"/>
        </w:rPr>
      </w:pPr>
      <w:r>
        <w:rPr>
          <w:rFonts w:cstheme="minorHAnsi"/>
          <w:b/>
        </w:rPr>
        <w:t>Especialista de Monitoreo y Evaluación EME-EDG</w:t>
      </w:r>
    </w:p>
    <w:p w14:paraId="4EF85776" w14:textId="77777777" w:rsidR="007B3093" w:rsidRDefault="00000000">
      <w:pPr>
        <w:pStyle w:val="Prrafodelista"/>
        <w:numPr>
          <w:ilvl w:val="0"/>
          <w:numId w:val="45"/>
        </w:numPr>
        <w:spacing w:before="120" w:after="120" w:line="360" w:lineRule="auto"/>
        <w:jc w:val="both"/>
        <w:rPr>
          <w:rFonts w:cstheme="minorHAnsi"/>
        </w:rPr>
      </w:pPr>
      <w:r>
        <w:rPr>
          <w:rFonts w:cstheme="minorHAnsi"/>
        </w:rPr>
        <w:t>Coordinar con el EDG-MEF el seguimiento al cumplimiento y avance de los productos y metas del componente y las actividades del Programa a cargo de la PGE.</w:t>
      </w:r>
    </w:p>
    <w:p w14:paraId="2840213C" w14:textId="77777777" w:rsidR="007B3093" w:rsidRDefault="00000000">
      <w:pPr>
        <w:pStyle w:val="Prrafodelista"/>
        <w:numPr>
          <w:ilvl w:val="0"/>
          <w:numId w:val="45"/>
        </w:numPr>
        <w:spacing w:before="120" w:after="120" w:line="360" w:lineRule="auto"/>
        <w:jc w:val="both"/>
        <w:rPr>
          <w:rFonts w:cstheme="minorHAnsi"/>
        </w:rPr>
      </w:pPr>
      <w:r>
        <w:rPr>
          <w:rFonts w:cstheme="minorHAnsi"/>
        </w:rPr>
        <w:t>Aplicar los formatos y herramientas de monitoreo del Programa, definidos por el EDG-MEF.</w:t>
      </w:r>
    </w:p>
    <w:p w14:paraId="3F47CCB2" w14:textId="77777777" w:rsidR="007B3093" w:rsidRDefault="00000000">
      <w:pPr>
        <w:pStyle w:val="Prrafodelista"/>
        <w:numPr>
          <w:ilvl w:val="0"/>
          <w:numId w:val="45"/>
        </w:numPr>
        <w:spacing w:before="120" w:after="120" w:line="360" w:lineRule="auto"/>
        <w:jc w:val="both"/>
        <w:rPr>
          <w:rFonts w:cstheme="minorHAnsi"/>
        </w:rPr>
      </w:pPr>
      <w:r>
        <w:rPr>
          <w:rFonts w:cstheme="minorHAnsi"/>
        </w:rPr>
        <w:t xml:space="preserve">Preparar y proporcionar al EDG-MEF información de las actividades del proyecto. </w:t>
      </w:r>
    </w:p>
    <w:p w14:paraId="40849098" w14:textId="77777777" w:rsidR="007B3093" w:rsidRDefault="00000000">
      <w:pPr>
        <w:pStyle w:val="Prrafodelista"/>
        <w:numPr>
          <w:ilvl w:val="0"/>
          <w:numId w:val="45"/>
        </w:numPr>
        <w:spacing w:before="120" w:after="120" w:line="360" w:lineRule="auto"/>
        <w:jc w:val="both"/>
        <w:rPr>
          <w:rFonts w:cstheme="minorHAnsi"/>
        </w:rPr>
      </w:pPr>
      <w:r>
        <w:rPr>
          <w:rFonts w:cstheme="minorHAnsi"/>
        </w:rPr>
        <w:t>Proporcionar la información que el EDG-MEF requiera para la elaboración de los informes semestrales consolidados y los informes requeridos para las reuniones de seguimiento y avance de resultados.</w:t>
      </w:r>
    </w:p>
    <w:p w14:paraId="38ABFF72" w14:textId="77777777" w:rsidR="007B3093" w:rsidRDefault="00000000">
      <w:pPr>
        <w:pStyle w:val="Prrafodelista"/>
        <w:numPr>
          <w:ilvl w:val="0"/>
          <w:numId w:val="45"/>
        </w:numPr>
        <w:spacing w:before="120" w:after="120" w:line="360" w:lineRule="auto"/>
        <w:jc w:val="both"/>
        <w:rPr>
          <w:rFonts w:cstheme="minorHAnsi"/>
        </w:rPr>
      </w:pPr>
      <w:r>
        <w:rPr>
          <w:rFonts w:cstheme="minorHAnsi"/>
        </w:rPr>
        <w:t>Garantizar al EDG-MEF el mantenimiento periódico de la información para alimentar las herramientas que formen parte del Sistema de Monitoreo y Evaluación.</w:t>
      </w:r>
    </w:p>
    <w:p w14:paraId="3973854B" w14:textId="77777777" w:rsidR="007B3093" w:rsidRDefault="00000000">
      <w:pPr>
        <w:pStyle w:val="Prrafodelista"/>
        <w:numPr>
          <w:ilvl w:val="0"/>
          <w:numId w:val="45"/>
        </w:numPr>
        <w:spacing w:before="120" w:after="120" w:line="360" w:lineRule="auto"/>
        <w:jc w:val="both"/>
        <w:rPr>
          <w:rFonts w:cstheme="minorHAnsi"/>
        </w:rPr>
      </w:pPr>
      <w:r>
        <w:rPr>
          <w:lang w:eastAsia="es-ES"/>
        </w:rPr>
        <w:t>Mantener un sistema de control y archivo documental y electrónico ordenado y completo de la información del Proyecto.</w:t>
      </w:r>
    </w:p>
    <w:p w14:paraId="1FCD4FA9" w14:textId="77777777" w:rsidR="007B3093" w:rsidRDefault="00000000">
      <w:pPr>
        <w:pStyle w:val="Prrafodelista"/>
        <w:numPr>
          <w:ilvl w:val="0"/>
          <w:numId w:val="45"/>
        </w:numPr>
        <w:spacing w:before="120" w:after="120" w:line="360" w:lineRule="auto"/>
        <w:jc w:val="both"/>
        <w:rPr>
          <w:rFonts w:cstheme="minorHAnsi"/>
        </w:rPr>
      </w:pPr>
      <w:r>
        <w:rPr>
          <w:rFonts w:cstheme="minorHAnsi"/>
        </w:rPr>
        <w:t>Dar seguimiento a las comunicaciones externas e internas, monitorear, responder y reenviar correos entrantes de manera constante.</w:t>
      </w:r>
    </w:p>
    <w:p w14:paraId="2275CFD4" w14:textId="77777777" w:rsidR="007B3093" w:rsidRDefault="00000000">
      <w:pPr>
        <w:pStyle w:val="Prrafodelista"/>
        <w:numPr>
          <w:ilvl w:val="0"/>
          <w:numId w:val="45"/>
        </w:numPr>
        <w:spacing w:before="120" w:after="120" w:line="360" w:lineRule="auto"/>
        <w:jc w:val="both"/>
        <w:rPr>
          <w:rFonts w:cstheme="minorHAnsi"/>
        </w:rPr>
      </w:pPr>
      <w:r>
        <w:rPr>
          <w:rFonts w:cstheme="minorHAnsi"/>
        </w:rPr>
        <w:t>Resolver cualquier requerimiento administrativo.</w:t>
      </w:r>
    </w:p>
    <w:p w14:paraId="1CB2ABCB" w14:textId="77777777" w:rsidR="007B3093" w:rsidRDefault="00000000">
      <w:pPr>
        <w:pStyle w:val="Prrafodelista"/>
        <w:numPr>
          <w:ilvl w:val="0"/>
          <w:numId w:val="45"/>
        </w:numPr>
        <w:spacing w:before="120" w:after="120" w:line="360" w:lineRule="auto"/>
        <w:jc w:val="both"/>
        <w:rPr>
          <w:rFonts w:cstheme="minorHAnsi"/>
        </w:rPr>
      </w:pPr>
      <w:r>
        <w:rPr>
          <w:rFonts w:cstheme="minorHAnsi"/>
        </w:rPr>
        <w:t>Preparar, organizar y agendar las reuniones de trabajo.</w:t>
      </w:r>
    </w:p>
    <w:p w14:paraId="0D7551EE" w14:textId="77777777" w:rsidR="007B3093" w:rsidRDefault="00000000">
      <w:pPr>
        <w:pStyle w:val="Prrafodelista"/>
        <w:numPr>
          <w:ilvl w:val="0"/>
          <w:numId w:val="45"/>
        </w:numPr>
        <w:spacing w:before="120" w:after="120" w:line="360" w:lineRule="auto"/>
        <w:jc w:val="both"/>
        <w:rPr>
          <w:rFonts w:cstheme="minorHAnsi"/>
        </w:rPr>
      </w:pPr>
      <w:r>
        <w:rPr>
          <w:rFonts w:cstheme="minorHAnsi"/>
        </w:rPr>
        <w:t>Las demás funciones asignadas por el Coordinador del Proyecto, con la finalidad de dar cumplimiento al Programa.</w:t>
      </w:r>
    </w:p>
    <w:p w14:paraId="68D4E05D" w14:textId="77777777" w:rsidR="007B3093" w:rsidRDefault="007B3093">
      <w:pPr>
        <w:pStyle w:val="Prrafodelista"/>
        <w:spacing w:before="120" w:after="120" w:line="360" w:lineRule="auto"/>
        <w:ind w:left="1068"/>
        <w:jc w:val="both"/>
        <w:rPr>
          <w:rFonts w:cstheme="minorHAnsi"/>
        </w:rPr>
      </w:pPr>
    </w:p>
    <w:p w14:paraId="49B045DF" w14:textId="77777777" w:rsidR="007B3093" w:rsidRDefault="00000000">
      <w:pPr>
        <w:rPr>
          <w:rFonts w:cstheme="minorHAnsi"/>
          <w:b/>
        </w:rPr>
      </w:pPr>
      <w:r>
        <w:rPr>
          <w:rFonts w:cstheme="minorHAnsi"/>
          <w:b/>
        </w:rPr>
        <w:t>Especialista de Tecnologías de la Información y Comunicación (ETIC-EDG/PGE)</w:t>
      </w:r>
    </w:p>
    <w:p w14:paraId="0A75600B" w14:textId="77777777" w:rsidR="007B3093" w:rsidRDefault="00000000">
      <w:pPr>
        <w:pStyle w:val="Prrafodelista"/>
        <w:numPr>
          <w:ilvl w:val="0"/>
          <w:numId w:val="48"/>
        </w:numPr>
        <w:spacing w:before="120" w:after="120" w:line="360" w:lineRule="auto"/>
        <w:jc w:val="both"/>
        <w:rPr>
          <w:rFonts w:cstheme="minorHAnsi"/>
        </w:rPr>
      </w:pPr>
      <w:r>
        <w:rPr>
          <w:rFonts w:cstheme="minorHAnsi"/>
        </w:rPr>
        <w:t xml:space="preserve">Coordinar la ejecución y seguimiento de las actividades del proyecto de fortalecimiento institucional de la PGE, relacionadas con el desarrollo de un Sistema </w:t>
      </w:r>
      <w:r>
        <w:rPr>
          <w:rFonts w:cstheme="minorHAnsi"/>
        </w:rPr>
        <w:lastRenderedPageBreak/>
        <w:t>Informático Integrado de Gestión Interna y procesos misionales e inteligencia y análisis de datos;</w:t>
      </w:r>
    </w:p>
    <w:p w14:paraId="53F24C47" w14:textId="77777777" w:rsidR="007B3093" w:rsidRDefault="00000000">
      <w:pPr>
        <w:pStyle w:val="Prrafodelista"/>
        <w:numPr>
          <w:ilvl w:val="0"/>
          <w:numId w:val="48"/>
        </w:numPr>
        <w:spacing w:before="120" w:after="120" w:line="360" w:lineRule="auto"/>
        <w:jc w:val="both"/>
        <w:rPr>
          <w:rFonts w:cstheme="minorHAnsi"/>
        </w:rPr>
      </w:pPr>
      <w:r>
        <w:rPr>
          <w:rFonts w:cstheme="minorHAnsi"/>
        </w:rPr>
        <w:t>Coordinar la ejecución y seguimiento de las actividades de optimización del sistema de gestión documental de la PGE, derivadas del proyecto de fortalecimiento institucional;</w:t>
      </w:r>
    </w:p>
    <w:p w14:paraId="1165282C" w14:textId="77777777" w:rsidR="007B3093" w:rsidRDefault="00000000">
      <w:pPr>
        <w:pStyle w:val="Prrafodelista"/>
        <w:numPr>
          <w:ilvl w:val="0"/>
          <w:numId w:val="48"/>
        </w:numPr>
        <w:spacing w:before="120" w:after="120" w:line="360" w:lineRule="auto"/>
        <w:jc w:val="both"/>
        <w:rPr>
          <w:rFonts w:cstheme="minorHAnsi"/>
        </w:rPr>
      </w:pPr>
      <w:r>
        <w:rPr>
          <w:rFonts w:cstheme="minorHAnsi"/>
        </w:rPr>
        <w:t>Analizar y proponer, en coordinación con el equipo del proyecto de fortalecimiento institucional de la PGE y demás funcionarios competentes, las necesidades de fortalecimiento del hardware y software para soportar el nuevo sistema integrado de la institución;</w:t>
      </w:r>
    </w:p>
    <w:p w14:paraId="70C2D46E" w14:textId="77777777" w:rsidR="007B3093" w:rsidRDefault="00000000">
      <w:pPr>
        <w:pStyle w:val="Prrafodelista"/>
        <w:numPr>
          <w:ilvl w:val="0"/>
          <w:numId w:val="48"/>
        </w:numPr>
        <w:spacing w:before="120" w:after="120" w:line="360" w:lineRule="auto"/>
        <w:jc w:val="both"/>
        <w:rPr>
          <w:rFonts w:cstheme="minorHAnsi"/>
        </w:rPr>
      </w:pPr>
      <w:r>
        <w:rPr>
          <w:rFonts w:cstheme="minorHAnsi"/>
        </w:rPr>
        <w:t>Coordinar las actividades del proyecto de fortalecimiento institucional de la PGE referidas a la implementación de la interoperabilidad con sistemas de otras instituciones;</w:t>
      </w:r>
    </w:p>
    <w:p w14:paraId="7D5C85DB" w14:textId="77777777" w:rsidR="007B3093" w:rsidRDefault="00000000">
      <w:pPr>
        <w:pStyle w:val="Prrafodelista"/>
        <w:numPr>
          <w:ilvl w:val="0"/>
          <w:numId w:val="48"/>
        </w:numPr>
        <w:spacing w:before="120" w:after="120" w:line="360" w:lineRule="auto"/>
        <w:jc w:val="both"/>
        <w:rPr>
          <w:rFonts w:cstheme="minorHAnsi"/>
        </w:rPr>
      </w:pPr>
      <w:r>
        <w:rPr>
          <w:rFonts w:cstheme="minorHAnsi"/>
        </w:rPr>
        <w:t>Coordinar las actividades del proyecto de fortalecimiento institucional de la PGE, que contribuyan a desarrollar el sistema informático (software y hardware) que permita brindar el servicio de asesoría legal a organismos del Estado;</w:t>
      </w:r>
    </w:p>
    <w:p w14:paraId="6188132D" w14:textId="77777777" w:rsidR="007B3093" w:rsidRDefault="00000000">
      <w:pPr>
        <w:pStyle w:val="Prrafodelista"/>
        <w:numPr>
          <w:ilvl w:val="0"/>
          <w:numId w:val="48"/>
        </w:numPr>
        <w:spacing w:before="120" w:after="120" w:line="360" w:lineRule="auto"/>
        <w:jc w:val="both"/>
        <w:rPr>
          <w:rFonts w:cstheme="minorHAnsi"/>
        </w:rPr>
      </w:pPr>
      <w:r>
        <w:rPr>
          <w:rFonts w:cstheme="minorHAnsi"/>
        </w:rPr>
        <w:t>Elaborar términos de referencia, bases, especificaciones técnicas y demás documentos necesarios para las contrataciones previstas en el proyecto de fortalecimiento institucional de la PEG, relacionadas con la infraestructura de Tics;</w:t>
      </w:r>
    </w:p>
    <w:p w14:paraId="3C547F7D" w14:textId="77777777" w:rsidR="007B3093" w:rsidRDefault="00000000">
      <w:pPr>
        <w:pStyle w:val="Prrafodelista"/>
        <w:numPr>
          <w:ilvl w:val="0"/>
          <w:numId w:val="48"/>
        </w:numPr>
        <w:spacing w:before="120" w:after="120" w:line="360" w:lineRule="auto"/>
        <w:jc w:val="both"/>
        <w:rPr>
          <w:rFonts w:cstheme="minorHAnsi"/>
        </w:rPr>
      </w:pPr>
      <w:r>
        <w:rPr>
          <w:rFonts w:cstheme="minorHAnsi"/>
        </w:rPr>
        <w:t>Proponer y definir planes tales como:</w:t>
      </w:r>
    </w:p>
    <w:p w14:paraId="10ABA598" w14:textId="77777777" w:rsidR="007B3093" w:rsidRDefault="00000000">
      <w:pPr>
        <w:pStyle w:val="Prrafodelista"/>
        <w:numPr>
          <w:ilvl w:val="1"/>
          <w:numId w:val="48"/>
        </w:numPr>
        <w:spacing w:before="120" w:after="120" w:line="360" w:lineRule="auto"/>
        <w:jc w:val="both"/>
        <w:rPr>
          <w:rFonts w:cstheme="minorHAnsi"/>
        </w:rPr>
      </w:pPr>
      <w:r>
        <w:rPr>
          <w:rFonts w:cstheme="minorHAnsi"/>
        </w:rPr>
        <w:t>Contingencia</w:t>
      </w:r>
    </w:p>
    <w:p w14:paraId="23FC8120" w14:textId="77777777" w:rsidR="007B3093" w:rsidRDefault="00000000">
      <w:pPr>
        <w:pStyle w:val="Prrafodelista"/>
        <w:numPr>
          <w:ilvl w:val="1"/>
          <w:numId w:val="48"/>
        </w:numPr>
        <w:spacing w:before="120" w:after="120" w:line="360" w:lineRule="auto"/>
        <w:jc w:val="both"/>
        <w:rPr>
          <w:rFonts w:cstheme="minorHAnsi"/>
        </w:rPr>
      </w:pPr>
      <w:r>
        <w:rPr>
          <w:rFonts w:cstheme="minorHAnsi"/>
        </w:rPr>
        <w:t>Matriz de riesgos</w:t>
      </w:r>
    </w:p>
    <w:p w14:paraId="28F2785A" w14:textId="77777777" w:rsidR="007B3093" w:rsidRDefault="00000000">
      <w:pPr>
        <w:pStyle w:val="Prrafodelista"/>
        <w:numPr>
          <w:ilvl w:val="1"/>
          <w:numId w:val="48"/>
        </w:numPr>
        <w:spacing w:before="120" w:after="120" w:line="360" w:lineRule="auto"/>
        <w:jc w:val="both"/>
        <w:rPr>
          <w:rFonts w:cstheme="minorHAnsi"/>
        </w:rPr>
      </w:pPr>
      <w:r>
        <w:rPr>
          <w:rFonts w:cstheme="minorHAnsi"/>
        </w:rPr>
        <w:t>Seguridad de la Información</w:t>
      </w:r>
    </w:p>
    <w:p w14:paraId="78FFD25C" w14:textId="77777777" w:rsidR="007B3093" w:rsidRDefault="00000000">
      <w:pPr>
        <w:pStyle w:val="Prrafodelista"/>
        <w:numPr>
          <w:ilvl w:val="1"/>
          <w:numId w:val="48"/>
        </w:numPr>
        <w:spacing w:before="120" w:after="120" w:line="360" w:lineRule="auto"/>
        <w:jc w:val="both"/>
        <w:rPr>
          <w:rFonts w:cstheme="minorHAnsi"/>
        </w:rPr>
      </w:pPr>
      <w:r>
        <w:rPr>
          <w:rFonts w:cstheme="minorHAnsi"/>
        </w:rPr>
        <w:t>Definir una correcta administración de las Tics siguiendo estándares o normas internacionales como ITIL, COBIT, ISO.</w:t>
      </w:r>
    </w:p>
    <w:p w14:paraId="09360012" w14:textId="77777777" w:rsidR="007B3093" w:rsidRDefault="00000000">
      <w:pPr>
        <w:pStyle w:val="Prrafodelista"/>
        <w:numPr>
          <w:ilvl w:val="1"/>
          <w:numId w:val="48"/>
        </w:numPr>
        <w:spacing w:before="120" w:after="120" w:line="360" w:lineRule="auto"/>
        <w:jc w:val="both"/>
        <w:rPr>
          <w:rFonts w:cstheme="minorHAnsi"/>
        </w:rPr>
      </w:pPr>
      <w:r>
        <w:rPr>
          <w:rFonts w:cstheme="minorHAnsi"/>
        </w:rPr>
        <w:t>Gobierno Electrónico</w:t>
      </w:r>
    </w:p>
    <w:p w14:paraId="77AD74B3" w14:textId="77777777" w:rsidR="007B3093" w:rsidRDefault="00000000">
      <w:pPr>
        <w:pStyle w:val="Prrafodelista"/>
        <w:numPr>
          <w:ilvl w:val="1"/>
          <w:numId w:val="48"/>
        </w:numPr>
        <w:spacing w:before="120" w:after="120" w:line="360" w:lineRule="auto"/>
        <w:jc w:val="both"/>
        <w:rPr>
          <w:rFonts w:cstheme="minorHAnsi"/>
        </w:rPr>
      </w:pPr>
      <w:r>
        <w:rPr>
          <w:rFonts w:cstheme="minorHAnsi"/>
        </w:rPr>
        <w:t>Cumplimiento de la ley de Eficiencia de trámites administrativos.</w:t>
      </w:r>
    </w:p>
    <w:p w14:paraId="5462DFC7" w14:textId="77777777" w:rsidR="007B3093" w:rsidRDefault="00000000">
      <w:pPr>
        <w:pStyle w:val="Prrafodelista"/>
        <w:numPr>
          <w:ilvl w:val="1"/>
          <w:numId w:val="48"/>
        </w:numPr>
        <w:spacing w:before="120" w:after="120" w:line="360" w:lineRule="auto"/>
        <w:jc w:val="both"/>
        <w:rPr>
          <w:rFonts w:cstheme="minorHAnsi"/>
        </w:rPr>
      </w:pPr>
      <w:r>
        <w:rPr>
          <w:rFonts w:cstheme="minorHAnsi"/>
        </w:rPr>
        <w:t xml:space="preserve">Definir tendencias dentro del campo de las </w:t>
      </w:r>
      <w:proofErr w:type="spellStart"/>
      <w:r>
        <w:rPr>
          <w:rFonts w:cstheme="minorHAnsi"/>
        </w:rPr>
        <w:t>TICs</w:t>
      </w:r>
      <w:proofErr w:type="spellEnd"/>
      <w:r>
        <w:rPr>
          <w:rFonts w:cstheme="minorHAnsi"/>
        </w:rPr>
        <w:t xml:space="preserve"> que permitan una actualización constante en las mismas.</w:t>
      </w:r>
    </w:p>
    <w:p w14:paraId="702FACBB" w14:textId="77777777" w:rsidR="007B3093" w:rsidRDefault="00000000">
      <w:pPr>
        <w:pStyle w:val="Prrafodelista"/>
        <w:numPr>
          <w:ilvl w:val="0"/>
          <w:numId w:val="48"/>
        </w:numPr>
        <w:spacing w:before="120" w:after="120" w:line="360" w:lineRule="auto"/>
        <w:jc w:val="both"/>
        <w:rPr>
          <w:rFonts w:cstheme="minorHAnsi"/>
        </w:rPr>
      </w:pPr>
      <w:r>
        <w:rPr>
          <w:rFonts w:cstheme="minorHAnsi"/>
        </w:rPr>
        <w:t xml:space="preserve">Las demás funciones asignadas por el Coordinador del Proyecto de la PGE, con la finalidad de dar cumplimiento al proyecto. </w:t>
      </w:r>
    </w:p>
    <w:p w14:paraId="70028129" w14:textId="77777777" w:rsidR="007B3093" w:rsidRDefault="007B3093">
      <w:pPr>
        <w:keepNext/>
        <w:keepLines/>
        <w:spacing w:after="0" w:line="360" w:lineRule="auto"/>
        <w:outlineLvl w:val="1"/>
        <w:rPr>
          <w:rFonts w:eastAsiaTheme="majorEastAsia" w:cstheme="minorHAnsi"/>
          <w:b/>
          <w:vanish/>
        </w:rPr>
      </w:pPr>
    </w:p>
    <w:p w14:paraId="2B21EC38" w14:textId="77777777" w:rsidR="007B3093" w:rsidRDefault="007B3093">
      <w:pPr>
        <w:keepNext/>
        <w:keepLines/>
        <w:spacing w:after="0" w:line="360" w:lineRule="auto"/>
        <w:outlineLvl w:val="1"/>
        <w:rPr>
          <w:rFonts w:eastAsiaTheme="majorEastAsia" w:cstheme="minorHAnsi"/>
          <w:b/>
          <w:vanish/>
        </w:rPr>
      </w:pPr>
    </w:p>
    <w:p w14:paraId="4F6FF097" w14:textId="77777777" w:rsidR="007B3093" w:rsidRDefault="007B3093">
      <w:pPr>
        <w:keepNext/>
        <w:keepLines/>
        <w:spacing w:after="0" w:line="360" w:lineRule="auto"/>
        <w:outlineLvl w:val="1"/>
        <w:rPr>
          <w:rFonts w:eastAsiaTheme="majorEastAsia" w:cstheme="minorHAnsi"/>
          <w:b/>
          <w:vanish/>
        </w:rPr>
      </w:pPr>
    </w:p>
    <w:p w14:paraId="146DBF4E" w14:textId="77777777" w:rsidR="007B3093" w:rsidRDefault="00000000">
      <w:pPr>
        <w:pStyle w:val="Ttulo2"/>
        <w:numPr>
          <w:ilvl w:val="1"/>
          <w:numId w:val="83"/>
        </w:numPr>
        <w:spacing w:before="0" w:line="360" w:lineRule="auto"/>
        <w:rPr>
          <w:rFonts w:asciiTheme="minorHAnsi" w:hAnsiTheme="minorHAnsi" w:cstheme="minorHAnsi"/>
          <w:b/>
          <w:color w:val="auto"/>
          <w:sz w:val="22"/>
          <w:szCs w:val="22"/>
        </w:rPr>
      </w:pPr>
      <w:bookmarkStart w:id="91" w:name="_Toc195010101"/>
      <w:r>
        <w:rPr>
          <w:rFonts w:asciiTheme="minorHAnsi" w:hAnsiTheme="minorHAnsi" w:cstheme="minorHAnsi"/>
          <w:b/>
          <w:color w:val="auto"/>
          <w:sz w:val="22"/>
          <w:szCs w:val="22"/>
        </w:rPr>
        <w:t>Arreglos institucionales y modalidad de ejecución</w:t>
      </w:r>
      <w:bookmarkEnd w:id="91"/>
    </w:p>
    <w:p w14:paraId="5150BCC5" w14:textId="77777777" w:rsidR="007B3093" w:rsidRDefault="007B3093">
      <w:pPr>
        <w:rPr>
          <w:color w:val="FF0000"/>
          <w:highlight w:val="yellow"/>
        </w:rPr>
      </w:pPr>
    </w:p>
    <w:p w14:paraId="2166BC91" w14:textId="77777777" w:rsidR="007B3093" w:rsidRDefault="00000000">
      <w:pPr>
        <w:pStyle w:val="Prrafodelista"/>
        <w:spacing w:before="120" w:after="120" w:line="360" w:lineRule="auto"/>
        <w:ind w:left="142"/>
        <w:jc w:val="both"/>
      </w:pPr>
      <w:r>
        <w:t>El 26 de diciembre de 2018, el Ministerio de Finanzas, notificó la aprobación del Perfil del “Programa de Modernización de la Administración Financiera” (EC-L1249)/BID, por el cual, el Banco Interamericano de Desarrollo BID, se comprometió a otorgar un monto de USD 43 millones, y cuyo objetivo es: aumentar la eficiencia y transparencia de la gestión de los recursos públicos, a través de la modernización tecnológica de la gestión financiera y del fortalecimiento institucional del Ministerio de Economía y Finanzas (MEF) y de la Procuraduría General del Estado (PGE), mediante tres componentes:</w:t>
      </w:r>
    </w:p>
    <w:p w14:paraId="7D5CC8D6" w14:textId="77777777" w:rsidR="007B3093" w:rsidRDefault="007B3093">
      <w:pPr>
        <w:pStyle w:val="Prrafodelista"/>
        <w:spacing w:before="120" w:after="120" w:line="360" w:lineRule="auto"/>
        <w:ind w:left="142" w:firstLine="425"/>
        <w:jc w:val="both"/>
      </w:pPr>
    </w:p>
    <w:p w14:paraId="6B91A27D" w14:textId="77777777" w:rsidR="007B3093" w:rsidRDefault="00000000">
      <w:pPr>
        <w:pStyle w:val="Prrafodelista"/>
        <w:spacing w:before="120" w:after="120" w:line="360" w:lineRule="auto"/>
        <w:ind w:left="142" w:firstLine="425"/>
        <w:jc w:val="both"/>
      </w:pPr>
      <w:r>
        <w:tab/>
        <w:t>Componente 1. Modernización Tecnológica de la Gestión Financiera.</w:t>
      </w:r>
    </w:p>
    <w:p w14:paraId="4D139337" w14:textId="77777777" w:rsidR="007B3093" w:rsidRDefault="00000000">
      <w:pPr>
        <w:pStyle w:val="Prrafodelista"/>
        <w:spacing w:before="120" w:after="120" w:line="360" w:lineRule="auto"/>
        <w:ind w:left="142" w:firstLine="425"/>
        <w:jc w:val="both"/>
      </w:pPr>
      <w:r>
        <w:tab/>
        <w:t>Componente 2. Fortalecimiento Institucional del MEF.</w:t>
      </w:r>
    </w:p>
    <w:p w14:paraId="03037DED" w14:textId="77777777" w:rsidR="007B3093" w:rsidRDefault="00000000">
      <w:pPr>
        <w:pStyle w:val="Prrafodelista"/>
        <w:spacing w:before="120" w:after="120" w:line="360" w:lineRule="auto"/>
        <w:ind w:left="142" w:firstLine="425"/>
        <w:jc w:val="both"/>
      </w:pPr>
      <w:r>
        <w:tab/>
        <w:t>Componente 3. Fortalecimiento Institucional de la PGE.</w:t>
      </w:r>
    </w:p>
    <w:p w14:paraId="38029183" w14:textId="77777777" w:rsidR="007B3093" w:rsidRDefault="007B3093">
      <w:pPr>
        <w:pStyle w:val="Prrafodelista"/>
        <w:spacing w:before="120" w:after="120" w:line="360" w:lineRule="auto"/>
        <w:ind w:left="142" w:firstLine="425"/>
        <w:jc w:val="both"/>
      </w:pPr>
    </w:p>
    <w:p w14:paraId="55953312" w14:textId="77777777" w:rsidR="007B3093" w:rsidRDefault="00000000">
      <w:pPr>
        <w:pStyle w:val="Prrafodelista"/>
        <w:spacing w:before="120" w:after="120" w:line="360" w:lineRule="auto"/>
        <w:ind w:left="142"/>
        <w:jc w:val="both"/>
      </w:pPr>
      <w:r>
        <w:t>Debido a que el Componente 3 del programa antes mencionado se convierte en el proyecto de inversión para el “Fortalecimiento Institucional de la Procuraduría General del Estado”, esta institución se convierte en el “Organismo Subejecutor” respecto del programa BID, el Ministerio de Economía y Finanzas se convierte en el “Organismo Ejecutor”, al cual la PGE debe reportar periódicamente los avances en el cumplimiento de las actividades establecidas; y el Banco Interamericano de Desarrollo BID es el Financista, al cual se debe informar los avances de los tres componentes del programa, por parte del “Organismo Ejecutor”.</w:t>
      </w:r>
    </w:p>
    <w:p w14:paraId="57D51A45" w14:textId="77777777" w:rsidR="007B3093" w:rsidRDefault="007B3093">
      <w:pPr>
        <w:pStyle w:val="Prrafodelista"/>
        <w:spacing w:before="120" w:after="120" w:line="360" w:lineRule="auto"/>
        <w:ind w:left="142" w:firstLine="425"/>
        <w:jc w:val="both"/>
      </w:pPr>
    </w:p>
    <w:p w14:paraId="255DB604" w14:textId="77777777" w:rsidR="007B3093" w:rsidRDefault="00000000">
      <w:pPr>
        <w:pStyle w:val="Prrafodelista"/>
        <w:spacing w:before="120" w:after="120" w:line="360" w:lineRule="auto"/>
        <w:ind w:left="142"/>
        <w:jc w:val="both"/>
      </w:pPr>
      <w:r>
        <w:t>El Reglamento Operativo del Programa (ROP) tiene como objetivo normar y establecer las directrices y procedimientos que regirán la ejecución del “Programa de Modernización de la Administración Financiera (EC-L1249)’, en sujeción a lo dispuesto en el Contrato de Préstamo. El ROP, está diseñado para facilitar la gestión y ejecución integral del Programa al Organismo Ejecutor (OE) y al Organismo Subejecutor (OSE) del Programa.  La aplicación del ROP es obligatoria para el al Ministerio de Economía y Finanzas (MEF) en su calidad de OE, como a la Procuraduría General del Estado (PGE) en su calidad de OSE del Programa.</w:t>
      </w:r>
    </w:p>
    <w:p w14:paraId="171C6EFA" w14:textId="77777777" w:rsidR="007B3093" w:rsidRDefault="007B3093">
      <w:pPr>
        <w:pStyle w:val="Prrafodelista"/>
        <w:spacing w:before="120" w:after="120" w:line="360" w:lineRule="auto"/>
        <w:ind w:left="142" w:firstLine="425"/>
        <w:jc w:val="both"/>
      </w:pPr>
    </w:p>
    <w:p w14:paraId="38DA3726" w14:textId="77777777" w:rsidR="007B3093" w:rsidRDefault="00000000">
      <w:pPr>
        <w:pStyle w:val="Prrafodelista"/>
        <w:spacing w:before="120" w:after="120" w:line="360" w:lineRule="auto"/>
        <w:ind w:left="142"/>
        <w:jc w:val="both"/>
      </w:pPr>
      <w:r>
        <w:lastRenderedPageBreak/>
        <w:t>Las modificaciones y/o actualizaciones al ROP y/o sus anexos serán puestas a consideración del BID, por parte del Equipo de Gestión del MEF (EDG-MEF). Para que las modificaciones entren en vigor, deberán contar con la No Objeción escrita del BID y estar formalizadas por las autoridades o el delegado del OE o el OSE que corresponda. Cuando las modificaciones estén relacionadas exclusivamente con la gestión del OSE del Programa, para la presentación a no Objeción del Banco se requerirá únicamente de la formalización de las autoridades o delegado del OSE y del -MEF.</w:t>
      </w:r>
    </w:p>
    <w:p w14:paraId="26828DD7" w14:textId="77777777" w:rsidR="007B3093" w:rsidRDefault="007B3093">
      <w:pPr>
        <w:pStyle w:val="Prrafodelista"/>
        <w:spacing w:before="120" w:after="120" w:line="360" w:lineRule="auto"/>
        <w:ind w:left="142"/>
        <w:jc w:val="both"/>
      </w:pPr>
    </w:p>
    <w:p w14:paraId="79882D32" w14:textId="77777777" w:rsidR="007B3093" w:rsidRDefault="00000000">
      <w:pPr>
        <w:pStyle w:val="Prrafodelista"/>
        <w:spacing w:before="120" w:after="120" w:line="360" w:lineRule="auto"/>
        <w:ind w:left="142"/>
        <w:jc w:val="both"/>
      </w:pPr>
      <w:r>
        <w:t>La PGE, coordinará con el MEF la entrega de toda la información necesaria para la elaboración de los informes señalados en el Contrato de Préstamo y el ROP Reglamento Operativo del Programa (ROP) del Programa, en los plazos y formatos establecidos en dichos instrumentos.</w:t>
      </w:r>
    </w:p>
    <w:p w14:paraId="783ACAED" w14:textId="77777777" w:rsidR="007B3093" w:rsidRDefault="007B3093">
      <w:pPr>
        <w:pStyle w:val="Prrafodelista"/>
        <w:spacing w:before="120" w:after="120" w:line="360" w:lineRule="auto"/>
        <w:ind w:left="142" w:firstLine="425"/>
        <w:jc w:val="both"/>
      </w:pPr>
    </w:p>
    <w:p w14:paraId="0287D85E" w14:textId="77777777" w:rsidR="007B3093" w:rsidRDefault="00000000">
      <w:pPr>
        <w:pStyle w:val="Prrafodelista"/>
        <w:spacing w:before="120" w:after="120" w:line="360" w:lineRule="auto"/>
        <w:ind w:left="142"/>
        <w:jc w:val="both"/>
      </w:pPr>
      <w:r>
        <w:t xml:space="preserve">El EDG-MEF desarrollará una matriz de comunicación del Programa, apoyado con la EDG-PGE en las actividades del Programa que le correspondan, donde se establecerán las tareas que faciliten el intercambio de información, con la finalidad de establecer cómo se manejarán los canales de comunicación adecuados entre los distintos interesados. </w:t>
      </w:r>
    </w:p>
    <w:p w14:paraId="308441C6" w14:textId="77777777" w:rsidR="007B3093" w:rsidRDefault="007B3093">
      <w:pPr>
        <w:pStyle w:val="Prrafodelista"/>
        <w:spacing w:before="120" w:after="120" w:line="360" w:lineRule="auto"/>
        <w:ind w:left="142" w:firstLine="425"/>
        <w:jc w:val="both"/>
      </w:pPr>
    </w:p>
    <w:p w14:paraId="5CDC288A" w14:textId="77777777" w:rsidR="007B3093" w:rsidRDefault="00000000">
      <w:pPr>
        <w:pStyle w:val="Prrafodelista"/>
        <w:spacing w:before="120" w:after="120" w:line="360" w:lineRule="auto"/>
        <w:ind w:left="142"/>
        <w:jc w:val="both"/>
      </w:pPr>
      <w:r>
        <w:t xml:space="preserve">El EDG-PGE y el EDG-MEF, sostendrán las reuniones de coordinación necesarias para garantizar una buena ejecución del Programa. Los acuerdos alcanzados en dichas reuniones de </w:t>
      </w:r>
      <w:proofErr w:type="gramStart"/>
      <w:r>
        <w:t>coordinación,</w:t>
      </w:r>
      <w:proofErr w:type="gramEnd"/>
      <w:r>
        <w:t xml:space="preserve"> deberán ser documentados en actas que se encontrarán en los archivos de los EDG correspondientes y un extracto de </w:t>
      </w:r>
      <w:proofErr w:type="gramStart"/>
      <w:r>
        <w:t>los mismos</w:t>
      </w:r>
      <w:proofErr w:type="gramEnd"/>
      <w:r>
        <w:t xml:space="preserve"> y sus resultados se reportará en el Informe Semestral del Proyecto ISP.</w:t>
      </w:r>
    </w:p>
    <w:p w14:paraId="050C1E49" w14:textId="77777777" w:rsidR="007B3093" w:rsidRDefault="007B3093">
      <w:pPr>
        <w:pStyle w:val="Prrafodelista"/>
        <w:spacing w:before="120" w:after="120" w:line="360" w:lineRule="auto"/>
        <w:ind w:left="142" w:firstLine="425"/>
        <w:contextualSpacing w:val="0"/>
        <w:jc w:val="both"/>
        <w:rPr>
          <w:rFonts w:cstheme="minorHAnsi"/>
        </w:rPr>
      </w:pPr>
    </w:p>
    <w:p w14:paraId="3CF29C6E" w14:textId="77777777" w:rsidR="007B3093" w:rsidRDefault="00000000">
      <w:pPr>
        <w:pStyle w:val="Prrafodelista"/>
        <w:spacing w:before="120" w:after="120" w:line="360" w:lineRule="auto"/>
        <w:ind w:left="142"/>
        <w:contextualSpacing w:val="0"/>
        <w:jc w:val="both"/>
        <w:rPr>
          <w:rFonts w:cstheme="minorHAnsi"/>
        </w:rPr>
      </w:pPr>
      <w:r>
        <w:rPr>
          <w:rFonts w:cstheme="minorHAnsi"/>
        </w:rPr>
        <w:t>El Equipo de Gestión del Programa de la Procuraduría General del Estado (EDG-PGE) para la implementación del Proyecto de Fortalecimiento Institucional de la PGE, estará dirigido por el Coordinador del Equipo del Proyecto.</w:t>
      </w:r>
    </w:p>
    <w:p w14:paraId="4267ED7F"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La conformación de los miembros del EDG-PGE estará a cargo de la máxima autoridad de la Institución o su delegado para el efecto, dentro de los plazos acordados con el Banco. Los TDR y perfiles utilizados para la selección de los miembros del EDG-PGE deberán contar con la aprobación del Banco. </w:t>
      </w:r>
    </w:p>
    <w:p w14:paraId="280EEA32" w14:textId="77777777" w:rsidR="007B3093" w:rsidRDefault="00000000">
      <w:pPr>
        <w:pStyle w:val="Prrafodelista"/>
        <w:spacing w:before="120" w:after="120" w:line="360" w:lineRule="auto"/>
        <w:ind w:left="142"/>
        <w:contextualSpacing w:val="0"/>
        <w:jc w:val="both"/>
        <w:rPr>
          <w:rFonts w:cstheme="minorHAnsi"/>
        </w:rPr>
      </w:pPr>
      <w:r>
        <w:rPr>
          <w:rFonts w:cstheme="minorHAnsi"/>
        </w:rPr>
        <w:t xml:space="preserve">El cumplimiento de los avances físico y presupuestario será reportado semestralmente al BID, en articulación entre el Equipo de Gestión PROFIP (EDG-PGE) y la Coordinación Nacional de Planificación a través de reportes gerenciales para su seguimiento y control. </w:t>
      </w:r>
    </w:p>
    <w:p w14:paraId="5F3B3776" w14:textId="77777777" w:rsidR="007B3093" w:rsidRDefault="00000000">
      <w:pPr>
        <w:pStyle w:val="Prrafodelista"/>
        <w:spacing w:before="120" w:after="120" w:line="360" w:lineRule="auto"/>
        <w:ind w:left="142"/>
        <w:contextualSpacing w:val="0"/>
        <w:jc w:val="both"/>
        <w:rPr>
          <w:rFonts w:cstheme="minorHAnsi"/>
        </w:rPr>
      </w:pPr>
      <w:r>
        <w:rPr>
          <w:rFonts w:cstheme="minorHAnsi"/>
        </w:rPr>
        <w:lastRenderedPageBreak/>
        <w:t xml:space="preserve">Las Coordinaciones Nacionales de Planificación y Administrativa Financiera y Tecnologías de la Información en coordinación con el Equipo EDG PGE, estarán encargadas del reportar a la Secretaría Nacional de Planificación y al Ministerio de Economía y Finanzas los avances y cumplimiento del Proyecto de Fortalecimiento Institucional de la PGE, además el EDG PGE entregará oportunamente al Equipo de Gestión del Programa del MEF toda la información del Proyecto que este requiera para la consolidación y elaboración de los informes y reportes. </w:t>
      </w:r>
    </w:p>
    <w:p w14:paraId="7DCB85A7" w14:textId="77777777" w:rsidR="007B3093" w:rsidRDefault="007B3093">
      <w:pPr>
        <w:spacing w:after="0" w:line="360" w:lineRule="auto"/>
        <w:sectPr w:rsidR="007B3093">
          <w:pgSz w:w="11906" w:h="16838"/>
          <w:pgMar w:top="1417" w:right="1701" w:bottom="1417" w:left="1701" w:header="708" w:footer="708" w:gutter="0"/>
          <w:cols w:space="708"/>
          <w:docGrid w:linePitch="360"/>
        </w:sectPr>
      </w:pPr>
    </w:p>
    <w:p w14:paraId="03D34511" w14:textId="77777777" w:rsidR="007B3093" w:rsidRDefault="00000000">
      <w:pPr>
        <w:pStyle w:val="Ttulo2"/>
        <w:numPr>
          <w:ilvl w:val="1"/>
          <w:numId w:val="83"/>
        </w:numPr>
        <w:spacing w:before="0" w:line="360" w:lineRule="auto"/>
        <w:ind w:left="567"/>
        <w:rPr>
          <w:rFonts w:asciiTheme="minorHAnsi" w:hAnsiTheme="minorHAnsi" w:cstheme="minorHAnsi"/>
          <w:b/>
          <w:color w:val="auto"/>
          <w:sz w:val="22"/>
          <w:szCs w:val="22"/>
        </w:rPr>
      </w:pPr>
      <w:bookmarkStart w:id="92" w:name="_Toc195010102"/>
      <w:r>
        <w:rPr>
          <w:rFonts w:asciiTheme="minorHAnsi" w:hAnsiTheme="minorHAnsi" w:cstheme="minorHAnsi"/>
          <w:b/>
          <w:color w:val="auto"/>
          <w:sz w:val="22"/>
          <w:szCs w:val="22"/>
        </w:rPr>
        <w:lastRenderedPageBreak/>
        <w:t>Cronograma valorado por componentes y actividades</w:t>
      </w:r>
      <w:bookmarkEnd w:id="92"/>
    </w:p>
    <w:p w14:paraId="5B0D5825" w14:textId="77777777" w:rsidR="007B3093" w:rsidRDefault="00000000">
      <w:pPr>
        <w:pStyle w:val="Prrafodelista"/>
        <w:autoSpaceDE w:val="0"/>
        <w:autoSpaceDN w:val="0"/>
        <w:adjustRightInd w:val="0"/>
        <w:spacing w:after="0" w:line="360" w:lineRule="auto"/>
        <w:ind w:left="360"/>
        <w:jc w:val="center"/>
        <w:rPr>
          <w:rFonts w:cstheme="minorHAnsi"/>
          <w:b/>
          <w:bCs/>
          <w:lang w:eastAsia="es-EC"/>
        </w:rPr>
      </w:pPr>
      <w:r>
        <w:rPr>
          <w:rFonts w:cstheme="minorHAnsi"/>
          <w:b/>
          <w:bCs/>
          <w:lang w:eastAsia="es-EC"/>
        </w:rPr>
        <w:t>Tabla No. 38: Cronograma valorado</w:t>
      </w:r>
    </w:p>
    <w:tbl>
      <w:tblPr>
        <w:tblW w:w="14902" w:type="dxa"/>
        <w:tblInd w:w="-289" w:type="dxa"/>
        <w:tblCellMar>
          <w:left w:w="70" w:type="dxa"/>
          <w:right w:w="70" w:type="dxa"/>
        </w:tblCellMar>
        <w:tblLook w:val="04A0" w:firstRow="1" w:lastRow="0" w:firstColumn="1" w:lastColumn="0" w:noHBand="0" w:noVBand="1"/>
      </w:tblPr>
      <w:tblGrid>
        <w:gridCol w:w="2070"/>
        <w:gridCol w:w="3312"/>
        <w:gridCol w:w="1380"/>
        <w:gridCol w:w="1241"/>
        <w:gridCol w:w="1104"/>
        <w:gridCol w:w="1242"/>
        <w:gridCol w:w="1104"/>
        <w:gridCol w:w="1242"/>
        <w:gridCol w:w="970"/>
        <w:gridCol w:w="1237"/>
      </w:tblGrid>
      <w:tr w:rsidR="007B3093" w14:paraId="4FBDE199" w14:textId="77777777">
        <w:trPr>
          <w:trHeight w:val="285"/>
          <w:tblHeader/>
        </w:trPr>
        <w:tc>
          <w:tcPr>
            <w:tcW w:w="2070" w:type="dxa"/>
            <w:vMerge w:val="restart"/>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29FB5B69"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COMPONENTES</w:t>
            </w:r>
          </w:p>
        </w:tc>
        <w:tc>
          <w:tcPr>
            <w:tcW w:w="3312" w:type="dxa"/>
            <w:vMerge w:val="restart"/>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2AEE8810"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ACTIVIDADES</w:t>
            </w:r>
          </w:p>
        </w:tc>
        <w:tc>
          <w:tcPr>
            <w:tcW w:w="1380" w:type="dxa"/>
            <w:tcBorders>
              <w:top w:val="single" w:sz="4" w:space="0" w:color="auto"/>
              <w:left w:val="nil"/>
              <w:bottom w:val="single" w:sz="4" w:space="0" w:color="auto"/>
              <w:right w:val="single" w:sz="4" w:space="0" w:color="auto"/>
            </w:tcBorders>
            <w:shd w:val="clear" w:color="000000" w:fill="16365C"/>
            <w:noWrap/>
            <w:vAlign w:val="bottom"/>
            <w:hideMark/>
          </w:tcPr>
          <w:p w14:paraId="1BE69B24"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2019</w:t>
            </w:r>
          </w:p>
        </w:tc>
        <w:tc>
          <w:tcPr>
            <w:tcW w:w="1241" w:type="dxa"/>
            <w:tcBorders>
              <w:top w:val="single" w:sz="4" w:space="0" w:color="auto"/>
              <w:left w:val="nil"/>
              <w:bottom w:val="single" w:sz="4" w:space="0" w:color="auto"/>
              <w:right w:val="single" w:sz="4" w:space="0" w:color="auto"/>
            </w:tcBorders>
            <w:shd w:val="clear" w:color="000000" w:fill="16365C"/>
            <w:noWrap/>
            <w:vAlign w:val="bottom"/>
            <w:hideMark/>
          </w:tcPr>
          <w:p w14:paraId="78DA78EF"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2020</w:t>
            </w:r>
          </w:p>
        </w:tc>
        <w:tc>
          <w:tcPr>
            <w:tcW w:w="1104" w:type="dxa"/>
            <w:tcBorders>
              <w:top w:val="single" w:sz="4" w:space="0" w:color="auto"/>
              <w:left w:val="nil"/>
              <w:bottom w:val="single" w:sz="4" w:space="0" w:color="auto"/>
              <w:right w:val="single" w:sz="4" w:space="0" w:color="auto"/>
            </w:tcBorders>
            <w:shd w:val="clear" w:color="000000" w:fill="16365C"/>
            <w:noWrap/>
            <w:vAlign w:val="bottom"/>
            <w:hideMark/>
          </w:tcPr>
          <w:p w14:paraId="705E6640"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2021</w:t>
            </w:r>
          </w:p>
        </w:tc>
        <w:tc>
          <w:tcPr>
            <w:tcW w:w="1242" w:type="dxa"/>
            <w:tcBorders>
              <w:top w:val="single" w:sz="4" w:space="0" w:color="auto"/>
              <w:left w:val="nil"/>
              <w:bottom w:val="single" w:sz="4" w:space="0" w:color="auto"/>
              <w:right w:val="single" w:sz="4" w:space="0" w:color="auto"/>
            </w:tcBorders>
            <w:shd w:val="clear" w:color="000000" w:fill="16365C"/>
            <w:noWrap/>
            <w:vAlign w:val="bottom"/>
            <w:hideMark/>
          </w:tcPr>
          <w:p w14:paraId="7085A826"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2022</w:t>
            </w:r>
          </w:p>
        </w:tc>
        <w:tc>
          <w:tcPr>
            <w:tcW w:w="1104" w:type="dxa"/>
            <w:tcBorders>
              <w:top w:val="single" w:sz="4" w:space="0" w:color="auto"/>
              <w:left w:val="nil"/>
              <w:bottom w:val="single" w:sz="4" w:space="0" w:color="auto"/>
              <w:right w:val="single" w:sz="4" w:space="0" w:color="auto"/>
            </w:tcBorders>
            <w:shd w:val="clear" w:color="000000" w:fill="16365C"/>
            <w:noWrap/>
            <w:vAlign w:val="bottom"/>
            <w:hideMark/>
          </w:tcPr>
          <w:p w14:paraId="5290A03B"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2023</w:t>
            </w:r>
          </w:p>
        </w:tc>
        <w:tc>
          <w:tcPr>
            <w:tcW w:w="1242" w:type="dxa"/>
            <w:tcBorders>
              <w:top w:val="single" w:sz="4" w:space="0" w:color="auto"/>
              <w:left w:val="nil"/>
              <w:bottom w:val="single" w:sz="4" w:space="0" w:color="auto"/>
              <w:right w:val="single" w:sz="4" w:space="0" w:color="auto"/>
            </w:tcBorders>
            <w:shd w:val="clear" w:color="000000" w:fill="16365C"/>
            <w:noWrap/>
            <w:vAlign w:val="bottom"/>
            <w:hideMark/>
          </w:tcPr>
          <w:p w14:paraId="115FDCF7"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2024</w:t>
            </w:r>
          </w:p>
        </w:tc>
        <w:tc>
          <w:tcPr>
            <w:tcW w:w="970" w:type="dxa"/>
            <w:tcBorders>
              <w:top w:val="single" w:sz="4" w:space="0" w:color="auto"/>
              <w:left w:val="nil"/>
              <w:bottom w:val="single" w:sz="4" w:space="0" w:color="auto"/>
              <w:right w:val="single" w:sz="4" w:space="0" w:color="auto"/>
            </w:tcBorders>
            <w:shd w:val="clear" w:color="000000" w:fill="16365C"/>
            <w:noWrap/>
            <w:vAlign w:val="bottom"/>
            <w:hideMark/>
          </w:tcPr>
          <w:p w14:paraId="25ACA7EE"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2025</w:t>
            </w:r>
          </w:p>
        </w:tc>
        <w:tc>
          <w:tcPr>
            <w:tcW w:w="1237" w:type="dxa"/>
            <w:vMerge w:val="restart"/>
            <w:tcBorders>
              <w:top w:val="single" w:sz="4" w:space="0" w:color="auto"/>
              <w:left w:val="nil"/>
              <w:bottom w:val="nil"/>
              <w:right w:val="single" w:sz="4" w:space="0" w:color="auto"/>
            </w:tcBorders>
            <w:shd w:val="clear" w:color="000000" w:fill="16365C"/>
            <w:vAlign w:val="bottom"/>
            <w:hideMark/>
          </w:tcPr>
          <w:p w14:paraId="6BB311C7"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TOTAL PROYECTO</w:t>
            </w:r>
          </w:p>
        </w:tc>
      </w:tr>
      <w:tr w:rsidR="007B3093" w14:paraId="0DF76D0B" w14:textId="77777777">
        <w:trPr>
          <w:trHeight w:val="277"/>
          <w:tblHeader/>
        </w:trPr>
        <w:tc>
          <w:tcPr>
            <w:tcW w:w="2070" w:type="dxa"/>
            <w:vMerge/>
            <w:tcBorders>
              <w:top w:val="single" w:sz="4" w:space="0" w:color="auto"/>
              <w:left w:val="single" w:sz="4" w:space="0" w:color="auto"/>
              <w:bottom w:val="single" w:sz="4" w:space="0" w:color="auto"/>
              <w:right w:val="single" w:sz="4" w:space="0" w:color="auto"/>
            </w:tcBorders>
            <w:vAlign w:val="center"/>
            <w:hideMark/>
          </w:tcPr>
          <w:p w14:paraId="42849069" w14:textId="77777777" w:rsidR="007B3093" w:rsidRDefault="007B3093">
            <w:pPr>
              <w:spacing w:after="0" w:line="240" w:lineRule="auto"/>
              <w:rPr>
                <w:rFonts w:ascii="Calibri" w:eastAsia="Times New Roman" w:hAnsi="Calibri" w:cs="Calibri"/>
                <w:b/>
                <w:bCs/>
                <w:color w:val="FFFFFF"/>
                <w:sz w:val="14"/>
                <w:szCs w:val="14"/>
                <w:lang w:eastAsia="es-EC"/>
              </w:rPr>
            </w:pPr>
          </w:p>
        </w:tc>
        <w:tc>
          <w:tcPr>
            <w:tcW w:w="3312" w:type="dxa"/>
            <w:vMerge/>
            <w:tcBorders>
              <w:top w:val="single" w:sz="4" w:space="0" w:color="auto"/>
              <w:left w:val="single" w:sz="4" w:space="0" w:color="auto"/>
              <w:bottom w:val="single" w:sz="4" w:space="0" w:color="auto"/>
              <w:right w:val="single" w:sz="4" w:space="0" w:color="auto"/>
            </w:tcBorders>
            <w:vAlign w:val="center"/>
            <w:hideMark/>
          </w:tcPr>
          <w:p w14:paraId="72A4E036" w14:textId="77777777" w:rsidR="007B3093" w:rsidRDefault="007B3093">
            <w:pPr>
              <w:spacing w:after="0" w:line="240" w:lineRule="auto"/>
              <w:rPr>
                <w:rFonts w:ascii="Calibri" w:eastAsia="Times New Roman" w:hAnsi="Calibri" w:cs="Calibri"/>
                <w:b/>
                <w:bCs/>
                <w:color w:val="FFFFFF"/>
                <w:sz w:val="14"/>
                <w:szCs w:val="14"/>
                <w:lang w:eastAsia="es-EC"/>
              </w:rPr>
            </w:pPr>
          </w:p>
        </w:tc>
        <w:tc>
          <w:tcPr>
            <w:tcW w:w="1380" w:type="dxa"/>
            <w:tcBorders>
              <w:top w:val="nil"/>
              <w:left w:val="nil"/>
              <w:bottom w:val="single" w:sz="4" w:space="0" w:color="auto"/>
              <w:right w:val="single" w:sz="4" w:space="0" w:color="auto"/>
            </w:tcBorders>
            <w:shd w:val="clear" w:color="000000" w:fill="16365C"/>
            <w:vAlign w:val="center"/>
            <w:hideMark/>
          </w:tcPr>
          <w:p w14:paraId="3A3A702D"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FUENTE FISCAL</w:t>
            </w:r>
          </w:p>
        </w:tc>
        <w:tc>
          <w:tcPr>
            <w:tcW w:w="1241" w:type="dxa"/>
            <w:tcBorders>
              <w:top w:val="nil"/>
              <w:left w:val="nil"/>
              <w:bottom w:val="single" w:sz="4" w:space="0" w:color="auto"/>
              <w:right w:val="single" w:sz="4" w:space="0" w:color="auto"/>
            </w:tcBorders>
            <w:shd w:val="clear" w:color="000000" w:fill="16365C"/>
            <w:vAlign w:val="center"/>
            <w:hideMark/>
          </w:tcPr>
          <w:p w14:paraId="6EEE5239"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FUENTE BID</w:t>
            </w:r>
          </w:p>
        </w:tc>
        <w:tc>
          <w:tcPr>
            <w:tcW w:w="1104" w:type="dxa"/>
            <w:tcBorders>
              <w:top w:val="nil"/>
              <w:left w:val="nil"/>
              <w:bottom w:val="single" w:sz="4" w:space="0" w:color="auto"/>
              <w:right w:val="single" w:sz="4" w:space="0" w:color="auto"/>
            </w:tcBorders>
            <w:shd w:val="clear" w:color="000000" w:fill="16365C"/>
            <w:vAlign w:val="center"/>
            <w:hideMark/>
          </w:tcPr>
          <w:p w14:paraId="47D559C8"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FUENTE BID</w:t>
            </w:r>
          </w:p>
        </w:tc>
        <w:tc>
          <w:tcPr>
            <w:tcW w:w="1242" w:type="dxa"/>
            <w:tcBorders>
              <w:top w:val="nil"/>
              <w:left w:val="nil"/>
              <w:bottom w:val="single" w:sz="4" w:space="0" w:color="auto"/>
              <w:right w:val="single" w:sz="4" w:space="0" w:color="auto"/>
            </w:tcBorders>
            <w:shd w:val="clear" w:color="000000" w:fill="16365C"/>
            <w:vAlign w:val="center"/>
            <w:hideMark/>
          </w:tcPr>
          <w:p w14:paraId="5EE217E9"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FUENTE BID</w:t>
            </w:r>
          </w:p>
        </w:tc>
        <w:tc>
          <w:tcPr>
            <w:tcW w:w="1104" w:type="dxa"/>
            <w:tcBorders>
              <w:top w:val="nil"/>
              <w:left w:val="nil"/>
              <w:bottom w:val="single" w:sz="4" w:space="0" w:color="auto"/>
              <w:right w:val="single" w:sz="4" w:space="0" w:color="auto"/>
            </w:tcBorders>
            <w:shd w:val="clear" w:color="000000" w:fill="16365C"/>
            <w:vAlign w:val="center"/>
            <w:hideMark/>
          </w:tcPr>
          <w:p w14:paraId="22BC1FB6"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FUENTE BID</w:t>
            </w:r>
          </w:p>
        </w:tc>
        <w:tc>
          <w:tcPr>
            <w:tcW w:w="1242" w:type="dxa"/>
            <w:tcBorders>
              <w:top w:val="nil"/>
              <w:left w:val="nil"/>
              <w:bottom w:val="single" w:sz="4" w:space="0" w:color="auto"/>
              <w:right w:val="single" w:sz="4" w:space="0" w:color="auto"/>
            </w:tcBorders>
            <w:shd w:val="clear" w:color="000000" w:fill="16365C"/>
            <w:vAlign w:val="center"/>
            <w:hideMark/>
          </w:tcPr>
          <w:p w14:paraId="26194955"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FUENTE BID</w:t>
            </w:r>
          </w:p>
        </w:tc>
        <w:tc>
          <w:tcPr>
            <w:tcW w:w="970" w:type="dxa"/>
            <w:tcBorders>
              <w:top w:val="nil"/>
              <w:left w:val="nil"/>
              <w:bottom w:val="single" w:sz="4" w:space="0" w:color="auto"/>
              <w:right w:val="single" w:sz="4" w:space="0" w:color="auto"/>
            </w:tcBorders>
            <w:shd w:val="clear" w:color="000000" w:fill="16365C"/>
            <w:vAlign w:val="center"/>
            <w:hideMark/>
          </w:tcPr>
          <w:p w14:paraId="331F0EE8" w14:textId="77777777" w:rsidR="007B3093" w:rsidRDefault="00000000">
            <w:pPr>
              <w:spacing w:after="0" w:line="240" w:lineRule="auto"/>
              <w:jc w:val="center"/>
              <w:rPr>
                <w:rFonts w:ascii="Calibri" w:eastAsia="Times New Roman" w:hAnsi="Calibri" w:cs="Calibri"/>
                <w:b/>
                <w:bCs/>
                <w:color w:val="FFFFFF"/>
                <w:sz w:val="14"/>
                <w:szCs w:val="14"/>
                <w:lang w:eastAsia="es-EC"/>
              </w:rPr>
            </w:pPr>
            <w:r>
              <w:rPr>
                <w:rFonts w:ascii="Calibri" w:eastAsia="Times New Roman" w:hAnsi="Calibri" w:cs="Calibri"/>
                <w:b/>
                <w:bCs/>
                <w:color w:val="FFFFFF"/>
                <w:sz w:val="14"/>
                <w:szCs w:val="14"/>
                <w:lang w:eastAsia="es-EC"/>
              </w:rPr>
              <w:t>FUENTE BID</w:t>
            </w:r>
          </w:p>
        </w:tc>
        <w:tc>
          <w:tcPr>
            <w:tcW w:w="1237" w:type="dxa"/>
            <w:vMerge/>
            <w:tcBorders>
              <w:top w:val="single" w:sz="4" w:space="0" w:color="auto"/>
              <w:left w:val="nil"/>
              <w:bottom w:val="nil"/>
              <w:right w:val="single" w:sz="4" w:space="0" w:color="auto"/>
            </w:tcBorders>
            <w:vAlign w:val="center"/>
            <w:hideMark/>
          </w:tcPr>
          <w:p w14:paraId="498BA9A1" w14:textId="77777777" w:rsidR="007B3093" w:rsidRDefault="007B3093">
            <w:pPr>
              <w:spacing w:after="0" w:line="240" w:lineRule="auto"/>
              <w:rPr>
                <w:rFonts w:ascii="Calibri" w:eastAsia="Times New Roman" w:hAnsi="Calibri" w:cs="Calibri"/>
                <w:b/>
                <w:bCs/>
                <w:color w:val="FFFFFF"/>
                <w:sz w:val="14"/>
                <w:szCs w:val="14"/>
                <w:lang w:eastAsia="es-EC"/>
              </w:rPr>
            </w:pPr>
          </w:p>
        </w:tc>
      </w:tr>
      <w:tr w:rsidR="007B3093" w14:paraId="1070C7C2" w14:textId="77777777">
        <w:trPr>
          <w:trHeight w:val="51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681EF385"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3312" w:type="dxa"/>
            <w:tcBorders>
              <w:top w:val="nil"/>
              <w:left w:val="nil"/>
              <w:bottom w:val="single" w:sz="4" w:space="0" w:color="auto"/>
              <w:right w:val="single" w:sz="4" w:space="0" w:color="auto"/>
            </w:tcBorders>
            <w:shd w:val="clear" w:color="auto" w:fill="auto"/>
            <w:vAlign w:val="center"/>
            <w:hideMark/>
          </w:tcPr>
          <w:p w14:paraId="06711BD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1.1. -  Realizar un diagnóstico situacional en profundidad, propuesta de modelo de gestión e instrumentos para su redefinición.</w:t>
            </w:r>
          </w:p>
        </w:tc>
        <w:tc>
          <w:tcPr>
            <w:tcW w:w="1380" w:type="dxa"/>
            <w:tcBorders>
              <w:top w:val="nil"/>
              <w:left w:val="nil"/>
              <w:bottom w:val="single" w:sz="4" w:space="0" w:color="auto"/>
              <w:right w:val="single" w:sz="4" w:space="0" w:color="auto"/>
            </w:tcBorders>
            <w:shd w:val="clear" w:color="auto" w:fill="auto"/>
            <w:noWrap/>
            <w:vAlign w:val="center"/>
            <w:hideMark/>
          </w:tcPr>
          <w:p w14:paraId="3C450D5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401DE2C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83.965,52 </w:t>
            </w:r>
          </w:p>
        </w:tc>
        <w:tc>
          <w:tcPr>
            <w:tcW w:w="1104" w:type="dxa"/>
            <w:tcBorders>
              <w:top w:val="nil"/>
              <w:left w:val="nil"/>
              <w:bottom w:val="single" w:sz="4" w:space="0" w:color="auto"/>
              <w:right w:val="single" w:sz="4" w:space="0" w:color="auto"/>
            </w:tcBorders>
            <w:shd w:val="clear" w:color="auto" w:fill="auto"/>
            <w:noWrap/>
            <w:vAlign w:val="center"/>
            <w:hideMark/>
          </w:tcPr>
          <w:p w14:paraId="5592B9A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207.829,32 </w:t>
            </w:r>
          </w:p>
        </w:tc>
        <w:tc>
          <w:tcPr>
            <w:tcW w:w="1242" w:type="dxa"/>
            <w:tcBorders>
              <w:top w:val="nil"/>
              <w:left w:val="nil"/>
              <w:bottom w:val="single" w:sz="4" w:space="0" w:color="auto"/>
              <w:right w:val="single" w:sz="4" w:space="0" w:color="auto"/>
            </w:tcBorders>
            <w:shd w:val="clear" w:color="auto" w:fill="auto"/>
            <w:noWrap/>
            <w:vAlign w:val="center"/>
            <w:hideMark/>
          </w:tcPr>
          <w:p w14:paraId="78E8F3B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487.409,56 </w:t>
            </w:r>
          </w:p>
        </w:tc>
        <w:tc>
          <w:tcPr>
            <w:tcW w:w="1104" w:type="dxa"/>
            <w:tcBorders>
              <w:top w:val="nil"/>
              <w:left w:val="nil"/>
              <w:bottom w:val="single" w:sz="4" w:space="0" w:color="auto"/>
              <w:right w:val="single" w:sz="4" w:space="0" w:color="auto"/>
            </w:tcBorders>
            <w:shd w:val="clear" w:color="auto" w:fill="auto"/>
            <w:noWrap/>
            <w:vAlign w:val="center"/>
            <w:hideMark/>
          </w:tcPr>
          <w:p w14:paraId="1BDA883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29A8DD55"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4E3FCB9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10.563,99 </w:t>
            </w:r>
          </w:p>
        </w:tc>
        <w:tc>
          <w:tcPr>
            <w:tcW w:w="1237" w:type="dxa"/>
            <w:tcBorders>
              <w:top w:val="nil"/>
              <w:left w:val="nil"/>
              <w:bottom w:val="single" w:sz="4" w:space="0" w:color="auto"/>
              <w:right w:val="single" w:sz="4" w:space="0" w:color="auto"/>
            </w:tcBorders>
            <w:shd w:val="clear" w:color="000000" w:fill="FFFFFF"/>
            <w:noWrap/>
            <w:vAlign w:val="center"/>
            <w:hideMark/>
          </w:tcPr>
          <w:p w14:paraId="00712A4F"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789.768,39 </w:t>
            </w:r>
          </w:p>
        </w:tc>
      </w:tr>
      <w:tr w:rsidR="007B3093" w14:paraId="6CDC55F9" w14:textId="77777777">
        <w:trPr>
          <w:trHeight w:val="546"/>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51AC13A6"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3312" w:type="dxa"/>
            <w:tcBorders>
              <w:top w:val="nil"/>
              <w:left w:val="nil"/>
              <w:bottom w:val="single" w:sz="4" w:space="0" w:color="auto"/>
              <w:right w:val="single" w:sz="4" w:space="0" w:color="auto"/>
            </w:tcBorders>
            <w:shd w:val="clear" w:color="auto" w:fill="auto"/>
            <w:vAlign w:val="center"/>
            <w:hideMark/>
          </w:tcPr>
          <w:p w14:paraId="517AB928"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1.2. - Implementar el Plan de gestión del cambio.</w:t>
            </w:r>
          </w:p>
        </w:tc>
        <w:tc>
          <w:tcPr>
            <w:tcW w:w="1380" w:type="dxa"/>
            <w:tcBorders>
              <w:top w:val="nil"/>
              <w:left w:val="nil"/>
              <w:bottom w:val="single" w:sz="4" w:space="0" w:color="auto"/>
              <w:right w:val="single" w:sz="4" w:space="0" w:color="auto"/>
            </w:tcBorders>
            <w:shd w:val="clear" w:color="auto" w:fill="auto"/>
            <w:noWrap/>
            <w:vAlign w:val="center"/>
            <w:hideMark/>
          </w:tcPr>
          <w:p w14:paraId="6C1E20A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5AD685F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23.270,24 </w:t>
            </w:r>
          </w:p>
        </w:tc>
        <w:tc>
          <w:tcPr>
            <w:tcW w:w="1104" w:type="dxa"/>
            <w:tcBorders>
              <w:top w:val="nil"/>
              <w:left w:val="nil"/>
              <w:bottom w:val="single" w:sz="4" w:space="0" w:color="auto"/>
              <w:right w:val="single" w:sz="4" w:space="0" w:color="auto"/>
            </w:tcBorders>
            <w:shd w:val="clear" w:color="auto" w:fill="auto"/>
            <w:noWrap/>
            <w:vAlign w:val="center"/>
            <w:hideMark/>
          </w:tcPr>
          <w:p w14:paraId="72DD7D7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21.840,00 </w:t>
            </w:r>
          </w:p>
        </w:tc>
        <w:tc>
          <w:tcPr>
            <w:tcW w:w="1242" w:type="dxa"/>
            <w:tcBorders>
              <w:top w:val="nil"/>
              <w:left w:val="nil"/>
              <w:bottom w:val="single" w:sz="4" w:space="0" w:color="auto"/>
              <w:right w:val="single" w:sz="4" w:space="0" w:color="auto"/>
            </w:tcBorders>
            <w:shd w:val="clear" w:color="auto" w:fill="auto"/>
            <w:noWrap/>
            <w:vAlign w:val="center"/>
            <w:hideMark/>
          </w:tcPr>
          <w:p w14:paraId="36221A7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29.960,00 </w:t>
            </w:r>
          </w:p>
        </w:tc>
        <w:tc>
          <w:tcPr>
            <w:tcW w:w="1104" w:type="dxa"/>
            <w:tcBorders>
              <w:top w:val="nil"/>
              <w:left w:val="nil"/>
              <w:bottom w:val="single" w:sz="4" w:space="0" w:color="auto"/>
              <w:right w:val="single" w:sz="4" w:space="0" w:color="auto"/>
            </w:tcBorders>
            <w:shd w:val="clear" w:color="auto" w:fill="auto"/>
            <w:noWrap/>
            <w:vAlign w:val="center"/>
            <w:hideMark/>
          </w:tcPr>
          <w:p w14:paraId="555D1221"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6E8D54D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3EFD195E"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45.000,00 </w:t>
            </w:r>
          </w:p>
        </w:tc>
        <w:tc>
          <w:tcPr>
            <w:tcW w:w="1237" w:type="dxa"/>
            <w:tcBorders>
              <w:top w:val="nil"/>
              <w:left w:val="nil"/>
              <w:bottom w:val="single" w:sz="4" w:space="0" w:color="auto"/>
              <w:right w:val="single" w:sz="4" w:space="0" w:color="auto"/>
            </w:tcBorders>
            <w:shd w:val="clear" w:color="000000" w:fill="FFFFFF"/>
            <w:noWrap/>
            <w:vAlign w:val="center"/>
            <w:hideMark/>
          </w:tcPr>
          <w:p w14:paraId="0EC313D4"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120.070,24 </w:t>
            </w:r>
          </w:p>
        </w:tc>
      </w:tr>
      <w:tr w:rsidR="007B3093" w14:paraId="31FF94BD" w14:textId="77777777">
        <w:trPr>
          <w:trHeight w:val="414"/>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5BDB26D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3312" w:type="dxa"/>
            <w:tcBorders>
              <w:top w:val="nil"/>
              <w:left w:val="nil"/>
              <w:bottom w:val="single" w:sz="4" w:space="0" w:color="auto"/>
              <w:right w:val="single" w:sz="4" w:space="0" w:color="auto"/>
            </w:tcBorders>
            <w:shd w:val="clear" w:color="auto" w:fill="auto"/>
            <w:vAlign w:val="center"/>
            <w:hideMark/>
          </w:tcPr>
          <w:p w14:paraId="016F04C5"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1.3. - Implementar un Sistema Informático Integrado</w:t>
            </w:r>
          </w:p>
        </w:tc>
        <w:tc>
          <w:tcPr>
            <w:tcW w:w="1380" w:type="dxa"/>
            <w:tcBorders>
              <w:top w:val="nil"/>
              <w:left w:val="nil"/>
              <w:bottom w:val="single" w:sz="4" w:space="0" w:color="auto"/>
              <w:right w:val="single" w:sz="4" w:space="0" w:color="auto"/>
            </w:tcBorders>
            <w:shd w:val="clear" w:color="auto" w:fill="auto"/>
            <w:noWrap/>
            <w:vAlign w:val="center"/>
            <w:hideMark/>
          </w:tcPr>
          <w:p w14:paraId="1B169F2F"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4DE5889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79B60F3C"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58737B6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61526CD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111.568,80 </w:t>
            </w:r>
          </w:p>
        </w:tc>
        <w:tc>
          <w:tcPr>
            <w:tcW w:w="1242" w:type="dxa"/>
            <w:tcBorders>
              <w:top w:val="nil"/>
              <w:left w:val="nil"/>
              <w:bottom w:val="single" w:sz="4" w:space="0" w:color="auto"/>
              <w:right w:val="single" w:sz="4" w:space="0" w:color="auto"/>
            </w:tcBorders>
            <w:shd w:val="clear" w:color="auto" w:fill="auto"/>
            <w:noWrap/>
            <w:vAlign w:val="center"/>
            <w:hideMark/>
          </w:tcPr>
          <w:p w14:paraId="3226846B"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229.114,50 </w:t>
            </w:r>
          </w:p>
        </w:tc>
        <w:tc>
          <w:tcPr>
            <w:tcW w:w="970" w:type="dxa"/>
            <w:tcBorders>
              <w:top w:val="nil"/>
              <w:left w:val="nil"/>
              <w:bottom w:val="single" w:sz="4" w:space="0" w:color="auto"/>
              <w:right w:val="single" w:sz="4" w:space="0" w:color="auto"/>
            </w:tcBorders>
            <w:shd w:val="clear" w:color="auto" w:fill="auto"/>
            <w:noWrap/>
            <w:vAlign w:val="center"/>
            <w:hideMark/>
          </w:tcPr>
          <w:p w14:paraId="0AB2D092" w14:textId="2C3A5D16"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1.9</w:t>
            </w:r>
            <w:r w:rsidR="00D60D2E">
              <w:rPr>
                <w:rFonts w:ascii="Calibri" w:eastAsia="Times New Roman" w:hAnsi="Calibri" w:cs="Calibri"/>
                <w:color w:val="000000"/>
                <w:sz w:val="14"/>
                <w:szCs w:val="14"/>
                <w:lang w:eastAsia="es-EC"/>
              </w:rPr>
              <w:t>95.011,21</w:t>
            </w:r>
            <w:r>
              <w:rPr>
                <w:rFonts w:ascii="Calibri" w:eastAsia="Times New Roman" w:hAnsi="Calibri" w:cs="Calibri"/>
                <w:color w:val="000000"/>
                <w:sz w:val="14"/>
                <w:szCs w:val="14"/>
                <w:lang w:eastAsia="es-EC"/>
              </w:rPr>
              <w:t xml:space="preserve"> </w:t>
            </w:r>
          </w:p>
        </w:tc>
        <w:tc>
          <w:tcPr>
            <w:tcW w:w="1237" w:type="dxa"/>
            <w:tcBorders>
              <w:top w:val="nil"/>
              <w:left w:val="nil"/>
              <w:bottom w:val="single" w:sz="4" w:space="0" w:color="auto"/>
              <w:right w:val="single" w:sz="4" w:space="0" w:color="auto"/>
            </w:tcBorders>
            <w:shd w:val="clear" w:color="000000" w:fill="FFFFFF"/>
            <w:noWrap/>
            <w:vAlign w:val="center"/>
            <w:hideMark/>
          </w:tcPr>
          <w:p w14:paraId="08F82066" w14:textId="0C2C5520"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w:t>
            </w:r>
            <w:r w:rsidR="00D60D2E">
              <w:rPr>
                <w:rFonts w:ascii="Calibri" w:eastAsia="Times New Roman" w:hAnsi="Calibri" w:cs="Calibri"/>
                <w:color w:val="000000"/>
                <w:sz w:val="14"/>
                <w:szCs w:val="14"/>
                <w:lang w:eastAsia="es-EC"/>
              </w:rPr>
              <w:t>335.694,51</w:t>
            </w:r>
            <w:r>
              <w:rPr>
                <w:rFonts w:ascii="Calibri" w:eastAsia="Times New Roman" w:hAnsi="Calibri" w:cs="Calibri"/>
                <w:color w:val="000000"/>
                <w:sz w:val="14"/>
                <w:szCs w:val="14"/>
                <w:lang w:eastAsia="es-EC"/>
              </w:rPr>
              <w:t xml:space="preserve"> </w:t>
            </w:r>
          </w:p>
        </w:tc>
      </w:tr>
      <w:tr w:rsidR="007B3093" w14:paraId="207B2D8C" w14:textId="77777777">
        <w:trPr>
          <w:trHeight w:val="357"/>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148D000A"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3312" w:type="dxa"/>
            <w:tcBorders>
              <w:top w:val="nil"/>
              <w:left w:val="nil"/>
              <w:bottom w:val="single" w:sz="4" w:space="0" w:color="auto"/>
              <w:right w:val="single" w:sz="4" w:space="0" w:color="auto"/>
            </w:tcBorders>
            <w:shd w:val="clear" w:color="auto" w:fill="auto"/>
            <w:vAlign w:val="center"/>
            <w:hideMark/>
          </w:tcPr>
          <w:p w14:paraId="00473609"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1.4. - Fortalecer el Hardware para soportar el nuevo sistema integrado</w:t>
            </w:r>
          </w:p>
        </w:tc>
        <w:tc>
          <w:tcPr>
            <w:tcW w:w="1380" w:type="dxa"/>
            <w:tcBorders>
              <w:top w:val="nil"/>
              <w:left w:val="nil"/>
              <w:bottom w:val="single" w:sz="4" w:space="0" w:color="auto"/>
              <w:right w:val="single" w:sz="4" w:space="0" w:color="auto"/>
            </w:tcBorders>
            <w:shd w:val="clear" w:color="auto" w:fill="auto"/>
            <w:noWrap/>
            <w:vAlign w:val="center"/>
            <w:hideMark/>
          </w:tcPr>
          <w:p w14:paraId="46F0A5C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19157B9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6833617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17.360,00 </w:t>
            </w:r>
          </w:p>
        </w:tc>
        <w:tc>
          <w:tcPr>
            <w:tcW w:w="1242" w:type="dxa"/>
            <w:tcBorders>
              <w:top w:val="nil"/>
              <w:left w:val="nil"/>
              <w:bottom w:val="single" w:sz="4" w:space="0" w:color="auto"/>
              <w:right w:val="single" w:sz="4" w:space="0" w:color="auto"/>
            </w:tcBorders>
            <w:shd w:val="clear" w:color="auto" w:fill="auto"/>
            <w:noWrap/>
            <w:vAlign w:val="center"/>
            <w:hideMark/>
          </w:tcPr>
          <w:p w14:paraId="162E031F"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7E3A724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233F32F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4A91E18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37" w:type="dxa"/>
            <w:tcBorders>
              <w:top w:val="nil"/>
              <w:left w:val="nil"/>
              <w:bottom w:val="single" w:sz="4" w:space="0" w:color="auto"/>
              <w:right w:val="single" w:sz="4" w:space="0" w:color="auto"/>
            </w:tcBorders>
            <w:shd w:val="clear" w:color="000000" w:fill="FFFFFF"/>
            <w:noWrap/>
            <w:vAlign w:val="center"/>
            <w:hideMark/>
          </w:tcPr>
          <w:p w14:paraId="5986B92F"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17.360,00 </w:t>
            </w:r>
          </w:p>
        </w:tc>
      </w:tr>
      <w:tr w:rsidR="007B3093" w14:paraId="0ACA3AAA" w14:textId="77777777">
        <w:trPr>
          <w:trHeight w:val="534"/>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308F15CC"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3312" w:type="dxa"/>
            <w:tcBorders>
              <w:top w:val="nil"/>
              <w:left w:val="nil"/>
              <w:bottom w:val="single" w:sz="4" w:space="0" w:color="auto"/>
              <w:right w:val="single" w:sz="4" w:space="0" w:color="auto"/>
            </w:tcBorders>
            <w:shd w:val="clear" w:color="auto" w:fill="auto"/>
            <w:vAlign w:val="center"/>
            <w:hideMark/>
          </w:tcPr>
          <w:p w14:paraId="7C4406F3"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1.4. - Fortalecer el Hardware para soportar el nuevo sistema integrado</w:t>
            </w:r>
          </w:p>
        </w:tc>
        <w:tc>
          <w:tcPr>
            <w:tcW w:w="1380" w:type="dxa"/>
            <w:tcBorders>
              <w:top w:val="nil"/>
              <w:left w:val="nil"/>
              <w:bottom w:val="single" w:sz="4" w:space="0" w:color="auto"/>
              <w:right w:val="single" w:sz="4" w:space="0" w:color="auto"/>
            </w:tcBorders>
            <w:shd w:val="clear" w:color="auto" w:fill="auto"/>
            <w:noWrap/>
            <w:vAlign w:val="center"/>
            <w:hideMark/>
          </w:tcPr>
          <w:p w14:paraId="58CBA24B"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171E0791"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761503D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177.368,80 </w:t>
            </w:r>
          </w:p>
        </w:tc>
        <w:tc>
          <w:tcPr>
            <w:tcW w:w="1242" w:type="dxa"/>
            <w:tcBorders>
              <w:top w:val="nil"/>
              <w:left w:val="nil"/>
              <w:bottom w:val="single" w:sz="4" w:space="0" w:color="auto"/>
              <w:right w:val="single" w:sz="4" w:space="0" w:color="auto"/>
            </w:tcBorders>
            <w:shd w:val="clear" w:color="auto" w:fill="auto"/>
            <w:noWrap/>
            <w:vAlign w:val="center"/>
            <w:hideMark/>
          </w:tcPr>
          <w:p w14:paraId="1F422C5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48AC1DEF"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237.012,16 </w:t>
            </w:r>
          </w:p>
        </w:tc>
        <w:tc>
          <w:tcPr>
            <w:tcW w:w="1242" w:type="dxa"/>
            <w:tcBorders>
              <w:top w:val="nil"/>
              <w:left w:val="nil"/>
              <w:bottom w:val="single" w:sz="4" w:space="0" w:color="auto"/>
              <w:right w:val="single" w:sz="4" w:space="0" w:color="auto"/>
            </w:tcBorders>
            <w:shd w:val="clear" w:color="auto" w:fill="auto"/>
            <w:noWrap/>
            <w:vAlign w:val="center"/>
            <w:hideMark/>
          </w:tcPr>
          <w:p w14:paraId="0E053E3B"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7A312031"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218.575,92 </w:t>
            </w:r>
          </w:p>
        </w:tc>
        <w:tc>
          <w:tcPr>
            <w:tcW w:w="1237" w:type="dxa"/>
            <w:tcBorders>
              <w:top w:val="nil"/>
              <w:left w:val="nil"/>
              <w:bottom w:val="single" w:sz="4" w:space="0" w:color="auto"/>
              <w:right w:val="single" w:sz="4" w:space="0" w:color="auto"/>
            </w:tcBorders>
            <w:shd w:val="clear" w:color="000000" w:fill="FFFFFF"/>
            <w:noWrap/>
            <w:vAlign w:val="center"/>
            <w:hideMark/>
          </w:tcPr>
          <w:p w14:paraId="49ACF1EF"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632.956,88 </w:t>
            </w:r>
          </w:p>
        </w:tc>
      </w:tr>
      <w:tr w:rsidR="007B3093" w14:paraId="4E74FB80" w14:textId="77777777">
        <w:trPr>
          <w:trHeight w:val="415"/>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0B394143"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3312" w:type="dxa"/>
            <w:tcBorders>
              <w:top w:val="nil"/>
              <w:left w:val="nil"/>
              <w:bottom w:val="single" w:sz="4" w:space="0" w:color="auto"/>
              <w:right w:val="single" w:sz="4" w:space="0" w:color="auto"/>
            </w:tcBorders>
            <w:shd w:val="clear" w:color="auto" w:fill="auto"/>
            <w:vAlign w:val="center"/>
            <w:hideMark/>
          </w:tcPr>
          <w:p w14:paraId="2E894EFA"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1.5. - Administración del Proyecto</w:t>
            </w:r>
          </w:p>
        </w:tc>
        <w:tc>
          <w:tcPr>
            <w:tcW w:w="1380" w:type="dxa"/>
            <w:tcBorders>
              <w:top w:val="nil"/>
              <w:left w:val="nil"/>
              <w:bottom w:val="single" w:sz="4" w:space="0" w:color="auto"/>
              <w:right w:val="single" w:sz="4" w:space="0" w:color="auto"/>
            </w:tcBorders>
            <w:shd w:val="clear" w:color="auto" w:fill="auto"/>
            <w:noWrap/>
            <w:vAlign w:val="center"/>
            <w:hideMark/>
          </w:tcPr>
          <w:p w14:paraId="64A7AA07"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14.774,58 </w:t>
            </w:r>
          </w:p>
        </w:tc>
        <w:tc>
          <w:tcPr>
            <w:tcW w:w="1241" w:type="dxa"/>
            <w:tcBorders>
              <w:top w:val="nil"/>
              <w:left w:val="nil"/>
              <w:bottom w:val="single" w:sz="4" w:space="0" w:color="auto"/>
              <w:right w:val="single" w:sz="4" w:space="0" w:color="auto"/>
            </w:tcBorders>
            <w:shd w:val="clear" w:color="auto" w:fill="auto"/>
            <w:noWrap/>
            <w:vAlign w:val="center"/>
            <w:hideMark/>
          </w:tcPr>
          <w:p w14:paraId="0F32CD4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768,61 </w:t>
            </w:r>
          </w:p>
        </w:tc>
        <w:tc>
          <w:tcPr>
            <w:tcW w:w="1104" w:type="dxa"/>
            <w:tcBorders>
              <w:top w:val="nil"/>
              <w:left w:val="nil"/>
              <w:bottom w:val="single" w:sz="4" w:space="0" w:color="auto"/>
              <w:right w:val="single" w:sz="4" w:space="0" w:color="auto"/>
            </w:tcBorders>
            <w:shd w:val="clear" w:color="auto" w:fill="auto"/>
            <w:noWrap/>
            <w:vAlign w:val="center"/>
            <w:hideMark/>
          </w:tcPr>
          <w:p w14:paraId="2AF8C9A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255C9E07"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6D27394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14CD1E41"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1C0E65C7"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37" w:type="dxa"/>
            <w:tcBorders>
              <w:top w:val="nil"/>
              <w:left w:val="nil"/>
              <w:bottom w:val="single" w:sz="4" w:space="0" w:color="auto"/>
              <w:right w:val="single" w:sz="4" w:space="0" w:color="auto"/>
            </w:tcBorders>
            <w:shd w:val="clear" w:color="auto" w:fill="auto"/>
            <w:noWrap/>
            <w:vAlign w:val="center"/>
            <w:hideMark/>
          </w:tcPr>
          <w:p w14:paraId="6F6345A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15.543,19 </w:t>
            </w:r>
          </w:p>
        </w:tc>
      </w:tr>
      <w:tr w:rsidR="007B3093" w14:paraId="25432B31" w14:textId="77777777">
        <w:trPr>
          <w:trHeight w:val="323"/>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78E14EDD"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1. - Diseñar e implementar el modelo de gestión de la PGE.</w:t>
            </w:r>
          </w:p>
        </w:tc>
        <w:tc>
          <w:tcPr>
            <w:tcW w:w="3312" w:type="dxa"/>
            <w:tcBorders>
              <w:top w:val="nil"/>
              <w:left w:val="nil"/>
              <w:bottom w:val="single" w:sz="4" w:space="0" w:color="auto"/>
              <w:right w:val="single" w:sz="4" w:space="0" w:color="auto"/>
            </w:tcBorders>
            <w:shd w:val="clear" w:color="auto" w:fill="auto"/>
            <w:vAlign w:val="center"/>
            <w:hideMark/>
          </w:tcPr>
          <w:p w14:paraId="769B6DAA"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1.5. - Administración del Proyecto</w:t>
            </w:r>
          </w:p>
        </w:tc>
        <w:tc>
          <w:tcPr>
            <w:tcW w:w="1380" w:type="dxa"/>
            <w:tcBorders>
              <w:top w:val="nil"/>
              <w:left w:val="nil"/>
              <w:bottom w:val="single" w:sz="4" w:space="0" w:color="auto"/>
              <w:right w:val="single" w:sz="4" w:space="0" w:color="auto"/>
            </w:tcBorders>
            <w:shd w:val="clear" w:color="auto" w:fill="auto"/>
            <w:noWrap/>
            <w:vAlign w:val="center"/>
            <w:hideMark/>
          </w:tcPr>
          <w:p w14:paraId="43CB1CD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621EA80B"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64.554,74 </w:t>
            </w:r>
          </w:p>
        </w:tc>
        <w:tc>
          <w:tcPr>
            <w:tcW w:w="1104" w:type="dxa"/>
            <w:tcBorders>
              <w:top w:val="nil"/>
              <w:left w:val="nil"/>
              <w:bottom w:val="single" w:sz="4" w:space="0" w:color="auto"/>
              <w:right w:val="single" w:sz="4" w:space="0" w:color="auto"/>
            </w:tcBorders>
            <w:shd w:val="clear" w:color="auto" w:fill="auto"/>
            <w:noWrap/>
            <w:vAlign w:val="center"/>
            <w:hideMark/>
          </w:tcPr>
          <w:p w14:paraId="4D21877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86.366,16 </w:t>
            </w:r>
          </w:p>
        </w:tc>
        <w:tc>
          <w:tcPr>
            <w:tcW w:w="1242" w:type="dxa"/>
            <w:tcBorders>
              <w:top w:val="nil"/>
              <w:left w:val="nil"/>
              <w:bottom w:val="single" w:sz="4" w:space="0" w:color="auto"/>
              <w:right w:val="single" w:sz="4" w:space="0" w:color="auto"/>
            </w:tcBorders>
            <w:shd w:val="clear" w:color="auto" w:fill="auto"/>
            <w:noWrap/>
            <w:vAlign w:val="center"/>
            <w:hideMark/>
          </w:tcPr>
          <w:p w14:paraId="1A568F1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86.366,16 </w:t>
            </w:r>
          </w:p>
        </w:tc>
        <w:tc>
          <w:tcPr>
            <w:tcW w:w="1104" w:type="dxa"/>
            <w:tcBorders>
              <w:top w:val="nil"/>
              <w:left w:val="nil"/>
              <w:bottom w:val="single" w:sz="4" w:space="0" w:color="auto"/>
              <w:right w:val="single" w:sz="4" w:space="0" w:color="auto"/>
            </w:tcBorders>
            <w:shd w:val="clear" w:color="auto" w:fill="auto"/>
            <w:noWrap/>
            <w:vAlign w:val="center"/>
            <w:hideMark/>
          </w:tcPr>
          <w:p w14:paraId="05BB2073"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100.760,43 </w:t>
            </w:r>
          </w:p>
        </w:tc>
        <w:tc>
          <w:tcPr>
            <w:tcW w:w="1242" w:type="dxa"/>
            <w:tcBorders>
              <w:top w:val="nil"/>
              <w:left w:val="nil"/>
              <w:bottom w:val="single" w:sz="4" w:space="0" w:color="auto"/>
              <w:right w:val="single" w:sz="4" w:space="0" w:color="auto"/>
            </w:tcBorders>
            <w:shd w:val="clear" w:color="auto" w:fill="auto"/>
            <w:noWrap/>
            <w:vAlign w:val="center"/>
            <w:hideMark/>
          </w:tcPr>
          <w:p w14:paraId="76D881C3"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68.587,40 </w:t>
            </w:r>
          </w:p>
        </w:tc>
        <w:tc>
          <w:tcPr>
            <w:tcW w:w="970" w:type="dxa"/>
            <w:tcBorders>
              <w:top w:val="nil"/>
              <w:left w:val="nil"/>
              <w:bottom w:val="single" w:sz="4" w:space="0" w:color="auto"/>
              <w:right w:val="single" w:sz="4" w:space="0" w:color="auto"/>
            </w:tcBorders>
            <w:shd w:val="clear" w:color="auto" w:fill="auto"/>
            <w:noWrap/>
            <w:vAlign w:val="center"/>
            <w:hideMark/>
          </w:tcPr>
          <w:p w14:paraId="6AF7199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121.485,91 </w:t>
            </w:r>
          </w:p>
        </w:tc>
        <w:tc>
          <w:tcPr>
            <w:tcW w:w="1237" w:type="dxa"/>
            <w:tcBorders>
              <w:top w:val="nil"/>
              <w:left w:val="nil"/>
              <w:bottom w:val="single" w:sz="4" w:space="0" w:color="auto"/>
              <w:right w:val="single" w:sz="4" w:space="0" w:color="auto"/>
            </w:tcBorders>
            <w:shd w:val="clear" w:color="auto" w:fill="auto"/>
            <w:noWrap/>
            <w:vAlign w:val="center"/>
            <w:hideMark/>
          </w:tcPr>
          <w:p w14:paraId="249C8FBE"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528.120,80 </w:t>
            </w:r>
          </w:p>
        </w:tc>
      </w:tr>
      <w:tr w:rsidR="007B3093" w14:paraId="24A62E80" w14:textId="77777777">
        <w:trPr>
          <w:trHeight w:val="35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1CDCAF0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2. - Fortalecer la defensa legal del Estado</w:t>
            </w:r>
          </w:p>
        </w:tc>
        <w:tc>
          <w:tcPr>
            <w:tcW w:w="3312" w:type="dxa"/>
            <w:tcBorders>
              <w:top w:val="nil"/>
              <w:left w:val="nil"/>
              <w:bottom w:val="single" w:sz="4" w:space="0" w:color="auto"/>
              <w:right w:val="single" w:sz="4" w:space="0" w:color="auto"/>
            </w:tcBorders>
            <w:shd w:val="clear" w:color="auto" w:fill="auto"/>
            <w:vAlign w:val="center"/>
            <w:hideMark/>
          </w:tcPr>
          <w:p w14:paraId="59324F51"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2.1. - Capacitar a los funcionarios de la PGE en temas jurídicos y gestión de casos orales</w:t>
            </w:r>
          </w:p>
        </w:tc>
        <w:tc>
          <w:tcPr>
            <w:tcW w:w="1380" w:type="dxa"/>
            <w:tcBorders>
              <w:top w:val="nil"/>
              <w:left w:val="nil"/>
              <w:bottom w:val="single" w:sz="4" w:space="0" w:color="auto"/>
              <w:right w:val="single" w:sz="4" w:space="0" w:color="auto"/>
            </w:tcBorders>
            <w:shd w:val="clear" w:color="auto" w:fill="auto"/>
            <w:noWrap/>
            <w:vAlign w:val="center"/>
            <w:hideMark/>
          </w:tcPr>
          <w:p w14:paraId="7A19B8B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47D0C3C3"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14.813,70 </w:t>
            </w:r>
          </w:p>
        </w:tc>
        <w:tc>
          <w:tcPr>
            <w:tcW w:w="1104" w:type="dxa"/>
            <w:tcBorders>
              <w:top w:val="nil"/>
              <w:left w:val="nil"/>
              <w:bottom w:val="single" w:sz="4" w:space="0" w:color="auto"/>
              <w:right w:val="single" w:sz="4" w:space="0" w:color="auto"/>
            </w:tcBorders>
            <w:shd w:val="clear" w:color="auto" w:fill="auto"/>
            <w:noWrap/>
            <w:vAlign w:val="center"/>
            <w:hideMark/>
          </w:tcPr>
          <w:p w14:paraId="2EF2E3FC"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56.542,12 </w:t>
            </w:r>
          </w:p>
        </w:tc>
        <w:tc>
          <w:tcPr>
            <w:tcW w:w="1242" w:type="dxa"/>
            <w:tcBorders>
              <w:top w:val="nil"/>
              <w:left w:val="nil"/>
              <w:bottom w:val="single" w:sz="4" w:space="0" w:color="auto"/>
              <w:right w:val="single" w:sz="4" w:space="0" w:color="auto"/>
            </w:tcBorders>
            <w:shd w:val="clear" w:color="auto" w:fill="auto"/>
            <w:noWrap/>
            <w:vAlign w:val="center"/>
            <w:hideMark/>
          </w:tcPr>
          <w:p w14:paraId="372113B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11.995,30 </w:t>
            </w:r>
          </w:p>
        </w:tc>
        <w:tc>
          <w:tcPr>
            <w:tcW w:w="1104" w:type="dxa"/>
            <w:tcBorders>
              <w:top w:val="nil"/>
              <w:left w:val="nil"/>
              <w:bottom w:val="single" w:sz="4" w:space="0" w:color="auto"/>
              <w:right w:val="single" w:sz="4" w:space="0" w:color="auto"/>
            </w:tcBorders>
            <w:shd w:val="clear" w:color="auto" w:fill="auto"/>
            <w:noWrap/>
            <w:vAlign w:val="center"/>
            <w:hideMark/>
          </w:tcPr>
          <w:p w14:paraId="0AFE0CCE"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2.399,06 </w:t>
            </w:r>
          </w:p>
        </w:tc>
        <w:tc>
          <w:tcPr>
            <w:tcW w:w="1242" w:type="dxa"/>
            <w:tcBorders>
              <w:top w:val="nil"/>
              <w:left w:val="nil"/>
              <w:bottom w:val="single" w:sz="4" w:space="0" w:color="auto"/>
              <w:right w:val="single" w:sz="4" w:space="0" w:color="auto"/>
            </w:tcBorders>
            <w:shd w:val="clear" w:color="auto" w:fill="auto"/>
            <w:noWrap/>
            <w:vAlign w:val="center"/>
            <w:hideMark/>
          </w:tcPr>
          <w:p w14:paraId="4F3DEC9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15AA27B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37" w:type="dxa"/>
            <w:tcBorders>
              <w:top w:val="nil"/>
              <w:left w:val="nil"/>
              <w:bottom w:val="single" w:sz="4" w:space="0" w:color="auto"/>
              <w:right w:val="single" w:sz="4" w:space="0" w:color="auto"/>
            </w:tcBorders>
            <w:shd w:val="clear" w:color="auto" w:fill="auto"/>
            <w:noWrap/>
            <w:vAlign w:val="center"/>
            <w:hideMark/>
          </w:tcPr>
          <w:p w14:paraId="3BC23634"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85.750,18 </w:t>
            </w:r>
          </w:p>
        </w:tc>
      </w:tr>
      <w:tr w:rsidR="007B3093" w14:paraId="4AC67F4E" w14:textId="77777777">
        <w:trPr>
          <w:trHeight w:val="281"/>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1652B48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2. - Fortalecer la defensa legal del Estado</w:t>
            </w:r>
          </w:p>
        </w:tc>
        <w:tc>
          <w:tcPr>
            <w:tcW w:w="3312" w:type="dxa"/>
            <w:tcBorders>
              <w:top w:val="nil"/>
              <w:left w:val="nil"/>
              <w:bottom w:val="single" w:sz="4" w:space="0" w:color="auto"/>
              <w:right w:val="single" w:sz="4" w:space="0" w:color="auto"/>
            </w:tcBorders>
            <w:shd w:val="clear" w:color="auto" w:fill="auto"/>
            <w:vAlign w:val="center"/>
            <w:hideMark/>
          </w:tcPr>
          <w:p w14:paraId="7DE4523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2.2. - Brindar una capacitación especializada en jurisprudencia internacional</w:t>
            </w:r>
          </w:p>
        </w:tc>
        <w:tc>
          <w:tcPr>
            <w:tcW w:w="1380" w:type="dxa"/>
            <w:tcBorders>
              <w:top w:val="nil"/>
              <w:left w:val="nil"/>
              <w:bottom w:val="single" w:sz="4" w:space="0" w:color="auto"/>
              <w:right w:val="single" w:sz="4" w:space="0" w:color="auto"/>
            </w:tcBorders>
            <w:shd w:val="clear" w:color="auto" w:fill="auto"/>
            <w:noWrap/>
            <w:vAlign w:val="center"/>
            <w:hideMark/>
          </w:tcPr>
          <w:p w14:paraId="3B330A8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3026E0E3"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000000" w:fill="FFFFFF"/>
            <w:noWrap/>
            <w:vAlign w:val="center"/>
            <w:hideMark/>
          </w:tcPr>
          <w:p w14:paraId="5E8E3F2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6.409,74 </w:t>
            </w:r>
          </w:p>
        </w:tc>
        <w:tc>
          <w:tcPr>
            <w:tcW w:w="1242" w:type="dxa"/>
            <w:tcBorders>
              <w:top w:val="nil"/>
              <w:left w:val="nil"/>
              <w:bottom w:val="single" w:sz="4" w:space="0" w:color="auto"/>
              <w:right w:val="single" w:sz="4" w:space="0" w:color="auto"/>
            </w:tcBorders>
            <w:shd w:val="clear" w:color="000000" w:fill="FFFFFF"/>
            <w:noWrap/>
            <w:vAlign w:val="center"/>
            <w:hideMark/>
          </w:tcPr>
          <w:p w14:paraId="1218A697"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14.956,04 </w:t>
            </w:r>
          </w:p>
        </w:tc>
        <w:tc>
          <w:tcPr>
            <w:tcW w:w="1104" w:type="dxa"/>
            <w:tcBorders>
              <w:top w:val="nil"/>
              <w:left w:val="nil"/>
              <w:bottom w:val="single" w:sz="4" w:space="0" w:color="auto"/>
              <w:right w:val="single" w:sz="4" w:space="0" w:color="auto"/>
            </w:tcBorders>
            <w:shd w:val="clear" w:color="auto" w:fill="auto"/>
            <w:noWrap/>
            <w:vAlign w:val="center"/>
            <w:hideMark/>
          </w:tcPr>
          <w:p w14:paraId="56BB9AE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7632D55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172FCF7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1237" w:type="dxa"/>
            <w:tcBorders>
              <w:top w:val="nil"/>
              <w:left w:val="nil"/>
              <w:bottom w:val="single" w:sz="4" w:space="0" w:color="auto"/>
              <w:right w:val="single" w:sz="4" w:space="0" w:color="auto"/>
            </w:tcBorders>
            <w:shd w:val="clear" w:color="auto" w:fill="auto"/>
            <w:noWrap/>
            <w:vAlign w:val="center"/>
            <w:hideMark/>
          </w:tcPr>
          <w:p w14:paraId="2035CB57"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21.365,78 </w:t>
            </w:r>
          </w:p>
        </w:tc>
      </w:tr>
      <w:tr w:rsidR="007B3093" w14:paraId="5F706A07" w14:textId="77777777">
        <w:trPr>
          <w:trHeight w:val="355"/>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3C0E9DB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2. - Fortalecer la defensa legal del Estado</w:t>
            </w:r>
          </w:p>
        </w:tc>
        <w:tc>
          <w:tcPr>
            <w:tcW w:w="3312" w:type="dxa"/>
            <w:tcBorders>
              <w:top w:val="nil"/>
              <w:left w:val="nil"/>
              <w:bottom w:val="single" w:sz="4" w:space="0" w:color="auto"/>
              <w:right w:val="single" w:sz="4" w:space="0" w:color="auto"/>
            </w:tcBorders>
            <w:shd w:val="clear" w:color="auto" w:fill="auto"/>
            <w:vAlign w:val="center"/>
            <w:hideMark/>
          </w:tcPr>
          <w:p w14:paraId="17C643AA"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2.3. - Elaborar protocolos y guías para la coordinación interinstitucional para la defensa de casos.</w:t>
            </w:r>
          </w:p>
        </w:tc>
        <w:tc>
          <w:tcPr>
            <w:tcW w:w="1380" w:type="dxa"/>
            <w:tcBorders>
              <w:top w:val="nil"/>
              <w:left w:val="nil"/>
              <w:bottom w:val="single" w:sz="4" w:space="0" w:color="auto"/>
              <w:right w:val="single" w:sz="4" w:space="0" w:color="auto"/>
            </w:tcBorders>
            <w:shd w:val="clear" w:color="auto" w:fill="auto"/>
            <w:noWrap/>
            <w:vAlign w:val="center"/>
            <w:hideMark/>
          </w:tcPr>
          <w:p w14:paraId="2C1E88BB"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2A703BB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2EAF7D6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27.424,00 </w:t>
            </w:r>
          </w:p>
        </w:tc>
        <w:tc>
          <w:tcPr>
            <w:tcW w:w="1242" w:type="dxa"/>
            <w:tcBorders>
              <w:top w:val="nil"/>
              <w:left w:val="nil"/>
              <w:bottom w:val="single" w:sz="4" w:space="0" w:color="auto"/>
              <w:right w:val="single" w:sz="4" w:space="0" w:color="auto"/>
            </w:tcBorders>
            <w:shd w:val="clear" w:color="auto" w:fill="auto"/>
            <w:noWrap/>
            <w:vAlign w:val="center"/>
            <w:hideMark/>
          </w:tcPr>
          <w:p w14:paraId="1D6B7CF1"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11.950,00 </w:t>
            </w:r>
          </w:p>
        </w:tc>
        <w:tc>
          <w:tcPr>
            <w:tcW w:w="1104" w:type="dxa"/>
            <w:tcBorders>
              <w:top w:val="nil"/>
              <w:left w:val="nil"/>
              <w:bottom w:val="single" w:sz="4" w:space="0" w:color="auto"/>
              <w:right w:val="single" w:sz="4" w:space="0" w:color="auto"/>
            </w:tcBorders>
            <w:shd w:val="clear" w:color="auto" w:fill="auto"/>
            <w:noWrap/>
            <w:vAlign w:val="center"/>
            <w:hideMark/>
          </w:tcPr>
          <w:p w14:paraId="3FA4E1D3"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33781EF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2247BB6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1237" w:type="dxa"/>
            <w:tcBorders>
              <w:top w:val="nil"/>
              <w:left w:val="nil"/>
              <w:bottom w:val="single" w:sz="4" w:space="0" w:color="auto"/>
              <w:right w:val="single" w:sz="4" w:space="0" w:color="auto"/>
            </w:tcBorders>
            <w:shd w:val="clear" w:color="auto" w:fill="auto"/>
            <w:noWrap/>
            <w:vAlign w:val="center"/>
            <w:hideMark/>
          </w:tcPr>
          <w:p w14:paraId="34EC11B7"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39.374,00 </w:t>
            </w:r>
          </w:p>
        </w:tc>
      </w:tr>
      <w:tr w:rsidR="007B3093" w14:paraId="5294F317" w14:textId="77777777">
        <w:trPr>
          <w:trHeight w:val="303"/>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76A0727F"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2. - Fortalecer la defensa legal del Estado</w:t>
            </w:r>
          </w:p>
        </w:tc>
        <w:tc>
          <w:tcPr>
            <w:tcW w:w="3312" w:type="dxa"/>
            <w:tcBorders>
              <w:top w:val="nil"/>
              <w:left w:val="nil"/>
              <w:bottom w:val="single" w:sz="4" w:space="0" w:color="auto"/>
              <w:right w:val="single" w:sz="4" w:space="0" w:color="auto"/>
            </w:tcBorders>
            <w:shd w:val="clear" w:color="auto" w:fill="auto"/>
            <w:vAlign w:val="center"/>
            <w:hideMark/>
          </w:tcPr>
          <w:p w14:paraId="045557D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2.4. - Obtener acceso a bases de datos especializadas en temas jurídicos.</w:t>
            </w:r>
          </w:p>
        </w:tc>
        <w:tc>
          <w:tcPr>
            <w:tcW w:w="1380" w:type="dxa"/>
            <w:tcBorders>
              <w:top w:val="nil"/>
              <w:left w:val="nil"/>
              <w:bottom w:val="single" w:sz="4" w:space="0" w:color="auto"/>
              <w:right w:val="single" w:sz="4" w:space="0" w:color="auto"/>
            </w:tcBorders>
            <w:shd w:val="clear" w:color="auto" w:fill="auto"/>
            <w:noWrap/>
            <w:vAlign w:val="center"/>
            <w:hideMark/>
          </w:tcPr>
          <w:p w14:paraId="5916B32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56E300C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5DA0F16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025A284F"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8.870,16 </w:t>
            </w:r>
          </w:p>
        </w:tc>
        <w:tc>
          <w:tcPr>
            <w:tcW w:w="1104" w:type="dxa"/>
            <w:tcBorders>
              <w:top w:val="nil"/>
              <w:left w:val="nil"/>
              <w:bottom w:val="single" w:sz="4" w:space="0" w:color="auto"/>
              <w:right w:val="single" w:sz="4" w:space="0" w:color="auto"/>
            </w:tcBorders>
            <w:shd w:val="clear" w:color="auto" w:fill="auto"/>
            <w:noWrap/>
            <w:vAlign w:val="center"/>
            <w:hideMark/>
          </w:tcPr>
          <w:p w14:paraId="57C9060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55F96EF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5D231FEC"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1237" w:type="dxa"/>
            <w:tcBorders>
              <w:top w:val="nil"/>
              <w:left w:val="nil"/>
              <w:bottom w:val="single" w:sz="4" w:space="0" w:color="auto"/>
              <w:right w:val="single" w:sz="4" w:space="0" w:color="auto"/>
            </w:tcBorders>
            <w:shd w:val="clear" w:color="auto" w:fill="auto"/>
            <w:noWrap/>
            <w:vAlign w:val="center"/>
            <w:hideMark/>
          </w:tcPr>
          <w:p w14:paraId="278C75EE"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8.870,16 </w:t>
            </w:r>
          </w:p>
        </w:tc>
      </w:tr>
      <w:tr w:rsidR="007B3093" w14:paraId="305D3B4F" w14:textId="77777777">
        <w:trPr>
          <w:trHeight w:val="66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373EAC1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3. - Fortalecer la capacidad de control, consultoría y asesoría legal de la PGE</w:t>
            </w:r>
          </w:p>
        </w:tc>
        <w:tc>
          <w:tcPr>
            <w:tcW w:w="3312" w:type="dxa"/>
            <w:tcBorders>
              <w:top w:val="nil"/>
              <w:left w:val="nil"/>
              <w:bottom w:val="single" w:sz="4" w:space="0" w:color="auto"/>
              <w:right w:val="single" w:sz="4" w:space="0" w:color="auto"/>
            </w:tcBorders>
            <w:shd w:val="clear" w:color="auto" w:fill="auto"/>
            <w:vAlign w:val="center"/>
            <w:hideMark/>
          </w:tcPr>
          <w:p w14:paraId="7A5C0BE5"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3.1. - Generar un sistema informático para brindar asesoría Legal a Organismos del Estado para no infringir los marcos normativos y para desarrollar una defensa óptima.</w:t>
            </w:r>
          </w:p>
        </w:tc>
        <w:tc>
          <w:tcPr>
            <w:tcW w:w="1380" w:type="dxa"/>
            <w:tcBorders>
              <w:top w:val="nil"/>
              <w:left w:val="nil"/>
              <w:bottom w:val="single" w:sz="4" w:space="0" w:color="auto"/>
              <w:right w:val="single" w:sz="4" w:space="0" w:color="auto"/>
            </w:tcBorders>
            <w:shd w:val="clear" w:color="auto" w:fill="auto"/>
            <w:vAlign w:val="center"/>
            <w:hideMark/>
          </w:tcPr>
          <w:p w14:paraId="38415CD5"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vAlign w:val="center"/>
            <w:hideMark/>
          </w:tcPr>
          <w:p w14:paraId="3E932EF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vAlign w:val="center"/>
            <w:hideMark/>
          </w:tcPr>
          <w:p w14:paraId="2F7DC6E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vAlign w:val="center"/>
            <w:hideMark/>
          </w:tcPr>
          <w:p w14:paraId="0744212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8.736,00 </w:t>
            </w:r>
          </w:p>
        </w:tc>
        <w:tc>
          <w:tcPr>
            <w:tcW w:w="1104" w:type="dxa"/>
            <w:tcBorders>
              <w:top w:val="nil"/>
              <w:left w:val="nil"/>
              <w:bottom w:val="single" w:sz="4" w:space="0" w:color="auto"/>
              <w:right w:val="single" w:sz="4" w:space="0" w:color="auto"/>
            </w:tcBorders>
            <w:shd w:val="clear" w:color="auto" w:fill="auto"/>
            <w:vAlign w:val="center"/>
            <w:hideMark/>
          </w:tcPr>
          <w:p w14:paraId="5BB78B9C"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2B73C85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vAlign w:val="center"/>
            <w:hideMark/>
          </w:tcPr>
          <w:p w14:paraId="13D9CEA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37" w:type="dxa"/>
            <w:tcBorders>
              <w:top w:val="nil"/>
              <w:left w:val="nil"/>
              <w:bottom w:val="single" w:sz="4" w:space="0" w:color="auto"/>
              <w:right w:val="single" w:sz="4" w:space="0" w:color="auto"/>
            </w:tcBorders>
            <w:shd w:val="clear" w:color="auto" w:fill="auto"/>
            <w:noWrap/>
            <w:vAlign w:val="center"/>
            <w:hideMark/>
          </w:tcPr>
          <w:p w14:paraId="25D9D215"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8.736,00 </w:t>
            </w:r>
          </w:p>
        </w:tc>
      </w:tr>
      <w:tr w:rsidR="007B3093" w14:paraId="468AC38B" w14:textId="77777777">
        <w:trPr>
          <w:trHeight w:val="552"/>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03B90AB6"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3. - Fortalecer la capacidad de control, consultoría y asesoría legal de la PGE</w:t>
            </w:r>
          </w:p>
        </w:tc>
        <w:tc>
          <w:tcPr>
            <w:tcW w:w="3312" w:type="dxa"/>
            <w:tcBorders>
              <w:top w:val="nil"/>
              <w:left w:val="nil"/>
              <w:bottom w:val="single" w:sz="4" w:space="0" w:color="auto"/>
              <w:right w:val="single" w:sz="4" w:space="0" w:color="auto"/>
            </w:tcBorders>
            <w:shd w:val="clear" w:color="auto" w:fill="auto"/>
            <w:vAlign w:val="center"/>
            <w:hideMark/>
          </w:tcPr>
          <w:p w14:paraId="6CDCA6C1"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3.2. - Capacitar a organismos del Estado o Municipios para la formulación adecuada de sus consultas.</w:t>
            </w:r>
          </w:p>
        </w:tc>
        <w:tc>
          <w:tcPr>
            <w:tcW w:w="1380" w:type="dxa"/>
            <w:tcBorders>
              <w:top w:val="nil"/>
              <w:left w:val="nil"/>
              <w:bottom w:val="single" w:sz="4" w:space="0" w:color="auto"/>
              <w:right w:val="single" w:sz="4" w:space="0" w:color="auto"/>
            </w:tcBorders>
            <w:shd w:val="clear" w:color="auto" w:fill="auto"/>
            <w:noWrap/>
            <w:vAlign w:val="center"/>
            <w:hideMark/>
          </w:tcPr>
          <w:p w14:paraId="67F6349E"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6B4D910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26.992,00 </w:t>
            </w:r>
          </w:p>
        </w:tc>
        <w:tc>
          <w:tcPr>
            <w:tcW w:w="1104" w:type="dxa"/>
            <w:tcBorders>
              <w:top w:val="nil"/>
              <w:left w:val="nil"/>
              <w:bottom w:val="single" w:sz="4" w:space="0" w:color="auto"/>
              <w:right w:val="single" w:sz="4" w:space="0" w:color="auto"/>
            </w:tcBorders>
            <w:shd w:val="clear" w:color="auto" w:fill="auto"/>
            <w:noWrap/>
            <w:vAlign w:val="center"/>
            <w:hideMark/>
          </w:tcPr>
          <w:p w14:paraId="19C093A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0BED41D1"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61.756,80 </w:t>
            </w:r>
          </w:p>
        </w:tc>
        <w:tc>
          <w:tcPr>
            <w:tcW w:w="1104" w:type="dxa"/>
            <w:tcBorders>
              <w:top w:val="nil"/>
              <w:left w:val="nil"/>
              <w:bottom w:val="single" w:sz="4" w:space="0" w:color="auto"/>
              <w:right w:val="single" w:sz="4" w:space="0" w:color="auto"/>
            </w:tcBorders>
            <w:shd w:val="clear" w:color="auto" w:fill="auto"/>
            <w:noWrap/>
            <w:vAlign w:val="center"/>
            <w:hideMark/>
          </w:tcPr>
          <w:p w14:paraId="2802A1BB"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43.198,56 </w:t>
            </w:r>
          </w:p>
        </w:tc>
        <w:tc>
          <w:tcPr>
            <w:tcW w:w="1242" w:type="dxa"/>
            <w:tcBorders>
              <w:top w:val="nil"/>
              <w:left w:val="nil"/>
              <w:bottom w:val="single" w:sz="4" w:space="0" w:color="auto"/>
              <w:right w:val="single" w:sz="4" w:space="0" w:color="auto"/>
            </w:tcBorders>
            <w:shd w:val="clear" w:color="auto" w:fill="auto"/>
            <w:noWrap/>
            <w:vAlign w:val="center"/>
            <w:hideMark/>
          </w:tcPr>
          <w:p w14:paraId="08033C4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7F2B61B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37" w:type="dxa"/>
            <w:tcBorders>
              <w:top w:val="nil"/>
              <w:left w:val="nil"/>
              <w:bottom w:val="single" w:sz="4" w:space="0" w:color="auto"/>
              <w:right w:val="single" w:sz="4" w:space="0" w:color="auto"/>
            </w:tcBorders>
            <w:shd w:val="clear" w:color="auto" w:fill="auto"/>
            <w:noWrap/>
            <w:vAlign w:val="center"/>
            <w:hideMark/>
          </w:tcPr>
          <w:p w14:paraId="3E510DC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131.947,36 </w:t>
            </w:r>
          </w:p>
        </w:tc>
      </w:tr>
      <w:tr w:rsidR="007B3093" w14:paraId="583B393D" w14:textId="77777777">
        <w:trPr>
          <w:trHeight w:val="435"/>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547C781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4. - Fortalecer los Centros de Mediación de la PGE</w:t>
            </w:r>
          </w:p>
        </w:tc>
        <w:tc>
          <w:tcPr>
            <w:tcW w:w="3312" w:type="dxa"/>
            <w:tcBorders>
              <w:top w:val="nil"/>
              <w:left w:val="nil"/>
              <w:bottom w:val="single" w:sz="4" w:space="0" w:color="auto"/>
              <w:right w:val="single" w:sz="4" w:space="0" w:color="auto"/>
            </w:tcBorders>
            <w:shd w:val="clear" w:color="auto" w:fill="auto"/>
            <w:vAlign w:val="center"/>
            <w:hideMark/>
          </w:tcPr>
          <w:p w14:paraId="46173CC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4.1. - Readecuar los espacios de los centros de mediación.</w:t>
            </w:r>
          </w:p>
        </w:tc>
        <w:tc>
          <w:tcPr>
            <w:tcW w:w="1380" w:type="dxa"/>
            <w:tcBorders>
              <w:top w:val="nil"/>
              <w:left w:val="nil"/>
              <w:bottom w:val="single" w:sz="4" w:space="0" w:color="auto"/>
              <w:right w:val="single" w:sz="4" w:space="0" w:color="auto"/>
            </w:tcBorders>
            <w:shd w:val="clear" w:color="auto" w:fill="auto"/>
            <w:noWrap/>
            <w:vAlign w:val="center"/>
            <w:hideMark/>
          </w:tcPr>
          <w:p w14:paraId="048484C1"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6AE59263"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042DDB9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6E4E4B54"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10.278,40 </w:t>
            </w:r>
          </w:p>
        </w:tc>
        <w:tc>
          <w:tcPr>
            <w:tcW w:w="1104" w:type="dxa"/>
            <w:tcBorders>
              <w:top w:val="nil"/>
              <w:left w:val="nil"/>
              <w:bottom w:val="single" w:sz="4" w:space="0" w:color="auto"/>
              <w:right w:val="single" w:sz="4" w:space="0" w:color="auto"/>
            </w:tcBorders>
            <w:shd w:val="clear" w:color="auto" w:fill="auto"/>
            <w:noWrap/>
            <w:vAlign w:val="center"/>
            <w:hideMark/>
          </w:tcPr>
          <w:p w14:paraId="4CACD20C"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11.830,55 </w:t>
            </w:r>
          </w:p>
        </w:tc>
        <w:tc>
          <w:tcPr>
            <w:tcW w:w="1242" w:type="dxa"/>
            <w:tcBorders>
              <w:top w:val="nil"/>
              <w:left w:val="nil"/>
              <w:bottom w:val="single" w:sz="4" w:space="0" w:color="auto"/>
              <w:right w:val="single" w:sz="4" w:space="0" w:color="auto"/>
            </w:tcBorders>
            <w:shd w:val="clear" w:color="auto" w:fill="auto"/>
            <w:noWrap/>
            <w:vAlign w:val="center"/>
            <w:hideMark/>
          </w:tcPr>
          <w:p w14:paraId="1D02EC01"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1424AD7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125.682,07 </w:t>
            </w:r>
          </w:p>
        </w:tc>
        <w:tc>
          <w:tcPr>
            <w:tcW w:w="1237" w:type="dxa"/>
            <w:tcBorders>
              <w:top w:val="nil"/>
              <w:left w:val="nil"/>
              <w:bottom w:val="single" w:sz="4" w:space="0" w:color="auto"/>
              <w:right w:val="single" w:sz="4" w:space="0" w:color="auto"/>
            </w:tcBorders>
            <w:shd w:val="clear" w:color="auto" w:fill="auto"/>
            <w:noWrap/>
            <w:vAlign w:val="center"/>
            <w:hideMark/>
          </w:tcPr>
          <w:p w14:paraId="5E1EA20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147.791,02 </w:t>
            </w:r>
          </w:p>
        </w:tc>
      </w:tr>
      <w:tr w:rsidR="007B3093" w14:paraId="598A72D8" w14:textId="77777777">
        <w:trPr>
          <w:trHeight w:val="47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730FD0AB"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lastRenderedPageBreak/>
              <w:t>COMPONENTE 4. - Fortalecer los Centros de Mediación de la PGE</w:t>
            </w:r>
          </w:p>
        </w:tc>
        <w:tc>
          <w:tcPr>
            <w:tcW w:w="3312" w:type="dxa"/>
            <w:tcBorders>
              <w:top w:val="nil"/>
              <w:left w:val="nil"/>
              <w:bottom w:val="single" w:sz="4" w:space="0" w:color="auto"/>
              <w:right w:val="single" w:sz="4" w:space="0" w:color="auto"/>
            </w:tcBorders>
            <w:shd w:val="clear" w:color="auto" w:fill="auto"/>
            <w:vAlign w:val="center"/>
            <w:hideMark/>
          </w:tcPr>
          <w:p w14:paraId="40C52576"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4.1. - Readecuar los espacios de los centros de mediación.</w:t>
            </w:r>
          </w:p>
        </w:tc>
        <w:tc>
          <w:tcPr>
            <w:tcW w:w="1380" w:type="dxa"/>
            <w:tcBorders>
              <w:top w:val="nil"/>
              <w:left w:val="nil"/>
              <w:bottom w:val="single" w:sz="4" w:space="0" w:color="auto"/>
              <w:right w:val="single" w:sz="4" w:space="0" w:color="auto"/>
            </w:tcBorders>
            <w:shd w:val="clear" w:color="auto" w:fill="auto"/>
            <w:noWrap/>
            <w:vAlign w:val="center"/>
            <w:hideMark/>
          </w:tcPr>
          <w:p w14:paraId="663AE4B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7C658AA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5E846B9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1920CB7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3.016,00 </w:t>
            </w:r>
          </w:p>
        </w:tc>
        <w:tc>
          <w:tcPr>
            <w:tcW w:w="1104" w:type="dxa"/>
            <w:tcBorders>
              <w:top w:val="nil"/>
              <w:left w:val="nil"/>
              <w:bottom w:val="single" w:sz="4" w:space="0" w:color="auto"/>
              <w:right w:val="single" w:sz="4" w:space="0" w:color="auto"/>
            </w:tcBorders>
            <w:shd w:val="clear" w:color="auto" w:fill="auto"/>
            <w:noWrap/>
            <w:vAlign w:val="center"/>
            <w:hideMark/>
          </w:tcPr>
          <w:p w14:paraId="1A294F0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3DC949A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6E1B9FE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104.861,90 </w:t>
            </w:r>
          </w:p>
        </w:tc>
        <w:tc>
          <w:tcPr>
            <w:tcW w:w="1237" w:type="dxa"/>
            <w:tcBorders>
              <w:top w:val="nil"/>
              <w:left w:val="nil"/>
              <w:bottom w:val="single" w:sz="4" w:space="0" w:color="auto"/>
              <w:right w:val="single" w:sz="4" w:space="0" w:color="auto"/>
            </w:tcBorders>
            <w:shd w:val="clear" w:color="auto" w:fill="auto"/>
            <w:noWrap/>
            <w:vAlign w:val="center"/>
            <w:hideMark/>
          </w:tcPr>
          <w:p w14:paraId="34D1392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107.877,90 </w:t>
            </w:r>
          </w:p>
        </w:tc>
      </w:tr>
      <w:tr w:rsidR="007B3093" w14:paraId="526D0D2C" w14:textId="77777777">
        <w:trPr>
          <w:trHeight w:val="38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2F64B4F7"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3312" w:type="dxa"/>
            <w:tcBorders>
              <w:top w:val="nil"/>
              <w:left w:val="nil"/>
              <w:bottom w:val="single" w:sz="4" w:space="0" w:color="auto"/>
              <w:right w:val="single" w:sz="4" w:space="0" w:color="auto"/>
            </w:tcBorders>
            <w:shd w:val="clear" w:color="auto" w:fill="auto"/>
            <w:vAlign w:val="center"/>
            <w:hideMark/>
          </w:tcPr>
          <w:p w14:paraId="457F422B"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5.1. - Diseñar una estrategia de comunicación</w:t>
            </w:r>
          </w:p>
        </w:tc>
        <w:tc>
          <w:tcPr>
            <w:tcW w:w="1380" w:type="dxa"/>
            <w:tcBorders>
              <w:top w:val="nil"/>
              <w:left w:val="nil"/>
              <w:bottom w:val="single" w:sz="4" w:space="0" w:color="auto"/>
              <w:right w:val="single" w:sz="4" w:space="0" w:color="auto"/>
            </w:tcBorders>
            <w:shd w:val="clear" w:color="auto" w:fill="auto"/>
            <w:noWrap/>
            <w:vAlign w:val="center"/>
            <w:hideMark/>
          </w:tcPr>
          <w:p w14:paraId="3E1A4EA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124921A3"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1A9C1514"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20.000,00 </w:t>
            </w:r>
          </w:p>
        </w:tc>
        <w:tc>
          <w:tcPr>
            <w:tcW w:w="1242" w:type="dxa"/>
            <w:tcBorders>
              <w:top w:val="nil"/>
              <w:left w:val="nil"/>
              <w:bottom w:val="single" w:sz="4" w:space="0" w:color="auto"/>
              <w:right w:val="single" w:sz="4" w:space="0" w:color="auto"/>
            </w:tcBorders>
            <w:shd w:val="clear" w:color="auto" w:fill="auto"/>
            <w:noWrap/>
            <w:vAlign w:val="center"/>
            <w:hideMark/>
          </w:tcPr>
          <w:p w14:paraId="70E14FD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0EC0F86C"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1C0710E4"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561FC38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1237" w:type="dxa"/>
            <w:tcBorders>
              <w:top w:val="nil"/>
              <w:left w:val="nil"/>
              <w:bottom w:val="single" w:sz="4" w:space="0" w:color="auto"/>
              <w:right w:val="single" w:sz="4" w:space="0" w:color="auto"/>
            </w:tcBorders>
            <w:shd w:val="clear" w:color="auto" w:fill="auto"/>
            <w:noWrap/>
            <w:vAlign w:val="center"/>
            <w:hideMark/>
          </w:tcPr>
          <w:p w14:paraId="1B9C336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20.000,00 </w:t>
            </w:r>
          </w:p>
        </w:tc>
      </w:tr>
      <w:tr w:rsidR="007B3093" w14:paraId="353031D4" w14:textId="77777777">
        <w:trPr>
          <w:trHeight w:val="275"/>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3C9F3C82"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3312" w:type="dxa"/>
            <w:tcBorders>
              <w:top w:val="nil"/>
              <w:left w:val="nil"/>
              <w:bottom w:val="single" w:sz="4" w:space="0" w:color="auto"/>
              <w:right w:val="single" w:sz="4" w:space="0" w:color="auto"/>
            </w:tcBorders>
            <w:shd w:val="clear" w:color="auto" w:fill="auto"/>
            <w:vAlign w:val="center"/>
            <w:hideMark/>
          </w:tcPr>
          <w:p w14:paraId="43E113C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5.2. - Capacitar en herramientas de comunicación</w:t>
            </w:r>
          </w:p>
        </w:tc>
        <w:tc>
          <w:tcPr>
            <w:tcW w:w="1380" w:type="dxa"/>
            <w:tcBorders>
              <w:top w:val="nil"/>
              <w:left w:val="nil"/>
              <w:bottom w:val="single" w:sz="4" w:space="0" w:color="auto"/>
              <w:right w:val="single" w:sz="4" w:space="0" w:color="auto"/>
            </w:tcBorders>
            <w:shd w:val="clear" w:color="auto" w:fill="auto"/>
            <w:noWrap/>
            <w:vAlign w:val="center"/>
            <w:hideMark/>
          </w:tcPr>
          <w:p w14:paraId="2CC191B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1900D994"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50A7B50B"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4CD93C44"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44E9CB4E"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58293791"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4045936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10.000,00 </w:t>
            </w:r>
          </w:p>
        </w:tc>
        <w:tc>
          <w:tcPr>
            <w:tcW w:w="1237" w:type="dxa"/>
            <w:tcBorders>
              <w:top w:val="nil"/>
              <w:left w:val="nil"/>
              <w:bottom w:val="single" w:sz="4" w:space="0" w:color="auto"/>
              <w:right w:val="single" w:sz="4" w:space="0" w:color="auto"/>
            </w:tcBorders>
            <w:shd w:val="clear" w:color="auto" w:fill="auto"/>
            <w:noWrap/>
            <w:vAlign w:val="center"/>
            <w:hideMark/>
          </w:tcPr>
          <w:p w14:paraId="483505E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10.000,00 </w:t>
            </w:r>
          </w:p>
        </w:tc>
      </w:tr>
      <w:tr w:rsidR="007B3093" w14:paraId="31C2C1F0" w14:textId="77777777">
        <w:trPr>
          <w:trHeight w:val="324"/>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14F473BA"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3312" w:type="dxa"/>
            <w:tcBorders>
              <w:top w:val="nil"/>
              <w:left w:val="nil"/>
              <w:bottom w:val="single" w:sz="4" w:space="0" w:color="auto"/>
              <w:right w:val="single" w:sz="4" w:space="0" w:color="auto"/>
            </w:tcBorders>
            <w:shd w:val="clear" w:color="auto" w:fill="auto"/>
            <w:vAlign w:val="center"/>
            <w:hideMark/>
          </w:tcPr>
          <w:p w14:paraId="010854A8"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5.3. - Desarrollar materiales de difusión</w:t>
            </w:r>
          </w:p>
        </w:tc>
        <w:tc>
          <w:tcPr>
            <w:tcW w:w="1380" w:type="dxa"/>
            <w:tcBorders>
              <w:top w:val="nil"/>
              <w:left w:val="nil"/>
              <w:bottom w:val="single" w:sz="4" w:space="0" w:color="auto"/>
              <w:right w:val="single" w:sz="4" w:space="0" w:color="auto"/>
            </w:tcBorders>
            <w:shd w:val="clear" w:color="auto" w:fill="auto"/>
            <w:noWrap/>
            <w:vAlign w:val="center"/>
            <w:hideMark/>
          </w:tcPr>
          <w:p w14:paraId="37A4595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3704542C"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3C1DDAB3"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605BE023"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72.919,07 </w:t>
            </w:r>
          </w:p>
        </w:tc>
        <w:tc>
          <w:tcPr>
            <w:tcW w:w="1104" w:type="dxa"/>
            <w:tcBorders>
              <w:top w:val="nil"/>
              <w:left w:val="nil"/>
              <w:bottom w:val="single" w:sz="4" w:space="0" w:color="auto"/>
              <w:right w:val="single" w:sz="4" w:space="0" w:color="auto"/>
            </w:tcBorders>
            <w:shd w:val="clear" w:color="auto" w:fill="auto"/>
            <w:noWrap/>
            <w:vAlign w:val="center"/>
            <w:hideMark/>
          </w:tcPr>
          <w:p w14:paraId="3FB29A1F"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20.641,60 </w:t>
            </w:r>
          </w:p>
        </w:tc>
        <w:tc>
          <w:tcPr>
            <w:tcW w:w="1242" w:type="dxa"/>
            <w:tcBorders>
              <w:top w:val="nil"/>
              <w:left w:val="nil"/>
              <w:bottom w:val="single" w:sz="4" w:space="0" w:color="auto"/>
              <w:right w:val="single" w:sz="4" w:space="0" w:color="auto"/>
            </w:tcBorders>
            <w:shd w:val="clear" w:color="auto" w:fill="auto"/>
            <w:noWrap/>
            <w:vAlign w:val="center"/>
            <w:hideMark/>
          </w:tcPr>
          <w:p w14:paraId="41CF775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4F21596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1237" w:type="dxa"/>
            <w:tcBorders>
              <w:top w:val="nil"/>
              <w:left w:val="nil"/>
              <w:bottom w:val="single" w:sz="4" w:space="0" w:color="auto"/>
              <w:right w:val="single" w:sz="4" w:space="0" w:color="auto"/>
            </w:tcBorders>
            <w:shd w:val="clear" w:color="auto" w:fill="auto"/>
            <w:noWrap/>
            <w:vAlign w:val="center"/>
            <w:hideMark/>
          </w:tcPr>
          <w:p w14:paraId="4D6EE136"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93.560,67 </w:t>
            </w:r>
          </w:p>
        </w:tc>
      </w:tr>
      <w:tr w:rsidR="007B3093" w14:paraId="350AFFC0" w14:textId="77777777">
        <w:trPr>
          <w:trHeight w:val="36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1796EE8E"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3312" w:type="dxa"/>
            <w:tcBorders>
              <w:top w:val="nil"/>
              <w:left w:val="nil"/>
              <w:bottom w:val="single" w:sz="4" w:space="0" w:color="auto"/>
              <w:right w:val="single" w:sz="4" w:space="0" w:color="auto"/>
            </w:tcBorders>
            <w:shd w:val="clear" w:color="auto" w:fill="auto"/>
            <w:vAlign w:val="center"/>
            <w:hideMark/>
          </w:tcPr>
          <w:p w14:paraId="144A7350"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5.3. - Desarrollar materiales de difusión</w:t>
            </w:r>
          </w:p>
        </w:tc>
        <w:tc>
          <w:tcPr>
            <w:tcW w:w="1380" w:type="dxa"/>
            <w:tcBorders>
              <w:top w:val="nil"/>
              <w:left w:val="nil"/>
              <w:bottom w:val="single" w:sz="4" w:space="0" w:color="auto"/>
              <w:right w:val="single" w:sz="4" w:space="0" w:color="auto"/>
            </w:tcBorders>
            <w:shd w:val="clear" w:color="auto" w:fill="auto"/>
            <w:noWrap/>
            <w:vAlign w:val="center"/>
            <w:hideMark/>
          </w:tcPr>
          <w:p w14:paraId="0736809C"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50F08B2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371756FF"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157149D5"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728,78 </w:t>
            </w:r>
          </w:p>
        </w:tc>
        <w:tc>
          <w:tcPr>
            <w:tcW w:w="1104" w:type="dxa"/>
            <w:tcBorders>
              <w:top w:val="nil"/>
              <w:left w:val="nil"/>
              <w:bottom w:val="single" w:sz="4" w:space="0" w:color="auto"/>
              <w:right w:val="single" w:sz="4" w:space="0" w:color="auto"/>
            </w:tcBorders>
            <w:shd w:val="clear" w:color="auto" w:fill="auto"/>
            <w:noWrap/>
            <w:vAlign w:val="center"/>
            <w:hideMark/>
          </w:tcPr>
          <w:p w14:paraId="362A3803"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0CB3977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60C5A769"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1237" w:type="dxa"/>
            <w:tcBorders>
              <w:top w:val="nil"/>
              <w:left w:val="nil"/>
              <w:bottom w:val="single" w:sz="4" w:space="0" w:color="auto"/>
              <w:right w:val="single" w:sz="4" w:space="0" w:color="auto"/>
            </w:tcBorders>
            <w:shd w:val="clear" w:color="auto" w:fill="auto"/>
            <w:noWrap/>
            <w:vAlign w:val="center"/>
            <w:hideMark/>
          </w:tcPr>
          <w:p w14:paraId="19B44D6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728,78 </w:t>
            </w:r>
          </w:p>
        </w:tc>
      </w:tr>
      <w:tr w:rsidR="007B3093" w14:paraId="13461FBB" w14:textId="77777777">
        <w:trPr>
          <w:trHeight w:val="26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02024896"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3312" w:type="dxa"/>
            <w:tcBorders>
              <w:top w:val="nil"/>
              <w:left w:val="nil"/>
              <w:bottom w:val="single" w:sz="4" w:space="0" w:color="auto"/>
              <w:right w:val="single" w:sz="4" w:space="0" w:color="auto"/>
            </w:tcBorders>
            <w:shd w:val="clear" w:color="auto" w:fill="auto"/>
            <w:vAlign w:val="center"/>
            <w:hideMark/>
          </w:tcPr>
          <w:p w14:paraId="2CA7622F"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5.4. - Realizar una encuesta ciudadana de percepción</w:t>
            </w:r>
          </w:p>
        </w:tc>
        <w:tc>
          <w:tcPr>
            <w:tcW w:w="1380" w:type="dxa"/>
            <w:tcBorders>
              <w:top w:val="nil"/>
              <w:left w:val="nil"/>
              <w:bottom w:val="single" w:sz="4" w:space="0" w:color="auto"/>
              <w:right w:val="single" w:sz="4" w:space="0" w:color="auto"/>
            </w:tcBorders>
            <w:shd w:val="clear" w:color="auto" w:fill="auto"/>
            <w:noWrap/>
            <w:vAlign w:val="center"/>
            <w:hideMark/>
          </w:tcPr>
          <w:p w14:paraId="2C6E67B0"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228CA7C7"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090D32CC"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5A6263BF"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0B99739A"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18F48CE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78CF197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10.000,00 </w:t>
            </w:r>
          </w:p>
        </w:tc>
        <w:tc>
          <w:tcPr>
            <w:tcW w:w="1237" w:type="dxa"/>
            <w:tcBorders>
              <w:top w:val="nil"/>
              <w:left w:val="nil"/>
              <w:bottom w:val="single" w:sz="4" w:space="0" w:color="auto"/>
              <w:right w:val="single" w:sz="4" w:space="0" w:color="auto"/>
            </w:tcBorders>
            <w:shd w:val="clear" w:color="auto" w:fill="auto"/>
            <w:noWrap/>
            <w:vAlign w:val="center"/>
            <w:hideMark/>
          </w:tcPr>
          <w:p w14:paraId="3C11D5DC"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10.000,00 </w:t>
            </w:r>
          </w:p>
        </w:tc>
      </w:tr>
      <w:tr w:rsidR="007B3093" w14:paraId="7B991B50" w14:textId="77777777">
        <w:trPr>
          <w:trHeight w:val="444"/>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043C155D"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COMPONENTE 5. - Diseñar e implementar la estrategia de comunicación de la PGE</w:t>
            </w:r>
          </w:p>
        </w:tc>
        <w:tc>
          <w:tcPr>
            <w:tcW w:w="3312" w:type="dxa"/>
            <w:tcBorders>
              <w:top w:val="nil"/>
              <w:left w:val="nil"/>
              <w:bottom w:val="single" w:sz="4" w:space="0" w:color="auto"/>
              <w:right w:val="single" w:sz="4" w:space="0" w:color="auto"/>
            </w:tcBorders>
            <w:shd w:val="clear" w:color="auto" w:fill="auto"/>
            <w:vAlign w:val="center"/>
            <w:hideMark/>
          </w:tcPr>
          <w:p w14:paraId="100C4EC1" w14:textId="77777777" w:rsidR="007B3093" w:rsidRDefault="00000000">
            <w:pPr>
              <w:spacing w:after="0" w:line="240" w:lineRule="auto"/>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ACTIVIDAD 5.5. - Adquirir equipamiento para comunicación</w:t>
            </w:r>
          </w:p>
        </w:tc>
        <w:tc>
          <w:tcPr>
            <w:tcW w:w="1380" w:type="dxa"/>
            <w:tcBorders>
              <w:top w:val="nil"/>
              <w:left w:val="nil"/>
              <w:bottom w:val="single" w:sz="4" w:space="0" w:color="auto"/>
              <w:right w:val="single" w:sz="4" w:space="0" w:color="auto"/>
            </w:tcBorders>
            <w:shd w:val="clear" w:color="auto" w:fill="auto"/>
            <w:noWrap/>
            <w:vAlign w:val="center"/>
            <w:hideMark/>
          </w:tcPr>
          <w:p w14:paraId="4335FDE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1" w:type="dxa"/>
            <w:tcBorders>
              <w:top w:val="nil"/>
              <w:left w:val="nil"/>
              <w:bottom w:val="single" w:sz="4" w:space="0" w:color="auto"/>
              <w:right w:val="single" w:sz="4" w:space="0" w:color="auto"/>
            </w:tcBorders>
            <w:shd w:val="clear" w:color="auto" w:fill="auto"/>
            <w:noWrap/>
            <w:vAlign w:val="center"/>
            <w:hideMark/>
          </w:tcPr>
          <w:p w14:paraId="095A852D"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49.279,62 </w:t>
            </w:r>
          </w:p>
        </w:tc>
        <w:tc>
          <w:tcPr>
            <w:tcW w:w="1104" w:type="dxa"/>
            <w:tcBorders>
              <w:top w:val="nil"/>
              <w:left w:val="nil"/>
              <w:bottom w:val="single" w:sz="4" w:space="0" w:color="auto"/>
              <w:right w:val="single" w:sz="4" w:space="0" w:color="auto"/>
            </w:tcBorders>
            <w:shd w:val="clear" w:color="auto" w:fill="auto"/>
            <w:noWrap/>
            <w:vAlign w:val="center"/>
            <w:hideMark/>
          </w:tcPr>
          <w:p w14:paraId="70B3C54B"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3BA4C60F"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104" w:type="dxa"/>
            <w:tcBorders>
              <w:top w:val="nil"/>
              <w:left w:val="nil"/>
              <w:bottom w:val="single" w:sz="4" w:space="0" w:color="auto"/>
              <w:right w:val="single" w:sz="4" w:space="0" w:color="auto"/>
            </w:tcBorders>
            <w:shd w:val="clear" w:color="auto" w:fill="auto"/>
            <w:noWrap/>
            <w:vAlign w:val="center"/>
            <w:hideMark/>
          </w:tcPr>
          <w:p w14:paraId="3B4EF202"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42" w:type="dxa"/>
            <w:tcBorders>
              <w:top w:val="nil"/>
              <w:left w:val="nil"/>
              <w:bottom w:val="single" w:sz="4" w:space="0" w:color="auto"/>
              <w:right w:val="single" w:sz="4" w:space="0" w:color="auto"/>
            </w:tcBorders>
            <w:shd w:val="clear" w:color="auto" w:fill="auto"/>
            <w:noWrap/>
            <w:vAlign w:val="center"/>
            <w:hideMark/>
          </w:tcPr>
          <w:p w14:paraId="5EA71848"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970" w:type="dxa"/>
            <w:tcBorders>
              <w:top w:val="nil"/>
              <w:left w:val="nil"/>
              <w:bottom w:val="single" w:sz="4" w:space="0" w:color="auto"/>
              <w:right w:val="single" w:sz="4" w:space="0" w:color="auto"/>
            </w:tcBorders>
            <w:shd w:val="clear" w:color="auto" w:fill="auto"/>
            <w:noWrap/>
            <w:vAlign w:val="center"/>
            <w:hideMark/>
          </w:tcPr>
          <w:p w14:paraId="4B5B6F07"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   </w:t>
            </w:r>
          </w:p>
        </w:tc>
        <w:tc>
          <w:tcPr>
            <w:tcW w:w="1237" w:type="dxa"/>
            <w:tcBorders>
              <w:top w:val="nil"/>
              <w:left w:val="nil"/>
              <w:bottom w:val="single" w:sz="4" w:space="0" w:color="auto"/>
              <w:right w:val="single" w:sz="4" w:space="0" w:color="auto"/>
            </w:tcBorders>
            <w:shd w:val="clear" w:color="auto" w:fill="auto"/>
            <w:noWrap/>
            <w:vAlign w:val="center"/>
            <w:hideMark/>
          </w:tcPr>
          <w:p w14:paraId="0DBF3677" w14:textId="77777777" w:rsidR="007B3093" w:rsidRDefault="00000000">
            <w:pPr>
              <w:spacing w:after="0" w:line="240" w:lineRule="auto"/>
              <w:jc w:val="right"/>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xml:space="preserve">                 49.279,62 </w:t>
            </w:r>
          </w:p>
        </w:tc>
      </w:tr>
      <w:tr w:rsidR="007B3093" w14:paraId="1373C085" w14:textId="77777777">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D315" w14:textId="77777777" w:rsidR="007B3093" w:rsidRDefault="00000000">
            <w:pPr>
              <w:spacing w:after="0" w:line="240" w:lineRule="auto"/>
              <w:jc w:val="center"/>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62E3B2C1" w14:textId="77777777" w:rsidR="007B3093" w:rsidRDefault="00000000">
            <w:pPr>
              <w:spacing w:after="0" w:line="240" w:lineRule="auto"/>
              <w:jc w:val="right"/>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 xml:space="preserve">             14.774,58 </w:t>
            </w:r>
          </w:p>
        </w:tc>
        <w:tc>
          <w:tcPr>
            <w:tcW w:w="1241" w:type="dxa"/>
            <w:tcBorders>
              <w:top w:val="nil"/>
              <w:left w:val="nil"/>
              <w:bottom w:val="single" w:sz="4" w:space="0" w:color="auto"/>
              <w:right w:val="single" w:sz="4" w:space="0" w:color="auto"/>
            </w:tcBorders>
            <w:shd w:val="clear" w:color="auto" w:fill="auto"/>
            <w:noWrap/>
            <w:vAlign w:val="bottom"/>
            <w:hideMark/>
          </w:tcPr>
          <w:p w14:paraId="544D860E" w14:textId="77777777" w:rsidR="007B3093" w:rsidRDefault="00000000">
            <w:pPr>
              <w:spacing w:after="0" w:line="240" w:lineRule="auto"/>
              <w:jc w:val="right"/>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 xml:space="preserve">           263.644,43 </w:t>
            </w:r>
          </w:p>
        </w:tc>
        <w:tc>
          <w:tcPr>
            <w:tcW w:w="1104" w:type="dxa"/>
            <w:tcBorders>
              <w:top w:val="nil"/>
              <w:left w:val="nil"/>
              <w:bottom w:val="single" w:sz="4" w:space="0" w:color="auto"/>
              <w:right w:val="single" w:sz="4" w:space="0" w:color="auto"/>
            </w:tcBorders>
            <w:shd w:val="clear" w:color="auto" w:fill="auto"/>
            <w:noWrap/>
            <w:vAlign w:val="bottom"/>
            <w:hideMark/>
          </w:tcPr>
          <w:p w14:paraId="3D1CAF29" w14:textId="77777777" w:rsidR="007B3093" w:rsidRDefault="00000000">
            <w:pPr>
              <w:spacing w:after="0" w:line="240" w:lineRule="auto"/>
              <w:jc w:val="right"/>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 xml:space="preserve">           621.140,14 </w:t>
            </w:r>
          </w:p>
        </w:tc>
        <w:tc>
          <w:tcPr>
            <w:tcW w:w="1242" w:type="dxa"/>
            <w:tcBorders>
              <w:top w:val="nil"/>
              <w:left w:val="nil"/>
              <w:bottom w:val="single" w:sz="4" w:space="0" w:color="auto"/>
              <w:right w:val="single" w:sz="4" w:space="0" w:color="auto"/>
            </w:tcBorders>
            <w:shd w:val="clear" w:color="auto" w:fill="auto"/>
            <w:noWrap/>
            <w:vAlign w:val="bottom"/>
            <w:hideMark/>
          </w:tcPr>
          <w:p w14:paraId="10789D33" w14:textId="77777777" w:rsidR="007B3093" w:rsidRDefault="00000000">
            <w:pPr>
              <w:spacing w:after="0" w:line="240" w:lineRule="auto"/>
              <w:jc w:val="right"/>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 xml:space="preserve">           808.942,27 </w:t>
            </w:r>
          </w:p>
        </w:tc>
        <w:tc>
          <w:tcPr>
            <w:tcW w:w="1104" w:type="dxa"/>
            <w:tcBorders>
              <w:top w:val="nil"/>
              <w:left w:val="nil"/>
              <w:bottom w:val="single" w:sz="4" w:space="0" w:color="auto"/>
              <w:right w:val="single" w:sz="4" w:space="0" w:color="auto"/>
            </w:tcBorders>
            <w:shd w:val="clear" w:color="auto" w:fill="auto"/>
            <w:noWrap/>
            <w:vAlign w:val="bottom"/>
            <w:hideMark/>
          </w:tcPr>
          <w:p w14:paraId="7E33772E" w14:textId="77777777" w:rsidR="007B3093" w:rsidRDefault="00000000">
            <w:pPr>
              <w:spacing w:after="0" w:line="240" w:lineRule="auto"/>
              <w:jc w:val="right"/>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 xml:space="preserve">           527.411,16 </w:t>
            </w:r>
          </w:p>
        </w:tc>
        <w:tc>
          <w:tcPr>
            <w:tcW w:w="1242" w:type="dxa"/>
            <w:tcBorders>
              <w:top w:val="nil"/>
              <w:left w:val="nil"/>
              <w:bottom w:val="single" w:sz="4" w:space="0" w:color="auto"/>
              <w:right w:val="single" w:sz="4" w:space="0" w:color="auto"/>
            </w:tcBorders>
            <w:shd w:val="clear" w:color="auto" w:fill="auto"/>
            <w:noWrap/>
            <w:vAlign w:val="bottom"/>
            <w:hideMark/>
          </w:tcPr>
          <w:p w14:paraId="17700EC2" w14:textId="77777777" w:rsidR="007B3093" w:rsidRDefault="00000000">
            <w:pPr>
              <w:spacing w:after="0" w:line="240" w:lineRule="auto"/>
              <w:jc w:val="right"/>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 xml:space="preserve">           297.701,90 </w:t>
            </w:r>
          </w:p>
        </w:tc>
        <w:tc>
          <w:tcPr>
            <w:tcW w:w="970" w:type="dxa"/>
            <w:tcBorders>
              <w:top w:val="nil"/>
              <w:left w:val="nil"/>
              <w:bottom w:val="single" w:sz="4" w:space="0" w:color="auto"/>
              <w:right w:val="single" w:sz="4" w:space="0" w:color="auto"/>
            </w:tcBorders>
            <w:shd w:val="clear" w:color="auto" w:fill="auto"/>
            <w:noWrap/>
            <w:vAlign w:val="bottom"/>
            <w:hideMark/>
          </w:tcPr>
          <w:p w14:paraId="40F2E372" w14:textId="77777777" w:rsidR="007B3093" w:rsidRDefault="00000000">
            <w:pPr>
              <w:spacing w:after="0" w:line="240" w:lineRule="auto"/>
              <w:jc w:val="right"/>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 xml:space="preserve">         2.641.181,01 </w:t>
            </w:r>
          </w:p>
        </w:tc>
        <w:tc>
          <w:tcPr>
            <w:tcW w:w="1237" w:type="dxa"/>
            <w:tcBorders>
              <w:top w:val="nil"/>
              <w:left w:val="nil"/>
              <w:bottom w:val="single" w:sz="4" w:space="0" w:color="auto"/>
              <w:right w:val="single" w:sz="4" w:space="0" w:color="auto"/>
            </w:tcBorders>
            <w:shd w:val="clear" w:color="auto" w:fill="auto"/>
            <w:noWrap/>
            <w:vAlign w:val="bottom"/>
            <w:hideMark/>
          </w:tcPr>
          <w:p w14:paraId="410C6461" w14:textId="77777777" w:rsidR="007B3093" w:rsidRDefault="00000000">
            <w:pPr>
              <w:spacing w:after="0" w:line="240" w:lineRule="auto"/>
              <w:jc w:val="right"/>
              <w:rPr>
                <w:rFonts w:ascii="Calibri" w:eastAsia="Times New Roman" w:hAnsi="Calibri" w:cs="Calibri"/>
                <w:b/>
                <w:bCs/>
                <w:color w:val="000000"/>
                <w:sz w:val="14"/>
                <w:szCs w:val="14"/>
                <w:lang w:eastAsia="es-EC"/>
              </w:rPr>
            </w:pPr>
            <w:r>
              <w:rPr>
                <w:rFonts w:ascii="Calibri" w:eastAsia="Times New Roman" w:hAnsi="Calibri" w:cs="Calibri"/>
                <w:b/>
                <w:bCs/>
                <w:color w:val="000000"/>
                <w:sz w:val="14"/>
                <w:szCs w:val="14"/>
                <w:lang w:eastAsia="es-EC"/>
              </w:rPr>
              <w:t xml:space="preserve">           5.174.795,49 </w:t>
            </w:r>
          </w:p>
        </w:tc>
      </w:tr>
    </w:tbl>
    <w:p w14:paraId="5AAD7BA4" w14:textId="77777777" w:rsidR="007B3093" w:rsidRDefault="007B3093">
      <w:pPr>
        <w:pStyle w:val="Prrafodelista"/>
        <w:autoSpaceDE w:val="0"/>
        <w:autoSpaceDN w:val="0"/>
        <w:adjustRightInd w:val="0"/>
        <w:spacing w:after="0" w:line="360" w:lineRule="auto"/>
        <w:ind w:left="360"/>
        <w:jc w:val="center"/>
        <w:rPr>
          <w:rFonts w:cstheme="minorHAnsi"/>
          <w:b/>
          <w:bCs/>
          <w:lang w:eastAsia="es-EC"/>
        </w:rPr>
      </w:pPr>
    </w:p>
    <w:p w14:paraId="4C6D2DCD" w14:textId="77777777" w:rsidR="007B3093" w:rsidRDefault="00000000">
      <w:pPr>
        <w:rPr>
          <w:rFonts w:cstheme="minorHAnsi"/>
          <w:b/>
          <w:bCs/>
          <w:lang w:eastAsia="es-EC"/>
        </w:rPr>
      </w:pPr>
      <w:r>
        <w:rPr>
          <w:lang w:eastAsia="es-EC"/>
        </w:rPr>
        <w:t>Elaboración: EDG PROFIP PGE</w:t>
      </w:r>
    </w:p>
    <w:p w14:paraId="1382E88B" w14:textId="77777777" w:rsidR="007B3093" w:rsidRDefault="00000000">
      <w:pPr>
        <w:rPr>
          <w:rFonts w:cstheme="minorHAnsi"/>
          <w:sz w:val="23"/>
          <w:szCs w:val="23"/>
          <w:lang w:eastAsia="es-EC"/>
        </w:rPr>
        <w:sectPr w:rsidR="007B3093">
          <w:pgSz w:w="16838" w:h="11906" w:orient="landscape"/>
          <w:pgMar w:top="1701" w:right="1417" w:bottom="1701" w:left="1417" w:header="708" w:footer="708" w:gutter="0"/>
          <w:cols w:space="708"/>
          <w:docGrid w:linePitch="360"/>
        </w:sectPr>
      </w:pPr>
      <w:proofErr w:type="gramStart"/>
      <w:r>
        <w:t>Nota.-</w:t>
      </w:r>
      <w:proofErr w:type="gramEnd"/>
      <w:r>
        <w:t xml:space="preserve"> Los valores definidos incluyen IVA.</w:t>
      </w:r>
    </w:p>
    <w:p w14:paraId="201FD286" w14:textId="77777777" w:rsidR="007B3093" w:rsidRDefault="00000000">
      <w:pPr>
        <w:pStyle w:val="Ttulo2"/>
        <w:numPr>
          <w:ilvl w:val="1"/>
          <w:numId w:val="83"/>
        </w:numPr>
        <w:spacing w:before="0" w:line="360" w:lineRule="auto"/>
        <w:ind w:left="567"/>
        <w:rPr>
          <w:rFonts w:asciiTheme="minorHAnsi" w:hAnsiTheme="minorHAnsi" w:cstheme="minorHAnsi"/>
          <w:b/>
          <w:color w:val="auto"/>
          <w:sz w:val="22"/>
          <w:szCs w:val="22"/>
        </w:rPr>
      </w:pPr>
      <w:bookmarkStart w:id="93" w:name="_Toc1089471"/>
      <w:bookmarkStart w:id="94" w:name="_Toc195010103"/>
      <w:r>
        <w:rPr>
          <w:rFonts w:asciiTheme="minorHAnsi" w:hAnsiTheme="minorHAnsi" w:cstheme="minorHAnsi"/>
          <w:b/>
          <w:color w:val="auto"/>
          <w:sz w:val="22"/>
          <w:szCs w:val="22"/>
        </w:rPr>
        <w:lastRenderedPageBreak/>
        <w:t>Hitos por componente</w:t>
      </w:r>
      <w:bookmarkEnd w:id="93"/>
      <w:bookmarkEnd w:id="94"/>
    </w:p>
    <w:p w14:paraId="7FDC10BA" w14:textId="77777777" w:rsidR="007B3093" w:rsidRDefault="00000000">
      <w:pPr>
        <w:pStyle w:val="Prrafodelista"/>
        <w:spacing w:before="120" w:after="120" w:line="360" w:lineRule="auto"/>
        <w:ind w:left="142" w:firstLine="425"/>
        <w:contextualSpacing w:val="0"/>
        <w:jc w:val="both"/>
        <w:rPr>
          <w:rFonts w:cstheme="minorHAnsi"/>
          <w:color w:val="000000"/>
          <w:lang w:eastAsia="es-EC"/>
        </w:rPr>
      </w:pPr>
      <w:r>
        <w:rPr>
          <w:rFonts w:cstheme="minorHAnsi"/>
          <w:color w:val="000000"/>
          <w:lang w:eastAsia="es-EC"/>
        </w:rPr>
        <w:t xml:space="preserve">A continuación, se detallan los hitos en la ejecución del proyecto, detallando su fecha, y el componente y la actividad de la tarea a la que se relaciona la fecha del hito (respecto a lo cual cabe precisar que marca el inicio o fin de la primera o la última de las tareas relacionadas con el hito, de acuerdo con lo que corresponda): </w:t>
      </w:r>
    </w:p>
    <w:p w14:paraId="387ABCA9" w14:textId="77777777" w:rsidR="007B3093" w:rsidRDefault="00000000">
      <w:pPr>
        <w:pStyle w:val="Prrafodelista"/>
        <w:autoSpaceDE w:val="0"/>
        <w:autoSpaceDN w:val="0"/>
        <w:adjustRightInd w:val="0"/>
        <w:spacing w:after="0" w:line="360" w:lineRule="auto"/>
        <w:ind w:left="360"/>
        <w:jc w:val="center"/>
        <w:rPr>
          <w:rFonts w:cstheme="minorHAnsi"/>
          <w:b/>
          <w:bCs/>
          <w:lang w:eastAsia="es-EC"/>
        </w:rPr>
      </w:pPr>
      <w:r>
        <w:rPr>
          <w:rFonts w:cstheme="minorHAnsi"/>
          <w:b/>
          <w:bCs/>
          <w:lang w:eastAsia="es-EC"/>
        </w:rPr>
        <w:t>Tabla No. 39: Hitos por componente</w:t>
      </w:r>
    </w:p>
    <w:tbl>
      <w:tblPr>
        <w:tblW w:w="8784" w:type="dxa"/>
        <w:jc w:val="center"/>
        <w:tblCellMar>
          <w:left w:w="70" w:type="dxa"/>
          <w:right w:w="70" w:type="dxa"/>
        </w:tblCellMar>
        <w:tblLook w:val="04A0" w:firstRow="1" w:lastRow="0" w:firstColumn="1" w:lastColumn="0" w:noHBand="0" w:noVBand="1"/>
      </w:tblPr>
      <w:tblGrid>
        <w:gridCol w:w="3256"/>
        <w:gridCol w:w="867"/>
        <w:gridCol w:w="709"/>
        <w:gridCol w:w="1093"/>
        <w:gridCol w:w="2859"/>
      </w:tblGrid>
      <w:tr w:rsidR="007B3093" w14:paraId="72D47020" w14:textId="77777777">
        <w:trPr>
          <w:trHeight w:val="463"/>
          <w:jc w:val="center"/>
        </w:trPr>
        <w:tc>
          <w:tcPr>
            <w:tcW w:w="3256"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57A47A6E" w14:textId="77777777" w:rsidR="007B3093" w:rsidRDefault="00000000">
            <w:pPr>
              <w:spacing w:after="0" w:line="240" w:lineRule="auto"/>
              <w:jc w:val="center"/>
              <w:rPr>
                <w:rFonts w:ascii="Calibri" w:eastAsia="Times New Roman" w:hAnsi="Calibri" w:cs="Calibri"/>
                <w:color w:val="FFFFFF"/>
                <w:sz w:val="18"/>
                <w:szCs w:val="18"/>
                <w:lang w:eastAsia="es-EC"/>
              </w:rPr>
            </w:pPr>
            <w:r>
              <w:rPr>
                <w:rFonts w:ascii="Calibri" w:eastAsia="Times New Roman" w:hAnsi="Calibri" w:cs="Calibri"/>
                <w:color w:val="FFFFFF"/>
                <w:sz w:val="18"/>
                <w:szCs w:val="18"/>
                <w:lang w:eastAsia="es-EC"/>
              </w:rPr>
              <w:t>Hito</w:t>
            </w:r>
          </w:p>
        </w:tc>
        <w:tc>
          <w:tcPr>
            <w:tcW w:w="583" w:type="dxa"/>
            <w:tcBorders>
              <w:top w:val="single" w:sz="8" w:space="0" w:color="auto"/>
              <w:left w:val="nil"/>
              <w:bottom w:val="single" w:sz="8" w:space="0" w:color="auto"/>
              <w:right w:val="single" w:sz="8" w:space="0" w:color="auto"/>
            </w:tcBorders>
            <w:shd w:val="clear" w:color="000000" w:fill="44546A"/>
            <w:vAlign w:val="center"/>
            <w:hideMark/>
          </w:tcPr>
          <w:p w14:paraId="5BF9C266" w14:textId="77777777" w:rsidR="007B3093" w:rsidRDefault="00000000">
            <w:pPr>
              <w:spacing w:after="0" w:line="240" w:lineRule="auto"/>
              <w:jc w:val="center"/>
              <w:rPr>
                <w:rFonts w:ascii="Calibri" w:eastAsia="Times New Roman" w:hAnsi="Calibri" w:cs="Calibri"/>
                <w:color w:val="FFFFFF"/>
                <w:sz w:val="18"/>
                <w:szCs w:val="18"/>
                <w:lang w:eastAsia="es-EC"/>
              </w:rPr>
            </w:pPr>
            <w:r>
              <w:rPr>
                <w:rFonts w:ascii="Calibri" w:eastAsia="Times New Roman" w:hAnsi="Calibri" w:cs="Calibri"/>
                <w:color w:val="FFFFFF"/>
                <w:sz w:val="18"/>
                <w:szCs w:val="18"/>
                <w:lang w:eastAsia="es-EC"/>
              </w:rPr>
              <w:t>Comienzo</w:t>
            </w:r>
          </w:p>
        </w:tc>
        <w:tc>
          <w:tcPr>
            <w:tcW w:w="709" w:type="dxa"/>
            <w:tcBorders>
              <w:top w:val="single" w:sz="8" w:space="0" w:color="auto"/>
              <w:left w:val="nil"/>
              <w:bottom w:val="single" w:sz="8" w:space="0" w:color="auto"/>
              <w:right w:val="single" w:sz="8" w:space="0" w:color="auto"/>
            </w:tcBorders>
            <w:shd w:val="clear" w:color="000000" w:fill="44546A"/>
            <w:vAlign w:val="center"/>
            <w:hideMark/>
          </w:tcPr>
          <w:p w14:paraId="17A3A73D" w14:textId="77777777" w:rsidR="007B3093" w:rsidRDefault="00000000">
            <w:pPr>
              <w:spacing w:after="0" w:line="240" w:lineRule="auto"/>
              <w:jc w:val="center"/>
              <w:rPr>
                <w:rFonts w:ascii="Calibri" w:eastAsia="Times New Roman" w:hAnsi="Calibri" w:cs="Calibri"/>
                <w:color w:val="FFFFFF"/>
                <w:sz w:val="18"/>
                <w:szCs w:val="18"/>
                <w:lang w:eastAsia="es-EC"/>
              </w:rPr>
            </w:pPr>
            <w:r>
              <w:rPr>
                <w:rFonts w:ascii="Calibri" w:eastAsia="Times New Roman" w:hAnsi="Calibri" w:cs="Calibri"/>
                <w:color w:val="FFFFFF"/>
                <w:sz w:val="18"/>
                <w:szCs w:val="18"/>
                <w:lang w:eastAsia="es-EC"/>
              </w:rPr>
              <w:t>Fin</w:t>
            </w:r>
          </w:p>
        </w:tc>
        <w:tc>
          <w:tcPr>
            <w:tcW w:w="1093" w:type="dxa"/>
            <w:tcBorders>
              <w:top w:val="single" w:sz="8" w:space="0" w:color="auto"/>
              <w:left w:val="nil"/>
              <w:bottom w:val="single" w:sz="8" w:space="0" w:color="auto"/>
              <w:right w:val="single" w:sz="8" w:space="0" w:color="auto"/>
            </w:tcBorders>
            <w:shd w:val="clear" w:color="000000" w:fill="44546A"/>
            <w:vAlign w:val="center"/>
            <w:hideMark/>
          </w:tcPr>
          <w:p w14:paraId="7C537D03" w14:textId="77777777" w:rsidR="007B3093" w:rsidRDefault="00000000">
            <w:pPr>
              <w:spacing w:after="0" w:line="240" w:lineRule="auto"/>
              <w:jc w:val="center"/>
              <w:rPr>
                <w:rFonts w:ascii="Calibri" w:eastAsia="Times New Roman" w:hAnsi="Calibri" w:cs="Calibri"/>
                <w:color w:val="FFFFFF"/>
                <w:sz w:val="18"/>
                <w:szCs w:val="18"/>
                <w:lang w:eastAsia="es-EC"/>
              </w:rPr>
            </w:pPr>
            <w:r>
              <w:rPr>
                <w:rFonts w:ascii="Calibri" w:eastAsia="Times New Roman" w:hAnsi="Calibri" w:cs="Calibri"/>
                <w:color w:val="FFFFFF"/>
                <w:sz w:val="18"/>
                <w:szCs w:val="18"/>
                <w:lang w:eastAsia="es-EC"/>
              </w:rPr>
              <w:t>Componente y Actividad</w:t>
            </w:r>
          </w:p>
        </w:tc>
        <w:tc>
          <w:tcPr>
            <w:tcW w:w="3143" w:type="dxa"/>
            <w:tcBorders>
              <w:top w:val="single" w:sz="8" w:space="0" w:color="auto"/>
              <w:left w:val="nil"/>
              <w:bottom w:val="single" w:sz="8" w:space="0" w:color="auto"/>
              <w:right w:val="single" w:sz="8" w:space="0" w:color="auto"/>
            </w:tcBorders>
            <w:shd w:val="clear" w:color="000000" w:fill="44546A"/>
            <w:vAlign w:val="center"/>
            <w:hideMark/>
          </w:tcPr>
          <w:p w14:paraId="29EFE296" w14:textId="77777777" w:rsidR="007B3093" w:rsidRDefault="00000000">
            <w:pPr>
              <w:spacing w:after="0" w:line="240" w:lineRule="auto"/>
              <w:jc w:val="center"/>
              <w:rPr>
                <w:rFonts w:ascii="Calibri" w:eastAsia="Times New Roman" w:hAnsi="Calibri" w:cs="Calibri"/>
                <w:color w:val="FFFFFF"/>
                <w:sz w:val="18"/>
                <w:szCs w:val="18"/>
                <w:lang w:eastAsia="es-EC"/>
              </w:rPr>
            </w:pPr>
            <w:r>
              <w:rPr>
                <w:rFonts w:ascii="Calibri" w:eastAsia="Times New Roman" w:hAnsi="Calibri" w:cs="Calibri"/>
                <w:color w:val="FFFFFF"/>
                <w:sz w:val="18"/>
                <w:szCs w:val="18"/>
                <w:lang w:eastAsia="es-EC"/>
              </w:rPr>
              <w:t>Nombre de tarea</w:t>
            </w:r>
          </w:p>
        </w:tc>
      </w:tr>
      <w:tr w:rsidR="007B3093" w14:paraId="219390FE" w14:textId="77777777">
        <w:trPr>
          <w:trHeight w:val="439"/>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ADE8172"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Conformación del Equipo de Gestión del Proyecto conforme el ROP del contrato de préstamo 4812</w:t>
            </w:r>
          </w:p>
        </w:tc>
        <w:tc>
          <w:tcPr>
            <w:tcW w:w="583" w:type="dxa"/>
            <w:tcBorders>
              <w:top w:val="single" w:sz="4" w:space="0" w:color="auto"/>
              <w:left w:val="nil"/>
              <w:bottom w:val="single" w:sz="4" w:space="0" w:color="auto"/>
              <w:right w:val="single" w:sz="4" w:space="0" w:color="auto"/>
            </w:tcBorders>
            <w:shd w:val="clear" w:color="auto" w:fill="auto"/>
            <w:noWrap/>
            <w:vAlign w:val="center"/>
            <w:hideMark/>
          </w:tcPr>
          <w:p w14:paraId="2518DC24"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nov-19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C20FDE"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dic-25</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40E799BB"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C1.5</w:t>
            </w:r>
          </w:p>
        </w:tc>
        <w:tc>
          <w:tcPr>
            <w:tcW w:w="3143" w:type="dxa"/>
            <w:tcBorders>
              <w:top w:val="single" w:sz="4" w:space="0" w:color="auto"/>
              <w:left w:val="nil"/>
              <w:bottom w:val="single" w:sz="4" w:space="0" w:color="auto"/>
              <w:right w:val="single" w:sz="4" w:space="0" w:color="auto"/>
            </w:tcBorders>
            <w:shd w:val="clear" w:color="auto" w:fill="auto"/>
            <w:vAlign w:val="center"/>
            <w:hideMark/>
          </w:tcPr>
          <w:p w14:paraId="10016BDC"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Administración del Proyecto</w:t>
            </w:r>
          </w:p>
        </w:tc>
      </w:tr>
      <w:tr w:rsidR="007B3093" w14:paraId="51CE79CC" w14:textId="77777777">
        <w:trPr>
          <w:trHeight w:val="586"/>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52E3159"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Actividades de fortalecimiento de la capacidad de asesoría</w:t>
            </w:r>
          </w:p>
        </w:tc>
        <w:tc>
          <w:tcPr>
            <w:tcW w:w="583" w:type="dxa"/>
            <w:tcBorders>
              <w:top w:val="nil"/>
              <w:left w:val="nil"/>
              <w:bottom w:val="single" w:sz="4" w:space="0" w:color="auto"/>
              <w:right w:val="single" w:sz="4" w:space="0" w:color="auto"/>
            </w:tcBorders>
            <w:shd w:val="clear" w:color="auto" w:fill="auto"/>
            <w:noWrap/>
            <w:vAlign w:val="center"/>
            <w:hideMark/>
          </w:tcPr>
          <w:p w14:paraId="4827EB57"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may-20</w:t>
            </w:r>
          </w:p>
        </w:tc>
        <w:tc>
          <w:tcPr>
            <w:tcW w:w="709" w:type="dxa"/>
            <w:tcBorders>
              <w:top w:val="nil"/>
              <w:left w:val="nil"/>
              <w:bottom w:val="single" w:sz="4" w:space="0" w:color="auto"/>
              <w:right w:val="single" w:sz="4" w:space="0" w:color="auto"/>
            </w:tcBorders>
            <w:shd w:val="clear" w:color="auto" w:fill="auto"/>
            <w:noWrap/>
            <w:vAlign w:val="center"/>
            <w:hideMark/>
          </w:tcPr>
          <w:p w14:paraId="3E7C3170"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jun-25</w:t>
            </w:r>
          </w:p>
        </w:tc>
        <w:tc>
          <w:tcPr>
            <w:tcW w:w="1093" w:type="dxa"/>
            <w:tcBorders>
              <w:top w:val="nil"/>
              <w:left w:val="nil"/>
              <w:bottom w:val="single" w:sz="4" w:space="0" w:color="auto"/>
              <w:right w:val="single" w:sz="4" w:space="0" w:color="auto"/>
            </w:tcBorders>
            <w:shd w:val="clear" w:color="auto" w:fill="auto"/>
            <w:vAlign w:val="center"/>
            <w:hideMark/>
          </w:tcPr>
          <w:p w14:paraId="3D815E71"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C3.2</w:t>
            </w:r>
          </w:p>
        </w:tc>
        <w:tc>
          <w:tcPr>
            <w:tcW w:w="3143" w:type="dxa"/>
            <w:tcBorders>
              <w:top w:val="nil"/>
              <w:left w:val="nil"/>
              <w:bottom w:val="single" w:sz="4" w:space="0" w:color="auto"/>
              <w:right w:val="single" w:sz="4" w:space="0" w:color="auto"/>
            </w:tcBorders>
            <w:shd w:val="clear" w:color="auto" w:fill="auto"/>
            <w:vAlign w:val="center"/>
            <w:hideMark/>
          </w:tcPr>
          <w:p w14:paraId="2710FD34"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Capacitar a organismos del Estado o Municipios para la formulación adecuada de sus consultas.</w:t>
            </w:r>
          </w:p>
        </w:tc>
      </w:tr>
      <w:tr w:rsidR="007B3093" w14:paraId="4210365E" w14:textId="77777777">
        <w:trPr>
          <w:trHeight w:val="43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9237301"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Equipamiento para fortalecer las herramientas de comunicación</w:t>
            </w:r>
          </w:p>
        </w:tc>
        <w:tc>
          <w:tcPr>
            <w:tcW w:w="583" w:type="dxa"/>
            <w:tcBorders>
              <w:top w:val="nil"/>
              <w:left w:val="nil"/>
              <w:bottom w:val="single" w:sz="4" w:space="0" w:color="auto"/>
              <w:right w:val="single" w:sz="4" w:space="0" w:color="auto"/>
            </w:tcBorders>
            <w:shd w:val="clear" w:color="auto" w:fill="auto"/>
            <w:noWrap/>
            <w:vAlign w:val="center"/>
            <w:hideMark/>
          </w:tcPr>
          <w:p w14:paraId="5FFFDCC8"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may-20</w:t>
            </w:r>
          </w:p>
        </w:tc>
        <w:tc>
          <w:tcPr>
            <w:tcW w:w="709" w:type="dxa"/>
            <w:tcBorders>
              <w:top w:val="nil"/>
              <w:left w:val="nil"/>
              <w:bottom w:val="single" w:sz="4" w:space="0" w:color="auto"/>
              <w:right w:val="single" w:sz="4" w:space="0" w:color="auto"/>
            </w:tcBorders>
            <w:shd w:val="clear" w:color="auto" w:fill="auto"/>
            <w:noWrap/>
            <w:vAlign w:val="center"/>
            <w:hideMark/>
          </w:tcPr>
          <w:p w14:paraId="75C5C263"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dic-20</w:t>
            </w:r>
          </w:p>
        </w:tc>
        <w:tc>
          <w:tcPr>
            <w:tcW w:w="1093" w:type="dxa"/>
            <w:tcBorders>
              <w:top w:val="nil"/>
              <w:left w:val="nil"/>
              <w:bottom w:val="single" w:sz="4" w:space="0" w:color="auto"/>
              <w:right w:val="single" w:sz="4" w:space="0" w:color="auto"/>
            </w:tcBorders>
            <w:shd w:val="clear" w:color="auto" w:fill="auto"/>
            <w:vAlign w:val="center"/>
            <w:hideMark/>
          </w:tcPr>
          <w:p w14:paraId="3EBF5916"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C5.5</w:t>
            </w:r>
          </w:p>
        </w:tc>
        <w:tc>
          <w:tcPr>
            <w:tcW w:w="3143" w:type="dxa"/>
            <w:tcBorders>
              <w:top w:val="nil"/>
              <w:left w:val="nil"/>
              <w:bottom w:val="single" w:sz="4" w:space="0" w:color="auto"/>
              <w:right w:val="single" w:sz="4" w:space="0" w:color="auto"/>
            </w:tcBorders>
            <w:shd w:val="clear" w:color="auto" w:fill="auto"/>
            <w:vAlign w:val="center"/>
            <w:hideMark/>
          </w:tcPr>
          <w:p w14:paraId="4DC9640D"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Adquirir equipamiento para comunicación</w:t>
            </w:r>
          </w:p>
        </w:tc>
      </w:tr>
      <w:tr w:rsidR="007B3093" w14:paraId="0BB29FB1" w14:textId="77777777">
        <w:trPr>
          <w:trHeight w:val="272"/>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302805B"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Talleres de Gestión de Cambio</w:t>
            </w:r>
          </w:p>
        </w:tc>
        <w:tc>
          <w:tcPr>
            <w:tcW w:w="583" w:type="dxa"/>
            <w:tcBorders>
              <w:top w:val="nil"/>
              <w:left w:val="nil"/>
              <w:bottom w:val="single" w:sz="4" w:space="0" w:color="auto"/>
              <w:right w:val="single" w:sz="4" w:space="0" w:color="auto"/>
            </w:tcBorders>
            <w:shd w:val="clear" w:color="auto" w:fill="auto"/>
            <w:noWrap/>
            <w:vAlign w:val="center"/>
            <w:hideMark/>
          </w:tcPr>
          <w:p w14:paraId="1202CC1F"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jun-20</w:t>
            </w:r>
          </w:p>
        </w:tc>
        <w:tc>
          <w:tcPr>
            <w:tcW w:w="709" w:type="dxa"/>
            <w:tcBorders>
              <w:top w:val="nil"/>
              <w:left w:val="nil"/>
              <w:bottom w:val="single" w:sz="4" w:space="0" w:color="auto"/>
              <w:right w:val="single" w:sz="4" w:space="0" w:color="auto"/>
            </w:tcBorders>
            <w:shd w:val="clear" w:color="auto" w:fill="auto"/>
            <w:noWrap/>
            <w:vAlign w:val="center"/>
            <w:hideMark/>
          </w:tcPr>
          <w:p w14:paraId="105D896C"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oct-25</w:t>
            </w:r>
          </w:p>
        </w:tc>
        <w:tc>
          <w:tcPr>
            <w:tcW w:w="1093" w:type="dxa"/>
            <w:tcBorders>
              <w:top w:val="nil"/>
              <w:left w:val="nil"/>
              <w:bottom w:val="single" w:sz="4" w:space="0" w:color="auto"/>
              <w:right w:val="single" w:sz="4" w:space="0" w:color="auto"/>
            </w:tcBorders>
            <w:shd w:val="clear" w:color="auto" w:fill="auto"/>
            <w:vAlign w:val="center"/>
            <w:hideMark/>
          </w:tcPr>
          <w:p w14:paraId="6F6DBBA3"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C1.2</w:t>
            </w:r>
          </w:p>
        </w:tc>
        <w:tc>
          <w:tcPr>
            <w:tcW w:w="3143" w:type="dxa"/>
            <w:tcBorders>
              <w:top w:val="nil"/>
              <w:left w:val="nil"/>
              <w:bottom w:val="single" w:sz="4" w:space="0" w:color="auto"/>
              <w:right w:val="single" w:sz="4" w:space="0" w:color="auto"/>
            </w:tcBorders>
            <w:shd w:val="clear" w:color="auto" w:fill="auto"/>
            <w:vAlign w:val="center"/>
            <w:hideMark/>
          </w:tcPr>
          <w:p w14:paraId="5FC46063"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Implementar el Plan de gestión del cambio</w:t>
            </w:r>
          </w:p>
        </w:tc>
      </w:tr>
      <w:tr w:rsidR="007B3093" w14:paraId="305273FB" w14:textId="77777777">
        <w:trPr>
          <w:trHeight w:val="463"/>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EA50817"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Actividades de capacitación especializada</w:t>
            </w:r>
          </w:p>
        </w:tc>
        <w:tc>
          <w:tcPr>
            <w:tcW w:w="583" w:type="dxa"/>
            <w:tcBorders>
              <w:top w:val="nil"/>
              <w:left w:val="nil"/>
              <w:bottom w:val="single" w:sz="4" w:space="0" w:color="auto"/>
              <w:right w:val="single" w:sz="4" w:space="0" w:color="auto"/>
            </w:tcBorders>
            <w:shd w:val="clear" w:color="auto" w:fill="auto"/>
            <w:noWrap/>
            <w:vAlign w:val="center"/>
            <w:hideMark/>
          </w:tcPr>
          <w:p w14:paraId="7C343C6F"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jun-20</w:t>
            </w:r>
          </w:p>
        </w:tc>
        <w:tc>
          <w:tcPr>
            <w:tcW w:w="709" w:type="dxa"/>
            <w:tcBorders>
              <w:top w:val="nil"/>
              <w:left w:val="nil"/>
              <w:bottom w:val="single" w:sz="4" w:space="0" w:color="auto"/>
              <w:right w:val="single" w:sz="4" w:space="0" w:color="auto"/>
            </w:tcBorders>
            <w:shd w:val="clear" w:color="auto" w:fill="auto"/>
            <w:noWrap/>
            <w:vAlign w:val="center"/>
            <w:hideMark/>
          </w:tcPr>
          <w:p w14:paraId="7AFF659B"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Jun-25</w:t>
            </w:r>
          </w:p>
        </w:tc>
        <w:tc>
          <w:tcPr>
            <w:tcW w:w="1093" w:type="dxa"/>
            <w:tcBorders>
              <w:top w:val="nil"/>
              <w:left w:val="nil"/>
              <w:bottom w:val="single" w:sz="4" w:space="0" w:color="auto"/>
              <w:right w:val="single" w:sz="4" w:space="0" w:color="auto"/>
            </w:tcBorders>
            <w:shd w:val="clear" w:color="auto" w:fill="auto"/>
            <w:vAlign w:val="center"/>
            <w:hideMark/>
          </w:tcPr>
          <w:p w14:paraId="32E9F21B"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C2.1</w:t>
            </w:r>
          </w:p>
        </w:tc>
        <w:tc>
          <w:tcPr>
            <w:tcW w:w="3143" w:type="dxa"/>
            <w:tcBorders>
              <w:top w:val="nil"/>
              <w:left w:val="nil"/>
              <w:bottom w:val="single" w:sz="4" w:space="0" w:color="auto"/>
              <w:right w:val="single" w:sz="4" w:space="0" w:color="auto"/>
            </w:tcBorders>
            <w:shd w:val="clear" w:color="auto" w:fill="auto"/>
            <w:vAlign w:val="center"/>
            <w:hideMark/>
          </w:tcPr>
          <w:p w14:paraId="53F9C6F4"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Capacitar a los funcionarios de la PGE en temas jurídicos y gestión de casos orales</w:t>
            </w:r>
          </w:p>
        </w:tc>
      </w:tr>
      <w:tr w:rsidR="007B3093" w14:paraId="3A6814F2" w14:textId="77777777">
        <w:trPr>
          <w:trHeight w:val="6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63828E4"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Modelo de Gestión Institucional</w:t>
            </w:r>
          </w:p>
        </w:tc>
        <w:tc>
          <w:tcPr>
            <w:tcW w:w="583" w:type="dxa"/>
            <w:tcBorders>
              <w:top w:val="nil"/>
              <w:left w:val="nil"/>
              <w:bottom w:val="single" w:sz="4" w:space="0" w:color="auto"/>
              <w:right w:val="single" w:sz="4" w:space="0" w:color="auto"/>
            </w:tcBorders>
            <w:shd w:val="clear" w:color="auto" w:fill="auto"/>
            <w:noWrap/>
            <w:vAlign w:val="center"/>
            <w:hideMark/>
          </w:tcPr>
          <w:p w14:paraId="1385A253"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nov-20</w:t>
            </w:r>
          </w:p>
        </w:tc>
        <w:tc>
          <w:tcPr>
            <w:tcW w:w="709" w:type="dxa"/>
            <w:tcBorders>
              <w:top w:val="nil"/>
              <w:left w:val="nil"/>
              <w:bottom w:val="single" w:sz="4" w:space="0" w:color="auto"/>
              <w:right w:val="single" w:sz="4" w:space="0" w:color="auto"/>
            </w:tcBorders>
            <w:shd w:val="clear" w:color="auto" w:fill="auto"/>
            <w:noWrap/>
            <w:vAlign w:val="center"/>
            <w:hideMark/>
          </w:tcPr>
          <w:p w14:paraId="08B1086C"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jul-22</w:t>
            </w:r>
          </w:p>
        </w:tc>
        <w:tc>
          <w:tcPr>
            <w:tcW w:w="1093" w:type="dxa"/>
            <w:tcBorders>
              <w:top w:val="nil"/>
              <w:left w:val="nil"/>
              <w:bottom w:val="single" w:sz="4" w:space="0" w:color="auto"/>
              <w:right w:val="single" w:sz="4" w:space="0" w:color="auto"/>
            </w:tcBorders>
            <w:shd w:val="clear" w:color="auto" w:fill="auto"/>
            <w:vAlign w:val="center"/>
            <w:hideMark/>
          </w:tcPr>
          <w:p w14:paraId="0A9CC88A"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C1.1</w:t>
            </w:r>
          </w:p>
        </w:tc>
        <w:tc>
          <w:tcPr>
            <w:tcW w:w="3143" w:type="dxa"/>
            <w:tcBorders>
              <w:top w:val="nil"/>
              <w:left w:val="nil"/>
              <w:bottom w:val="single" w:sz="4" w:space="0" w:color="auto"/>
              <w:right w:val="single" w:sz="4" w:space="0" w:color="auto"/>
            </w:tcBorders>
            <w:shd w:val="clear" w:color="auto" w:fill="auto"/>
            <w:vAlign w:val="center"/>
            <w:hideMark/>
          </w:tcPr>
          <w:p w14:paraId="3BC61D8A"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Realizar un diagnóstico situacional en profundidad, propuesta de modelo de gestión e instrumentos para su redefinición.</w:t>
            </w:r>
          </w:p>
        </w:tc>
      </w:tr>
      <w:tr w:rsidR="007B3093" w14:paraId="266FC8C0" w14:textId="77777777">
        <w:trPr>
          <w:trHeight w:val="386"/>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5F84B46"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Estrategia de Comunicación Institucional</w:t>
            </w:r>
          </w:p>
        </w:tc>
        <w:tc>
          <w:tcPr>
            <w:tcW w:w="583" w:type="dxa"/>
            <w:tcBorders>
              <w:top w:val="nil"/>
              <w:left w:val="nil"/>
              <w:bottom w:val="single" w:sz="4" w:space="0" w:color="auto"/>
              <w:right w:val="single" w:sz="4" w:space="0" w:color="auto"/>
            </w:tcBorders>
            <w:shd w:val="clear" w:color="auto" w:fill="auto"/>
            <w:noWrap/>
            <w:vAlign w:val="center"/>
            <w:hideMark/>
          </w:tcPr>
          <w:p w14:paraId="616CA195"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may-21</w:t>
            </w:r>
          </w:p>
        </w:tc>
        <w:tc>
          <w:tcPr>
            <w:tcW w:w="709" w:type="dxa"/>
            <w:tcBorders>
              <w:top w:val="nil"/>
              <w:left w:val="nil"/>
              <w:bottom w:val="single" w:sz="4" w:space="0" w:color="auto"/>
              <w:right w:val="single" w:sz="4" w:space="0" w:color="auto"/>
            </w:tcBorders>
            <w:shd w:val="clear" w:color="auto" w:fill="auto"/>
            <w:noWrap/>
            <w:vAlign w:val="center"/>
            <w:hideMark/>
          </w:tcPr>
          <w:p w14:paraId="1F7FB336"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oct-21</w:t>
            </w:r>
          </w:p>
        </w:tc>
        <w:tc>
          <w:tcPr>
            <w:tcW w:w="1093" w:type="dxa"/>
            <w:tcBorders>
              <w:top w:val="nil"/>
              <w:left w:val="nil"/>
              <w:bottom w:val="single" w:sz="4" w:space="0" w:color="auto"/>
              <w:right w:val="single" w:sz="4" w:space="0" w:color="auto"/>
            </w:tcBorders>
            <w:shd w:val="clear" w:color="auto" w:fill="auto"/>
            <w:vAlign w:val="center"/>
            <w:hideMark/>
          </w:tcPr>
          <w:p w14:paraId="010AEF8B"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C5.1</w:t>
            </w:r>
          </w:p>
        </w:tc>
        <w:tc>
          <w:tcPr>
            <w:tcW w:w="3143" w:type="dxa"/>
            <w:tcBorders>
              <w:top w:val="nil"/>
              <w:left w:val="nil"/>
              <w:bottom w:val="single" w:sz="4" w:space="0" w:color="auto"/>
              <w:right w:val="single" w:sz="4" w:space="0" w:color="auto"/>
            </w:tcBorders>
            <w:shd w:val="clear" w:color="auto" w:fill="auto"/>
            <w:vAlign w:val="center"/>
            <w:hideMark/>
          </w:tcPr>
          <w:p w14:paraId="1B946191"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Diseñar una estrategia de comunicación</w:t>
            </w:r>
          </w:p>
        </w:tc>
      </w:tr>
      <w:tr w:rsidR="007B3093" w14:paraId="79647A23" w14:textId="77777777">
        <w:trPr>
          <w:trHeight w:val="601"/>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9754142"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Manuales de defensa jurídica</w:t>
            </w:r>
          </w:p>
        </w:tc>
        <w:tc>
          <w:tcPr>
            <w:tcW w:w="583" w:type="dxa"/>
            <w:tcBorders>
              <w:top w:val="nil"/>
              <w:left w:val="nil"/>
              <w:bottom w:val="single" w:sz="4" w:space="0" w:color="auto"/>
              <w:right w:val="single" w:sz="4" w:space="0" w:color="auto"/>
            </w:tcBorders>
            <w:shd w:val="clear" w:color="auto" w:fill="auto"/>
            <w:noWrap/>
            <w:vAlign w:val="center"/>
            <w:hideMark/>
          </w:tcPr>
          <w:p w14:paraId="12555875"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jun-21</w:t>
            </w:r>
          </w:p>
        </w:tc>
        <w:tc>
          <w:tcPr>
            <w:tcW w:w="709" w:type="dxa"/>
            <w:tcBorders>
              <w:top w:val="nil"/>
              <w:left w:val="nil"/>
              <w:bottom w:val="single" w:sz="4" w:space="0" w:color="auto"/>
              <w:right w:val="single" w:sz="4" w:space="0" w:color="auto"/>
            </w:tcBorders>
            <w:shd w:val="clear" w:color="auto" w:fill="auto"/>
            <w:noWrap/>
            <w:vAlign w:val="center"/>
            <w:hideMark/>
          </w:tcPr>
          <w:p w14:paraId="6F2F49AB"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oct-22</w:t>
            </w:r>
          </w:p>
        </w:tc>
        <w:tc>
          <w:tcPr>
            <w:tcW w:w="1093" w:type="dxa"/>
            <w:tcBorders>
              <w:top w:val="nil"/>
              <w:left w:val="nil"/>
              <w:bottom w:val="single" w:sz="4" w:space="0" w:color="auto"/>
              <w:right w:val="single" w:sz="4" w:space="0" w:color="auto"/>
            </w:tcBorders>
            <w:shd w:val="clear" w:color="auto" w:fill="auto"/>
            <w:vAlign w:val="center"/>
            <w:hideMark/>
          </w:tcPr>
          <w:p w14:paraId="042A206B"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C2.3</w:t>
            </w:r>
          </w:p>
        </w:tc>
        <w:tc>
          <w:tcPr>
            <w:tcW w:w="3143" w:type="dxa"/>
            <w:tcBorders>
              <w:top w:val="nil"/>
              <w:left w:val="nil"/>
              <w:bottom w:val="single" w:sz="4" w:space="0" w:color="auto"/>
              <w:right w:val="single" w:sz="4" w:space="0" w:color="auto"/>
            </w:tcBorders>
            <w:shd w:val="clear" w:color="auto" w:fill="auto"/>
            <w:vAlign w:val="center"/>
            <w:hideMark/>
          </w:tcPr>
          <w:p w14:paraId="5F2A6B55"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Elaborar protocolos y guías para la coordinación interinstitucional para la defensa de casos.</w:t>
            </w:r>
          </w:p>
        </w:tc>
      </w:tr>
      <w:tr w:rsidR="007B3093" w14:paraId="534927D8" w14:textId="77777777">
        <w:trPr>
          <w:trHeight w:val="26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EAE7DE3"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Productos comunicacionales</w:t>
            </w:r>
          </w:p>
        </w:tc>
        <w:tc>
          <w:tcPr>
            <w:tcW w:w="583" w:type="dxa"/>
            <w:tcBorders>
              <w:top w:val="nil"/>
              <w:left w:val="nil"/>
              <w:bottom w:val="single" w:sz="4" w:space="0" w:color="auto"/>
              <w:right w:val="single" w:sz="4" w:space="0" w:color="auto"/>
            </w:tcBorders>
            <w:shd w:val="clear" w:color="auto" w:fill="auto"/>
            <w:noWrap/>
            <w:vAlign w:val="center"/>
            <w:hideMark/>
          </w:tcPr>
          <w:p w14:paraId="272039F8"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sep-21</w:t>
            </w:r>
          </w:p>
        </w:tc>
        <w:tc>
          <w:tcPr>
            <w:tcW w:w="709" w:type="dxa"/>
            <w:tcBorders>
              <w:top w:val="nil"/>
              <w:left w:val="nil"/>
              <w:bottom w:val="single" w:sz="4" w:space="0" w:color="auto"/>
              <w:right w:val="single" w:sz="4" w:space="0" w:color="auto"/>
            </w:tcBorders>
            <w:shd w:val="clear" w:color="auto" w:fill="auto"/>
            <w:noWrap/>
            <w:vAlign w:val="center"/>
            <w:hideMark/>
          </w:tcPr>
          <w:p w14:paraId="1A5CA408"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dic-22</w:t>
            </w:r>
          </w:p>
        </w:tc>
        <w:tc>
          <w:tcPr>
            <w:tcW w:w="1093" w:type="dxa"/>
            <w:tcBorders>
              <w:top w:val="nil"/>
              <w:left w:val="nil"/>
              <w:bottom w:val="single" w:sz="4" w:space="0" w:color="auto"/>
              <w:right w:val="single" w:sz="4" w:space="0" w:color="auto"/>
            </w:tcBorders>
            <w:shd w:val="clear" w:color="auto" w:fill="auto"/>
            <w:vAlign w:val="center"/>
            <w:hideMark/>
          </w:tcPr>
          <w:p w14:paraId="6F0D7E93"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C5.3</w:t>
            </w:r>
          </w:p>
        </w:tc>
        <w:tc>
          <w:tcPr>
            <w:tcW w:w="3143" w:type="dxa"/>
            <w:tcBorders>
              <w:top w:val="nil"/>
              <w:left w:val="nil"/>
              <w:bottom w:val="single" w:sz="4" w:space="0" w:color="auto"/>
              <w:right w:val="single" w:sz="4" w:space="0" w:color="auto"/>
            </w:tcBorders>
            <w:shd w:val="clear" w:color="auto" w:fill="auto"/>
            <w:vAlign w:val="center"/>
            <w:hideMark/>
          </w:tcPr>
          <w:p w14:paraId="73BDCC07"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Desarrollar materiales de difusión</w:t>
            </w:r>
          </w:p>
        </w:tc>
      </w:tr>
      <w:tr w:rsidR="007B3093" w14:paraId="21BB73F4" w14:textId="77777777">
        <w:trPr>
          <w:trHeight w:val="4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88A7AB0"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Equipos Tecnológicos para la institución</w:t>
            </w:r>
          </w:p>
        </w:tc>
        <w:tc>
          <w:tcPr>
            <w:tcW w:w="583" w:type="dxa"/>
            <w:tcBorders>
              <w:top w:val="nil"/>
              <w:left w:val="nil"/>
              <w:bottom w:val="single" w:sz="4" w:space="0" w:color="auto"/>
              <w:right w:val="single" w:sz="4" w:space="0" w:color="auto"/>
            </w:tcBorders>
            <w:shd w:val="clear" w:color="auto" w:fill="auto"/>
            <w:noWrap/>
            <w:vAlign w:val="center"/>
            <w:hideMark/>
          </w:tcPr>
          <w:p w14:paraId="33917706"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nov-21</w:t>
            </w:r>
          </w:p>
        </w:tc>
        <w:tc>
          <w:tcPr>
            <w:tcW w:w="709" w:type="dxa"/>
            <w:tcBorders>
              <w:top w:val="nil"/>
              <w:left w:val="nil"/>
              <w:bottom w:val="single" w:sz="4" w:space="0" w:color="auto"/>
              <w:right w:val="single" w:sz="4" w:space="0" w:color="auto"/>
            </w:tcBorders>
            <w:shd w:val="clear" w:color="auto" w:fill="auto"/>
            <w:noWrap/>
            <w:vAlign w:val="center"/>
            <w:hideMark/>
          </w:tcPr>
          <w:p w14:paraId="6E8FE6C9"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abr-25</w:t>
            </w:r>
          </w:p>
        </w:tc>
        <w:tc>
          <w:tcPr>
            <w:tcW w:w="1093" w:type="dxa"/>
            <w:tcBorders>
              <w:top w:val="nil"/>
              <w:left w:val="nil"/>
              <w:bottom w:val="single" w:sz="4" w:space="0" w:color="auto"/>
              <w:right w:val="single" w:sz="4" w:space="0" w:color="auto"/>
            </w:tcBorders>
            <w:shd w:val="clear" w:color="auto" w:fill="auto"/>
            <w:vAlign w:val="center"/>
            <w:hideMark/>
          </w:tcPr>
          <w:p w14:paraId="2195A369"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C1.4</w:t>
            </w:r>
          </w:p>
        </w:tc>
        <w:tc>
          <w:tcPr>
            <w:tcW w:w="3143" w:type="dxa"/>
            <w:tcBorders>
              <w:top w:val="nil"/>
              <w:left w:val="nil"/>
              <w:bottom w:val="single" w:sz="4" w:space="0" w:color="auto"/>
              <w:right w:val="single" w:sz="4" w:space="0" w:color="auto"/>
            </w:tcBorders>
            <w:shd w:val="clear" w:color="auto" w:fill="auto"/>
            <w:vAlign w:val="center"/>
            <w:hideMark/>
          </w:tcPr>
          <w:p w14:paraId="04AAA653"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Fortalecer el Hardware para soportar el nuevo sistema integrado</w:t>
            </w:r>
          </w:p>
        </w:tc>
      </w:tr>
      <w:tr w:rsidR="007B3093" w14:paraId="6DE29FCB" w14:textId="77777777">
        <w:trPr>
          <w:trHeight w:val="483"/>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F5C1B27"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Actividades de fortalecimiento en jurisprudencia internacional</w:t>
            </w:r>
          </w:p>
        </w:tc>
        <w:tc>
          <w:tcPr>
            <w:tcW w:w="583" w:type="dxa"/>
            <w:tcBorders>
              <w:top w:val="nil"/>
              <w:left w:val="nil"/>
              <w:bottom w:val="single" w:sz="4" w:space="0" w:color="auto"/>
              <w:right w:val="single" w:sz="4" w:space="0" w:color="auto"/>
            </w:tcBorders>
            <w:shd w:val="clear" w:color="auto" w:fill="auto"/>
            <w:noWrap/>
            <w:vAlign w:val="center"/>
            <w:hideMark/>
          </w:tcPr>
          <w:p w14:paraId="7B8A73E4"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nov-21</w:t>
            </w:r>
          </w:p>
        </w:tc>
        <w:tc>
          <w:tcPr>
            <w:tcW w:w="709" w:type="dxa"/>
            <w:tcBorders>
              <w:top w:val="nil"/>
              <w:left w:val="nil"/>
              <w:bottom w:val="single" w:sz="4" w:space="0" w:color="auto"/>
              <w:right w:val="single" w:sz="4" w:space="0" w:color="auto"/>
            </w:tcBorders>
            <w:shd w:val="clear" w:color="auto" w:fill="auto"/>
            <w:noWrap/>
            <w:vAlign w:val="center"/>
            <w:hideMark/>
          </w:tcPr>
          <w:p w14:paraId="098CF209"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feb-22</w:t>
            </w:r>
          </w:p>
        </w:tc>
        <w:tc>
          <w:tcPr>
            <w:tcW w:w="1093" w:type="dxa"/>
            <w:tcBorders>
              <w:top w:val="nil"/>
              <w:left w:val="nil"/>
              <w:bottom w:val="single" w:sz="4" w:space="0" w:color="auto"/>
              <w:right w:val="single" w:sz="4" w:space="0" w:color="auto"/>
            </w:tcBorders>
            <w:shd w:val="clear" w:color="auto" w:fill="auto"/>
            <w:vAlign w:val="center"/>
            <w:hideMark/>
          </w:tcPr>
          <w:p w14:paraId="7F2DEEA6"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C2.2</w:t>
            </w:r>
          </w:p>
        </w:tc>
        <w:tc>
          <w:tcPr>
            <w:tcW w:w="3143" w:type="dxa"/>
            <w:tcBorders>
              <w:top w:val="nil"/>
              <w:left w:val="nil"/>
              <w:bottom w:val="single" w:sz="4" w:space="0" w:color="auto"/>
              <w:right w:val="single" w:sz="4" w:space="0" w:color="auto"/>
            </w:tcBorders>
            <w:shd w:val="clear" w:color="auto" w:fill="auto"/>
            <w:vAlign w:val="center"/>
            <w:hideMark/>
          </w:tcPr>
          <w:p w14:paraId="20295D07"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Brindar una capacitación especializada en jurisprudencia internacional</w:t>
            </w:r>
          </w:p>
        </w:tc>
      </w:tr>
      <w:tr w:rsidR="007B3093" w14:paraId="57C5576D" w14:textId="77777777">
        <w:trPr>
          <w:trHeight w:val="463"/>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A192F2D"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Licencias de acceso a bases especializadas</w:t>
            </w:r>
          </w:p>
        </w:tc>
        <w:tc>
          <w:tcPr>
            <w:tcW w:w="583" w:type="dxa"/>
            <w:tcBorders>
              <w:top w:val="nil"/>
              <w:left w:val="nil"/>
              <w:bottom w:val="single" w:sz="4" w:space="0" w:color="auto"/>
              <w:right w:val="single" w:sz="4" w:space="0" w:color="auto"/>
            </w:tcBorders>
            <w:shd w:val="clear" w:color="auto" w:fill="auto"/>
            <w:noWrap/>
            <w:vAlign w:val="center"/>
            <w:hideMark/>
          </w:tcPr>
          <w:p w14:paraId="233391B7"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may-22</w:t>
            </w:r>
          </w:p>
        </w:tc>
        <w:tc>
          <w:tcPr>
            <w:tcW w:w="709" w:type="dxa"/>
            <w:tcBorders>
              <w:top w:val="nil"/>
              <w:left w:val="nil"/>
              <w:bottom w:val="single" w:sz="4" w:space="0" w:color="auto"/>
              <w:right w:val="single" w:sz="4" w:space="0" w:color="auto"/>
            </w:tcBorders>
            <w:shd w:val="clear" w:color="auto" w:fill="auto"/>
            <w:noWrap/>
            <w:vAlign w:val="center"/>
            <w:hideMark/>
          </w:tcPr>
          <w:p w14:paraId="0C69CE15"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jul-22</w:t>
            </w:r>
          </w:p>
        </w:tc>
        <w:tc>
          <w:tcPr>
            <w:tcW w:w="1093" w:type="dxa"/>
            <w:tcBorders>
              <w:top w:val="nil"/>
              <w:left w:val="nil"/>
              <w:bottom w:val="single" w:sz="4" w:space="0" w:color="auto"/>
              <w:right w:val="single" w:sz="4" w:space="0" w:color="auto"/>
            </w:tcBorders>
            <w:shd w:val="clear" w:color="auto" w:fill="auto"/>
            <w:vAlign w:val="center"/>
            <w:hideMark/>
          </w:tcPr>
          <w:p w14:paraId="5213C2BC"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C2.4</w:t>
            </w:r>
          </w:p>
        </w:tc>
        <w:tc>
          <w:tcPr>
            <w:tcW w:w="3143" w:type="dxa"/>
            <w:tcBorders>
              <w:top w:val="nil"/>
              <w:left w:val="nil"/>
              <w:bottom w:val="single" w:sz="4" w:space="0" w:color="auto"/>
              <w:right w:val="single" w:sz="4" w:space="0" w:color="auto"/>
            </w:tcBorders>
            <w:shd w:val="clear" w:color="auto" w:fill="auto"/>
            <w:vAlign w:val="center"/>
            <w:hideMark/>
          </w:tcPr>
          <w:p w14:paraId="5B228E99"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Obtener acceso a bases de datos especializadas en temas jurídicos.</w:t>
            </w:r>
          </w:p>
        </w:tc>
      </w:tr>
      <w:tr w:rsidR="007B3093" w14:paraId="3CA0DB70" w14:textId="77777777">
        <w:trPr>
          <w:trHeight w:val="528"/>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8B7D441"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Centros de Mediación readecuados</w:t>
            </w:r>
          </w:p>
        </w:tc>
        <w:tc>
          <w:tcPr>
            <w:tcW w:w="583" w:type="dxa"/>
            <w:tcBorders>
              <w:top w:val="nil"/>
              <w:left w:val="nil"/>
              <w:bottom w:val="single" w:sz="4" w:space="0" w:color="auto"/>
              <w:right w:val="single" w:sz="4" w:space="0" w:color="auto"/>
            </w:tcBorders>
            <w:shd w:val="clear" w:color="auto" w:fill="auto"/>
            <w:noWrap/>
            <w:vAlign w:val="center"/>
            <w:hideMark/>
          </w:tcPr>
          <w:p w14:paraId="4F568B6B"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may-22</w:t>
            </w:r>
          </w:p>
        </w:tc>
        <w:tc>
          <w:tcPr>
            <w:tcW w:w="709" w:type="dxa"/>
            <w:tcBorders>
              <w:top w:val="nil"/>
              <w:left w:val="nil"/>
              <w:bottom w:val="single" w:sz="4" w:space="0" w:color="auto"/>
              <w:right w:val="single" w:sz="4" w:space="0" w:color="auto"/>
            </w:tcBorders>
            <w:shd w:val="clear" w:color="auto" w:fill="auto"/>
            <w:noWrap/>
            <w:vAlign w:val="center"/>
            <w:hideMark/>
          </w:tcPr>
          <w:p w14:paraId="462F5E7D"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ag-25</w:t>
            </w:r>
          </w:p>
        </w:tc>
        <w:tc>
          <w:tcPr>
            <w:tcW w:w="1093" w:type="dxa"/>
            <w:tcBorders>
              <w:top w:val="nil"/>
              <w:left w:val="nil"/>
              <w:bottom w:val="single" w:sz="4" w:space="0" w:color="auto"/>
              <w:right w:val="single" w:sz="4" w:space="0" w:color="auto"/>
            </w:tcBorders>
            <w:shd w:val="clear" w:color="auto" w:fill="auto"/>
            <w:vAlign w:val="center"/>
            <w:hideMark/>
          </w:tcPr>
          <w:p w14:paraId="2248BA5A"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C4.1</w:t>
            </w:r>
          </w:p>
        </w:tc>
        <w:tc>
          <w:tcPr>
            <w:tcW w:w="3143" w:type="dxa"/>
            <w:tcBorders>
              <w:top w:val="nil"/>
              <w:left w:val="nil"/>
              <w:bottom w:val="single" w:sz="4" w:space="0" w:color="auto"/>
              <w:right w:val="single" w:sz="4" w:space="0" w:color="auto"/>
            </w:tcBorders>
            <w:shd w:val="clear" w:color="auto" w:fill="auto"/>
            <w:vAlign w:val="center"/>
            <w:hideMark/>
          </w:tcPr>
          <w:p w14:paraId="5B21D979"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Readecuar los espacios de los centros de mediación.</w:t>
            </w:r>
          </w:p>
        </w:tc>
      </w:tr>
      <w:tr w:rsidR="007B3093" w14:paraId="4F1CBE89" w14:textId="77777777">
        <w:trPr>
          <w:trHeight w:val="907"/>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20F216C"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Implementación y capacitación de una plataforma de gestión de aprendizaje</w:t>
            </w:r>
          </w:p>
        </w:tc>
        <w:tc>
          <w:tcPr>
            <w:tcW w:w="583" w:type="dxa"/>
            <w:tcBorders>
              <w:top w:val="nil"/>
              <w:left w:val="nil"/>
              <w:bottom w:val="single" w:sz="4" w:space="0" w:color="auto"/>
              <w:right w:val="single" w:sz="4" w:space="0" w:color="auto"/>
            </w:tcBorders>
            <w:shd w:val="clear" w:color="auto" w:fill="auto"/>
            <w:noWrap/>
            <w:vAlign w:val="center"/>
            <w:hideMark/>
          </w:tcPr>
          <w:p w14:paraId="1981D586"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jun-22</w:t>
            </w:r>
          </w:p>
        </w:tc>
        <w:tc>
          <w:tcPr>
            <w:tcW w:w="709" w:type="dxa"/>
            <w:tcBorders>
              <w:top w:val="nil"/>
              <w:left w:val="nil"/>
              <w:bottom w:val="single" w:sz="4" w:space="0" w:color="auto"/>
              <w:right w:val="single" w:sz="4" w:space="0" w:color="auto"/>
            </w:tcBorders>
            <w:shd w:val="clear" w:color="auto" w:fill="auto"/>
            <w:noWrap/>
            <w:vAlign w:val="center"/>
            <w:hideMark/>
          </w:tcPr>
          <w:p w14:paraId="24E92C62"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oct-25</w:t>
            </w:r>
          </w:p>
        </w:tc>
        <w:tc>
          <w:tcPr>
            <w:tcW w:w="1093" w:type="dxa"/>
            <w:tcBorders>
              <w:top w:val="nil"/>
              <w:left w:val="nil"/>
              <w:bottom w:val="single" w:sz="4" w:space="0" w:color="auto"/>
              <w:right w:val="single" w:sz="4" w:space="0" w:color="auto"/>
            </w:tcBorders>
            <w:shd w:val="clear" w:color="auto" w:fill="auto"/>
            <w:vAlign w:val="center"/>
            <w:hideMark/>
          </w:tcPr>
          <w:p w14:paraId="205866A6"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C3.1</w:t>
            </w:r>
          </w:p>
        </w:tc>
        <w:tc>
          <w:tcPr>
            <w:tcW w:w="3143" w:type="dxa"/>
            <w:tcBorders>
              <w:top w:val="nil"/>
              <w:left w:val="nil"/>
              <w:bottom w:val="single" w:sz="4" w:space="0" w:color="auto"/>
              <w:right w:val="single" w:sz="4" w:space="0" w:color="auto"/>
            </w:tcBorders>
            <w:shd w:val="clear" w:color="auto" w:fill="auto"/>
            <w:vAlign w:val="center"/>
            <w:hideMark/>
          </w:tcPr>
          <w:p w14:paraId="7A66A6DF"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Generar el sistema informático, lineamientos y metodología para brindar asesoría Legal a Organismos del Estado para no infringir los marcos normativos y para desarrollar una defensa óptima.</w:t>
            </w:r>
          </w:p>
        </w:tc>
      </w:tr>
      <w:tr w:rsidR="007B3093" w14:paraId="7EF66B9B" w14:textId="77777777">
        <w:trPr>
          <w:trHeight w:val="473"/>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CC65B9F"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Contar con un Sistema Integrado Implementado</w:t>
            </w:r>
          </w:p>
        </w:tc>
        <w:tc>
          <w:tcPr>
            <w:tcW w:w="583" w:type="dxa"/>
            <w:tcBorders>
              <w:top w:val="nil"/>
              <w:left w:val="nil"/>
              <w:bottom w:val="single" w:sz="4" w:space="0" w:color="auto"/>
              <w:right w:val="single" w:sz="4" w:space="0" w:color="auto"/>
            </w:tcBorders>
            <w:shd w:val="clear" w:color="auto" w:fill="auto"/>
            <w:noWrap/>
            <w:vAlign w:val="center"/>
            <w:hideMark/>
          </w:tcPr>
          <w:p w14:paraId="00B5B20A"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nov-22</w:t>
            </w:r>
          </w:p>
        </w:tc>
        <w:tc>
          <w:tcPr>
            <w:tcW w:w="709" w:type="dxa"/>
            <w:tcBorders>
              <w:top w:val="nil"/>
              <w:left w:val="nil"/>
              <w:bottom w:val="single" w:sz="4" w:space="0" w:color="auto"/>
              <w:right w:val="single" w:sz="4" w:space="0" w:color="auto"/>
            </w:tcBorders>
            <w:shd w:val="clear" w:color="auto" w:fill="auto"/>
            <w:noWrap/>
            <w:vAlign w:val="center"/>
            <w:hideMark/>
          </w:tcPr>
          <w:p w14:paraId="557BE3DA"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nov-25</w:t>
            </w:r>
          </w:p>
        </w:tc>
        <w:tc>
          <w:tcPr>
            <w:tcW w:w="1093" w:type="dxa"/>
            <w:tcBorders>
              <w:top w:val="nil"/>
              <w:left w:val="nil"/>
              <w:bottom w:val="single" w:sz="4" w:space="0" w:color="auto"/>
              <w:right w:val="single" w:sz="4" w:space="0" w:color="auto"/>
            </w:tcBorders>
            <w:shd w:val="clear" w:color="auto" w:fill="auto"/>
            <w:vAlign w:val="center"/>
            <w:hideMark/>
          </w:tcPr>
          <w:p w14:paraId="0CE10136"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C1.3</w:t>
            </w:r>
          </w:p>
        </w:tc>
        <w:tc>
          <w:tcPr>
            <w:tcW w:w="3143" w:type="dxa"/>
            <w:tcBorders>
              <w:top w:val="nil"/>
              <w:left w:val="nil"/>
              <w:bottom w:val="single" w:sz="4" w:space="0" w:color="auto"/>
              <w:right w:val="single" w:sz="4" w:space="0" w:color="auto"/>
            </w:tcBorders>
            <w:shd w:val="clear" w:color="auto" w:fill="auto"/>
            <w:vAlign w:val="center"/>
            <w:hideMark/>
          </w:tcPr>
          <w:p w14:paraId="2EF8197C"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Implementar un Sistema Informático Integrado</w:t>
            </w:r>
          </w:p>
        </w:tc>
      </w:tr>
      <w:tr w:rsidR="007B3093" w14:paraId="0CFBD61C" w14:textId="77777777">
        <w:trPr>
          <w:trHeight w:val="473"/>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E8B170A"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Actividades de fortalecimiento en comunicación</w:t>
            </w:r>
          </w:p>
        </w:tc>
        <w:tc>
          <w:tcPr>
            <w:tcW w:w="583" w:type="dxa"/>
            <w:tcBorders>
              <w:top w:val="nil"/>
              <w:left w:val="nil"/>
              <w:bottom w:val="single" w:sz="4" w:space="0" w:color="auto"/>
              <w:right w:val="single" w:sz="4" w:space="0" w:color="auto"/>
            </w:tcBorders>
            <w:shd w:val="clear" w:color="auto" w:fill="auto"/>
            <w:noWrap/>
            <w:vAlign w:val="center"/>
            <w:hideMark/>
          </w:tcPr>
          <w:p w14:paraId="48FFACAE"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ene-24</w:t>
            </w:r>
          </w:p>
        </w:tc>
        <w:tc>
          <w:tcPr>
            <w:tcW w:w="709" w:type="dxa"/>
            <w:tcBorders>
              <w:top w:val="nil"/>
              <w:left w:val="nil"/>
              <w:bottom w:val="single" w:sz="4" w:space="0" w:color="auto"/>
              <w:right w:val="single" w:sz="4" w:space="0" w:color="auto"/>
            </w:tcBorders>
            <w:shd w:val="clear" w:color="auto" w:fill="auto"/>
            <w:noWrap/>
            <w:vAlign w:val="center"/>
            <w:hideMark/>
          </w:tcPr>
          <w:p w14:paraId="13906515"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ag-25</w:t>
            </w:r>
          </w:p>
        </w:tc>
        <w:tc>
          <w:tcPr>
            <w:tcW w:w="1093" w:type="dxa"/>
            <w:tcBorders>
              <w:top w:val="nil"/>
              <w:left w:val="nil"/>
              <w:bottom w:val="single" w:sz="4" w:space="0" w:color="auto"/>
              <w:right w:val="single" w:sz="4" w:space="0" w:color="auto"/>
            </w:tcBorders>
            <w:shd w:val="clear" w:color="auto" w:fill="auto"/>
            <w:vAlign w:val="center"/>
            <w:hideMark/>
          </w:tcPr>
          <w:p w14:paraId="25829040"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C5.2</w:t>
            </w:r>
          </w:p>
        </w:tc>
        <w:tc>
          <w:tcPr>
            <w:tcW w:w="3143" w:type="dxa"/>
            <w:tcBorders>
              <w:top w:val="nil"/>
              <w:left w:val="nil"/>
              <w:bottom w:val="single" w:sz="4" w:space="0" w:color="auto"/>
              <w:right w:val="single" w:sz="4" w:space="0" w:color="auto"/>
            </w:tcBorders>
            <w:shd w:val="clear" w:color="auto" w:fill="auto"/>
            <w:vAlign w:val="center"/>
            <w:hideMark/>
          </w:tcPr>
          <w:p w14:paraId="1CE4B4E1"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Capacitar en herramientas de comunicación</w:t>
            </w:r>
          </w:p>
        </w:tc>
      </w:tr>
      <w:tr w:rsidR="007B3093" w14:paraId="3FCF02D4" w14:textId="77777777">
        <w:trPr>
          <w:trHeight w:val="236"/>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451B6C1" w14:textId="77777777" w:rsidR="007B3093" w:rsidRDefault="00000000">
            <w:pPr>
              <w:spacing w:after="0" w:line="240" w:lineRule="auto"/>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Encuesta final de percepción</w:t>
            </w:r>
          </w:p>
        </w:tc>
        <w:tc>
          <w:tcPr>
            <w:tcW w:w="583" w:type="dxa"/>
            <w:tcBorders>
              <w:top w:val="nil"/>
              <w:left w:val="nil"/>
              <w:bottom w:val="single" w:sz="4" w:space="0" w:color="auto"/>
              <w:right w:val="single" w:sz="4" w:space="0" w:color="auto"/>
            </w:tcBorders>
            <w:shd w:val="clear" w:color="auto" w:fill="auto"/>
            <w:noWrap/>
            <w:vAlign w:val="center"/>
            <w:hideMark/>
          </w:tcPr>
          <w:p w14:paraId="3DDCE800"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ene-24</w:t>
            </w:r>
          </w:p>
        </w:tc>
        <w:tc>
          <w:tcPr>
            <w:tcW w:w="709" w:type="dxa"/>
            <w:tcBorders>
              <w:top w:val="nil"/>
              <w:left w:val="nil"/>
              <w:bottom w:val="single" w:sz="4" w:space="0" w:color="auto"/>
              <w:right w:val="single" w:sz="4" w:space="0" w:color="auto"/>
            </w:tcBorders>
            <w:shd w:val="clear" w:color="auto" w:fill="auto"/>
            <w:noWrap/>
            <w:vAlign w:val="center"/>
            <w:hideMark/>
          </w:tcPr>
          <w:p w14:paraId="5EBD1254" w14:textId="77777777" w:rsidR="007B3093" w:rsidRDefault="00000000">
            <w:pPr>
              <w:spacing w:after="0" w:line="240" w:lineRule="auto"/>
              <w:jc w:val="center"/>
              <w:rPr>
                <w:rFonts w:ascii="Calibri" w:eastAsia="Times New Roman" w:hAnsi="Calibri" w:cs="Calibri"/>
                <w:color w:val="000000"/>
                <w:sz w:val="18"/>
                <w:szCs w:val="18"/>
                <w:lang w:eastAsia="es-EC"/>
              </w:rPr>
            </w:pPr>
            <w:r>
              <w:rPr>
                <w:rFonts w:ascii="Calibri" w:eastAsia="Times New Roman" w:hAnsi="Calibri" w:cs="Calibri"/>
                <w:color w:val="000000"/>
                <w:sz w:val="18"/>
                <w:szCs w:val="18"/>
                <w:lang w:eastAsia="es-EC"/>
              </w:rPr>
              <w:t>nov-25</w:t>
            </w:r>
          </w:p>
        </w:tc>
        <w:tc>
          <w:tcPr>
            <w:tcW w:w="1093" w:type="dxa"/>
            <w:tcBorders>
              <w:top w:val="nil"/>
              <w:left w:val="nil"/>
              <w:bottom w:val="single" w:sz="4" w:space="0" w:color="auto"/>
              <w:right w:val="single" w:sz="4" w:space="0" w:color="auto"/>
            </w:tcBorders>
            <w:shd w:val="clear" w:color="auto" w:fill="auto"/>
            <w:vAlign w:val="center"/>
            <w:hideMark/>
          </w:tcPr>
          <w:p w14:paraId="1675018D" w14:textId="77777777" w:rsidR="007B3093" w:rsidRDefault="00000000">
            <w:pPr>
              <w:spacing w:after="0" w:line="240" w:lineRule="auto"/>
              <w:jc w:val="center"/>
              <w:rPr>
                <w:rFonts w:ascii="Calibri" w:eastAsia="Times New Roman" w:hAnsi="Calibri" w:cs="Calibri"/>
                <w:sz w:val="18"/>
                <w:szCs w:val="18"/>
                <w:lang w:eastAsia="es-EC"/>
              </w:rPr>
            </w:pPr>
            <w:r>
              <w:rPr>
                <w:rFonts w:ascii="Calibri" w:eastAsia="Times New Roman" w:hAnsi="Calibri" w:cs="Calibri"/>
                <w:sz w:val="18"/>
                <w:szCs w:val="18"/>
                <w:lang w:eastAsia="es-EC"/>
              </w:rPr>
              <w:t>C5.4</w:t>
            </w:r>
          </w:p>
        </w:tc>
        <w:tc>
          <w:tcPr>
            <w:tcW w:w="3143" w:type="dxa"/>
            <w:tcBorders>
              <w:top w:val="nil"/>
              <w:left w:val="nil"/>
              <w:bottom w:val="single" w:sz="4" w:space="0" w:color="auto"/>
              <w:right w:val="single" w:sz="4" w:space="0" w:color="auto"/>
            </w:tcBorders>
            <w:shd w:val="clear" w:color="auto" w:fill="auto"/>
            <w:vAlign w:val="center"/>
            <w:hideMark/>
          </w:tcPr>
          <w:p w14:paraId="21C93A51" w14:textId="77777777" w:rsidR="007B3093" w:rsidRDefault="00000000">
            <w:pPr>
              <w:spacing w:after="0" w:line="240" w:lineRule="auto"/>
              <w:rPr>
                <w:rFonts w:ascii="Calibri" w:eastAsia="Times New Roman" w:hAnsi="Calibri" w:cs="Calibri"/>
                <w:sz w:val="18"/>
                <w:szCs w:val="18"/>
                <w:lang w:eastAsia="es-EC"/>
              </w:rPr>
            </w:pPr>
            <w:r>
              <w:rPr>
                <w:rFonts w:ascii="Calibri" w:eastAsia="Times New Roman" w:hAnsi="Calibri" w:cs="Calibri"/>
                <w:sz w:val="18"/>
                <w:szCs w:val="18"/>
                <w:lang w:eastAsia="es-EC"/>
              </w:rPr>
              <w:t>Realizar una encuesta ciudadana de percepción</w:t>
            </w:r>
          </w:p>
        </w:tc>
      </w:tr>
    </w:tbl>
    <w:p w14:paraId="03AC4AD9" w14:textId="77777777" w:rsidR="007B3093" w:rsidRDefault="00000000">
      <w:pPr>
        <w:pStyle w:val="Prrafodelista"/>
        <w:autoSpaceDE w:val="0"/>
        <w:autoSpaceDN w:val="0"/>
        <w:adjustRightInd w:val="0"/>
        <w:spacing w:after="0" w:line="360" w:lineRule="auto"/>
        <w:ind w:left="360"/>
        <w:rPr>
          <w:rFonts w:cstheme="minorHAnsi"/>
          <w:b/>
          <w:bCs/>
          <w:lang w:eastAsia="es-EC"/>
        </w:rPr>
      </w:pPr>
      <w:r>
        <w:rPr>
          <w:rFonts w:cstheme="minorHAnsi"/>
          <w:b/>
          <w:bCs/>
          <w:lang w:eastAsia="es-EC"/>
        </w:rPr>
        <w:t>Elaboración, EDG PROFIP</w:t>
      </w:r>
    </w:p>
    <w:p w14:paraId="03C0136B" w14:textId="77777777" w:rsidR="007B3093" w:rsidRDefault="007B3093">
      <w:pPr>
        <w:spacing w:after="0" w:line="360" w:lineRule="auto"/>
        <w:sectPr w:rsidR="007B3093">
          <w:pgSz w:w="11906" w:h="16838"/>
          <w:pgMar w:top="1417" w:right="1701" w:bottom="1417" w:left="1701" w:header="708" w:footer="708" w:gutter="0"/>
          <w:cols w:space="708"/>
          <w:docGrid w:linePitch="360"/>
        </w:sectPr>
      </w:pPr>
    </w:p>
    <w:p w14:paraId="7AB5A644" w14:textId="77777777" w:rsidR="007B3093" w:rsidRDefault="00000000">
      <w:pPr>
        <w:pStyle w:val="Ttulo2"/>
        <w:numPr>
          <w:ilvl w:val="1"/>
          <w:numId w:val="83"/>
        </w:numPr>
        <w:spacing w:before="0" w:line="360" w:lineRule="auto"/>
        <w:ind w:left="284"/>
        <w:rPr>
          <w:rFonts w:asciiTheme="minorHAnsi" w:hAnsiTheme="minorHAnsi" w:cstheme="minorHAnsi"/>
          <w:b/>
          <w:color w:val="auto"/>
          <w:sz w:val="22"/>
          <w:szCs w:val="22"/>
        </w:rPr>
      </w:pPr>
      <w:bookmarkStart w:id="95" w:name="_Toc195010104"/>
      <w:r>
        <w:rPr>
          <w:rFonts w:asciiTheme="minorHAnsi" w:hAnsiTheme="minorHAnsi" w:cstheme="minorHAnsi"/>
          <w:b/>
          <w:color w:val="auto"/>
          <w:sz w:val="22"/>
          <w:szCs w:val="22"/>
        </w:rPr>
        <w:lastRenderedPageBreak/>
        <w:t>Demanda pública nacional plurianual</w:t>
      </w:r>
      <w:bookmarkEnd w:id="95"/>
    </w:p>
    <w:p w14:paraId="25B879F6" w14:textId="77777777" w:rsidR="007B3093" w:rsidRDefault="00000000">
      <w:pPr>
        <w:pStyle w:val="Ttulo2"/>
        <w:numPr>
          <w:ilvl w:val="2"/>
          <w:numId w:val="83"/>
        </w:numPr>
        <w:spacing w:before="0" w:line="360" w:lineRule="auto"/>
        <w:ind w:left="851"/>
        <w:rPr>
          <w:rFonts w:asciiTheme="minorHAnsi" w:hAnsiTheme="minorHAnsi" w:cstheme="minorHAnsi"/>
          <w:b/>
          <w:color w:val="auto"/>
          <w:sz w:val="22"/>
          <w:szCs w:val="22"/>
        </w:rPr>
      </w:pPr>
      <w:bookmarkStart w:id="96" w:name="_Toc195010105"/>
      <w:r>
        <w:rPr>
          <w:rFonts w:asciiTheme="minorHAnsi" w:hAnsiTheme="minorHAnsi" w:cstheme="minorHAnsi"/>
          <w:b/>
          <w:color w:val="auto"/>
          <w:sz w:val="22"/>
          <w:szCs w:val="22"/>
        </w:rPr>
        <w:t>Determinación de la demanda pública nacional plurianual</w:t>
      </w:r>
      <w:bookmarkEnd w:id="96"/>
    </w:p>
    <w:p w14:paraId="312BA491" w14:textId="77777777" w:rsidR="007B3093" w:rsidRDefault="00000000">
      <w:pPr>
        <w:pStyle w:val="Prrafodelista"/>
        <w:autoSpaceDE w:val="0"/>
        <w:autoSpaceDN w:val="0"/>
        <w:adjustRightInd w:val="0"/>
        <w:spacing w:after="0" w:line="360" w:lineRule="auto"/>
        <w:ind w:left="360"/>
        <w:jc w:val="center"/>
        <w:rPr>
          <w:rFonts w:cstheme="minorHAnsi"/>
          <w:b/>
          <w:bCs/>
          <w:lang w:eastAsia="es-EC"/>
        </w:rPr>
      </w:pPr>
      <w:r>
        <w:rPr>
          <w:rFonts w:cstheme="minorHAnsi"/>
          <w:b/>
          <w:bCs/>
          <w:lang w:eastAsia="es-EC"/>
        </w:rPr>
        <w:t>Tabla 40: Demanda Pública</w:t>
      </w:r>
    </w:p>
    <w:p w14:paraId="72550C1D" w14:textId="77777777" w:rsidR="007B3093" w:rsidRDefault="007B3093">
      <w:pPr>
        <w:pStyle w:val="Prrafodelista"/>
        <w:autoSpaceDE w:val="0"/>
        <w:autoSpaceDN w:val="0"/>
        <w:adjustRightInd w:val="0"/>
        <w:spacing w:after="0" w:line="360" w:lineRule="auto"/>
        <w:ind w:left="360"/>
        <w:jc w:val="center"/>
        <w:rPr>
          <w:rFonts w:cstheme="minorHAnsi"/>
          <w:b/>
          <w:bCs/>
          <w:lang w:eastAsia="es-EC"/>
        </w:rPr>
      </w:pPr>
    </w:p>
    <w:tbl>
      <w:tblPr>
        <w:tblW w:w="5140" w:type="pct"/>
        <w:tblCellMar>
          <w:left w:w="70" w:type="dxa"/>
          <w:right w:w="70" w:type="dxa"/>
        </w:tblCellMar>
        <w:tblLook w:val="04A0" w:firstRow="1" w:lastRow="0" w:firstColumn="1" w:lastColumn="0" w:noHBand="0" w:noVBand="1"/>
      </w:tblPr>
      <w:tblGrid>
        <w:gridCol w:w="898"/>
        <w:gridCol w:w="935"/>
        <w:gridCol w:w="1643"/>
        <w:gridCol w:w="760"/>
        <w:gridCol w:w="803"/>
        <w:gridCol w:w="915"/>
        <w:gridCol w:w="788"/>
        <w:gridCol w:w="708"/>
        <w:gridCol w:w="840"/>
        <w:gridCol w:w="840"/>
        <w:gridCol w:w="840"/>
        <w:gridCol w:w="840"/>
        <w:gridCol w:w="840"/>
        <w:gridCol w:w="840"/>
        <w:gridCol w:w="849"/>
        <w:gridCol w:w="17"/>
        <w:gridCol w:w="1013"/>
        <w:gridCol w:w="17"/>
      </w:tblGrid>
      <w:tr w:rsidR="007B3093" w14:paraId="05D80C08" w14:textId="77777777">
        <w:trPr>
          <w:trHeight w:val="299"/>
          <w:tblHeader/>
        </w:trPr>
        <w:tc>
          <w:tcPr>
            <w:tcW w:w="5000" w:type="pct"/>
            <w:gridSpan w:val="18"/>
            <w:tcBorders>
              <w:top w:val="single" w:sz="4" w:space="0" w:color="auto"/>
              <w:left w:val="single" w:sz="4" w:space="0" w:color="auto"/>
              <w:bottom w:val="single" w:sz="4" w:space="0" w:color="auto"/>
              <w:right w:val="single" w:sz="4" w:space="0" w:color="auto"/>
            </w:tcBorders>
            <w:shd w:val="clear" w:color="000000" w:fill="203764"/>
            <w:vAlign w:val="center"/>
            <w:hideMark/>
          </w:tcPr>
          <w:p w14:paraId="43BEB2A4"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DEMANDA PÚBLICA PLURIANUAL</w:t>
            </w:r>
          </w:p>
        </w:tc>
      </w:tr>
      <w:tr w:rsidR="007B3093" w14:paraId="46085F19" w14:textId="77777777">
        <w:trPr>
          <w:gridAfter w:val="1"/>
          <w:wAfter w:w="3" w:type="pct"/>
          <w:trHeight w:val="404"/>
          <w:tblHeader/>
        </w:trPr>
        <w:tc>
          <w:tcPr>
            <w:tcW w:w="312" w:type="pct"/>
            <w:vMerge w:val="restart"/>
            <w:tcBorders>
              <w:top w:val="nil"/>
              <w:left w:val="single" w:sz="4" w:space="0" w:color="auto"/>
              <w:bottom w:val="single" w:sz="4" w:space="0" w:color="auto"/>
              <w:right w:val="single" w:sz="4" w:space="0" w:color="auto"/>
            </w:tcBorders>
            <w:shd w:val="clear" w:color="000000" w:fill="203764"/>
            <w:vAlign w:val="center"/>
            <w:hideMark/>
          </w:tcPr>
          <w:p w14:paraId="4C524933"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CÓDIGO CATEGORÍA CPC</w:t>
            </w:r>
          </w:p>
        </w:tc>
        <w:tc>
          <w:tcPr>
            <w:tcW w:w="325" w:type="pct"/>
            <w:vMerge w:val="restart"/>
            <w:tcBorders>
              <w:top w:val="nil"/>
              <w:left w:val="single" w:sz="4" w:space="0" w:color="auto"/>
              <w:bottom w:val="single" w:sz="4" w:space="0" w:color="auto"/>
              <w:right w:val="single" w:sz="4" w:space="0" w:color="auto"/>
            </w:tcBorders>
            <w:shd w:val="clear" w:color="000000" w:fill="203764"/>
            <w:vAlign w:val="center"/>
            <w:hideMark/>
          </w:tcPr>
          <w:p w14:paraId="0BCF0F82"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TIPO COMPRA (Bien, obra o servicio)</w:t>
            </w:r>
          </w:p>
        </w:tc>
        <w:tc>
          <w:tcPr>
            <w:tcW w:w="571" w:type="pct"/>
            <w:vMerge w:val="restart"/>
            <w:tcBorders>
              <w:top w:val="nil"/>
              <w:left w:val="single" w:sz="4" w:space="0" w:color="auto"/>
              <w:bottom w:val="single" w:sz="4" w:space="0" w:color="auto"/>
              <w:right w:val="single" w:sz="4" w:space="0" w:color="auto"/>
            </w:tcBorders>
            <w:shd w:val="clear" w:color="000000" w:fill="203764"/>
            <w:vAlign w:val="center"/>
            <w:hideMark/>
          </w:tcPr>
          <w:p w14:paraId="2192A9DF"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DETALLE DEL PRODUCTO (especificación técnica)</w:t>
            </w:r>
          </w:p>
        </w:tc>
        <w:tc>
          <w:tcPr>
            <w:tcW w:w="264" w:type="pct"/>
            <w:vMerge w:val="restart"/>
            <w:tcBorders>
              <w:top w:val="nil"/>
              <w:left w:val="single" w:sz="4" w:space="0" w:color="auto"/>
              <w:bottom w:val="single" w:sz="4" w:space="0" w:color="auto"/>
              <w:right w:val="single" w:sz="4" w:space="0" w:color="auto"/>
            </w:tcBorders>
            <w:shd w:val="clear" w:color="000000" w:fill="203764"/>
            <w:vAlign w:val="center"/>
            <w:hideMark/>
          </w:tcPr>
          <w:p w14:paraId="128B99F8"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CANTIDAD ANUAL</w:t>
            </w:r>
          </w:p>
        </w:tc>
        <w:tc>
          <w:tcPr>
            <w:tcW w:w="279" w:type="pct"/>
            <w:vMerge w:val="restart"/>
            <w:tcBorders>
              <w:top w:val="nil"/>
              <w:left w:val="single" w:sz="4" w:space="0" w:color="auto"/>
              <w:bottom w:val="single" w:sz="4" w:space="0" w:color="auto"/>
              <w:right w:val="single" w:sz="4" w:space="0" w:color="auto"/>
            </w:tcBorders>
            <w:shd w:val="clear" w:color="000000" w:fill="203764"/>
            <w:vAlign w:val="center"/>
            <w:hideMark/>
          </w:tcPr>
          <w:p w14:paraId="109E7D4A"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UNIDAD (metro, litro, etc.)</w:t>
            </w:r>
          </w:p>
        </w:tc>
        <w:tc>
          <w:tcPr>
            <w:tcW w:w="318" w:type="pct"/>
            <w:vMerge w:val="restart"/>
            <w:tcBorders>
              <w:top w:val="nil"/>
              <w:left w:val="single" w:sz="4" w:space="0" w:color="auto"/>
              <w:bottom w:val="single" w:sz="4" w:space="0" w:color="auto"/>
              <w:right w:val="single" w:sz="4" w:space="0" w:color="auto"/>
            </w:tcBorders>
            <w:shd w:val="clear" w:color="000000" w:fill="203764"/>
            <w:vAlign w:val="center"/>
            <w:hideMark/>
          </w:tcPr>
          <w:p w14:paraId="2B392A38"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COSTO UNITARIO (Dólares)</w:t>
            </w:r>
          </w:p>
        </w:tc>
        <w:tc>
          <w:tcPr>
            <w:tcW w:w="520" w:type="pct"/>
            <w:gridSpan w:val="2"/>
            <w:tcBorders>
              <w:top w:val="single" w:sz="4" w:space="0" w:color="auto"/>
              <w:left w:val="nil"/>
              <w:bottom w:val="single" w:sz="4" w:space="0" w:color="auto"/>
              <w:right w:val="single" w:sz="4" w:space="0" w:color="auto"/>
            </w:tcBorders>
            <w:shd w:val="clear" w:color="000000" w:fill="203764"/>
            <w:vAlign w:val="center"/>
            <w:hideMark/>
          </w:tcPr>
          <w:p w14:paraId="4B1571DF"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Origen de los insumos (USD y %)</w:t>
            </w:r>
          </w:p>
        </w:tc>
        <w:tc>
          <w:tcPr>
            <w:tcW w:w="292" w:type="pct"/>
            <w:vMerge w:val="restart"/>
            <w:tcBorders>
              <w:top w:val="nil"/>
              <w:left w:val="single" w:sz="4" w:space="0" w:color="auto"/>
              <w:bottom w:val="single" w:sz="4" w:space="0" w:color="auto"/>
              <w:right w:val="single" w:sz="4" w:space="0" w:color="auto"/>
            </w:tcBorders>
            <w:shd w:val="clear" w:color="000000" w:fill="203764"/>
            <w:vAlign w:val="center"/>
            <w:hideMark/>
          </w:tcPr>
          <w:p w14:paraId="10BE5573"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2019</w:t>
            </w:r>
          </w:p>
        </w:tc>
        <w:tc>
          <w:tcPr>
            <w:tcW w:w="292" w:type="pct"/>
            <w:vMerge w:val="restart"/>
            <w:tcBorders>
              <w:top w:val="nil"/>
              <w:left w:val="single" w:sz="4" w:space="0" w:color="auto"/>
              <w:bottom w:val="single" w:sz="4" w:space="0" w:color="auto"/>
              <w:right w:val="single" w:sz="4" w:space="0" w:color="auto"/>
            </w:tcBorders>
            <w:shd w:val="clear" w:color="000000" w:fill="203764"/>
            <w:vAlign w:val="center"/>
            <w:hideMark/>
          </w:tcPr>
          <w:p w14:paraId="70E0E3A8"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2020</w:t>
            </w:r>
          </w:p>
        </w:tc>
        <w:tc>
          <w:tcPr>
            <w:tcW w:w="292" w:type="pct"/>
            <w:vMerge w:val="restart"/>
            <w:tcBorders>
              <w:top w:val="nil"/>
              <w:left w:val="single" w:sz="4" w:space="0" w:color="auto"/>
              <w:bottom w:val="single" w:sz="4" w:space="0" w:color="auto"/>
              <w:right w:val="single" w:sz="4" w:space="0" w:color="auto"/>
            </w:tcBorders>
            <w:shd w:val="clear" w:color="000000" w:fill="203764"/>
            <w:vAlign w:val="center"/>
            <w:hideMark/>
          </w:tcPr>
          <w:p w14:paraId="7E8A9DC9"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2021</w:t>
            </w:r>
          </w:p>
        </w:tc>
        <w:tc>
          <w:tcPr>
            <w:tcW w:w="292" w:type="pct"/>
            <w:vMerge w:val="restart"/>
            <w:tcBorders>
              <w:top w:val="nil"/>
              <w:left w:val="single" w:sz="4" w:space="0" w:color="auto"/>
              <w:bottom w:val="single" w:sz="4" w:space="0" w:color="auto"/>
              <w:right w:val="single" w:sz="4" w:space="0" w:color="auto"/>
            </w:tcBorders>
            <w:shd w:val="clear" w:color="000000" w:fill="203764"/>
            <w:vAlign w:val="center"/>
            <w:hideMark/>
          </w:tcPr>
          <w:p w14:paraId="26D42EAB"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2022</w:t>
            </w:r>
          </w:p>
        </w:tc>
        <w:tc>
          <w:tcPr>
            <w:tcW w:w="292" w:type="pct"/>
            <w:vMerge w:val="restart"/>
            <w:tcBorders>
              <w:top w:val="nil"/>
              <w:left w:val="single" w:sz="4" w:space="0" w:color="auto"/>
              <w:bottom w:val="single" w:sz="4" w:space="0" w:color="auto"/>
              <w:right w:val="single" w:sz="4" w:space="0" w:color="auto"/>
            </w:tcBorders>
            <w:shd w:val="clear" w:color="000000" w:fill="203764"/>
            <w:vAlign w:val="center"/>
            <w:hideMark/>
          </w:tcPr>
          <w:p w14:paraId="350F1955"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2023</w:t>
            </w:r>
          </w:p>
        </w:tc>
        <w:tc>
          <w:tcPr>
            <w:tcW w:w="292" w:type="pct"/>
            <w:vMerge w:val="restart"/>
            <w:tcBorders>
              <w:top w:val="nil"/>
              <w:left w:val="single" w:sz="4" w:space="0" w:color="auto"/>
              <w:bottom w:val="single" w:sz="4" w:space="0" w:color="auto"/>
              <w:right w:val="single" w:sz="4" w:space="0" w:color="auto"/>
            </w:tcBorders>
            <w:shd w:val="clear" w:color="000000" w:fill="203764"/>
            <w:vAlign w:val="center"/>
            <w:hideMark/>
          </w:tcPr>
          <w:p w14:paraId="1F4BA919"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2024</w:t>
            </w:r>
          </w:p>
        </w:tc>
        <w:tc>
          <w:tcPr>
            <w:tcW w:w="295" w:type="pct"/>
            <w:vMerge w:val="restart"/>
            <w:tcBorders>
              <w:top w:val="nil"/>
              <w:left w:val="single" w:sz="4" w:space="0" w:color="auto"/>
              <w:bottom w:val="single" w:sz="4" w:space="0" w:color="auto"/>
              <w:right w:val="single" w:sz="4" w:space="0" w:color="auto"/>
            </w:tcBorders>
            <w:shd w:val="clear" w:color="000000" w:fill="203764"/>
            <w:vAlign w:val="center"/>
            <w:hideMark/>
          </w:tcPr>
          <w:p w14:paraId="34A2E80B"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2025</w:t>
            </w:r>
          </w:p>
        </w:tc>
        <w:tc>
          <w:tcPr>
            <w:tcW w:w="358" w:type="pct"/>
            <w:gridSpan w:val="2"/>
            <w:vMerge w:val="restart"/>
            <w:tcBorders>
              <w:top w:val="nil"/>
              <w:left w:val="single" w:sz="4" w:space="0" w:color="auto"/>
              <w:bottom w:val="single" w:sz="4" w:space="0" w:color="000000"/>
              <w:right w:val="single" w:sz="4" w:space="0" w:color="auto"/>
            </w:tcBorders>
            <w:shd w:val="clear" w:color="000000" w:fill="203764"/>
            <w:vAlign w:val="center"/>
            <w:hideMark/>
          </w:tcPr>
          <w:p w14:paraId="68ACBE2B"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TOTAL</w:t>
            </w:r>
          </w:p>
        </w:tc>
      </w:tr>
      <w:tr w:rsidR="007B3093" w14:paraId="51F183BF" w14:textId="77777777">
        <w:trPr>
          <w:gridAfter w:val="1"/>
          <w:wAfter w:w="3" w:type="pct"/>
          <w:trHeight w:val="287"/>
          <w:tblHeader/>
        </w:trPr>
        <w:tc>
          <w:tcPr>
            <w:tcW w:w="312" w:type="pct"/>
            <w:vMerge/>
            <w:tcBorders>
              <w:top w:val="nil"/>
              <w:left w:val="single" w:sz="4" w:space="0" w:color="auto"/>
              <w:bottom w:val="single" w:sz="4" w:space="0" w:color="auto"/>
              <w:right w:val="single" w:sz="4" w:space="0" w:color="auto"/>
            </w:tcBorders>
            <w:vAlign w:val="center"/>
            <w:hideMark/>
          </w:tcPr>
          <w:p w14:paraId="4A351600"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325" w:type="pct"/>
            <w:vMerge/>
            <w:tcBorders>
              <w:top w:val="nil"/>
              <w:left w:val="single" w:sz="4" w:space="0" w:color="auto"/>
              <w:bottom w:val="single" w:sz="4" w:space="0" w:color="auto"/>
              <w:right w:val="single" w:sz="4" w:space="0" w:color="auto"/>
            </w:tcBorders>
            <w:vAlign w:val="center"/>
            <w:hideMark/>
          </w:tcPr>
          <w:p w14:paraId="7199E89F"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571" w:type="pct"/>
            <w:vMerge/>
            <w:tcBorders>
              <w:top w:val="nil"/>
              <w:left w:val="single" w:sz="4" w:space="0" w:color="auto"/>
              <w:bottom w:val="single" w:sz="4" w:space="0" w:color="auto"/>
              <w:right w:val="single" w:sz="4" w:space="0" w:color="auto"/>
            </w:tcBorders>
            <w:vAlign w:val="center"/>
            <w:hideMark/>
          </w:tcPr>
          <w:p w14:paraId="387E07CF"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264" w:type="pct"/>
            <w:vMerge/>
            <w:tcBorders>
              <w:top w:val="nil"/>
              <w:left w:val="single" w:sz="4" w:space="0" w:color="auto"/>
              <w:bottom w:val="single" w:sz="4" w:space="0" w:color="auto"/>
              <w:right w:val="single" w:sz="4" w:space="0" w:color="auto"/>
            </w:tcBorders>
            <w:vAlign w:val="center"/>
            <w:hideMark/>
          </w:tcPr>
          <w:p w14:paraId="55FE6757"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279" w:type="pct"/>
            <w:vMerge/>
            <w:tcBorders>
              <w:top w:val="nil"/>
              <w:left w:val="single" w:sz="4" w:space="0" w:color="auto"/>
              <w:bottom w:val="single" w:sz="4" w:space="0" w:color="auto"/>
              <w:right w:val="single" w:sz="4" w:space="0" w:color="auto"/>
            </w:tcBorders>
            <w:vAlign w:val="center"/>
            <w:hideMark/>
          </w:tcPr>
          <w:p w14:paraId="1BCF57F7"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318" w:type="pct"/>
            <w:vMerge/>
            <w:tcBorders>
              <w:top w:val="nil"/>
              <w:left w:val="single" w:sz="4" w:space="0" w:color="auto"/>
              <w:bottom w:val="single" w:sz="4" w:space="0" w:color="auto"/>
              <w:right w:val="single" w:sz="4" w:space="0" w:color="auto"/>
            </w:tcBorders>
            <w:vAlign w:val="center"/>
            <w:hideMark/>
          </w:tcPr>
          <w:p w14:paraId="7C6E4CA8"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274" w:type="pct"/>
            <w:tcBorders>
              <w:top w:val="nil"/>
              <w:left w:val="nil"/>
              <w:bottom w:val="single" w:sz="4" w:space="0" w:color="auto"/>
              <w:right w:val="single" w:sz="4" w:space="0" w:color="auto"/>
            </w:tcBorders>
            <w:shd w:val="clear" w:color="000000" w:fill="203764"/>
            <w:vAlign w:val="center"/>
            <w:hideMark/>
          </w:tcPr>
          <w:p w14:paraId="2E7FD67F"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NACIONAL</w:t>
            </w:r>
          </w:p>
        </w:tc>
        <w:tc>
          <w:tcPr>
            <w:tcW w:w="246" w:type="pct"/>
            <w:tcBorders>
              <w:top w:val="nil"/>
              <w:left w:val="nil"/>
              <w:bottom w:val="single" w:sz="4" w:space="0" w:color="auto"/>
              <w:right w:val="single" w:sz="4" w:space="0" w:color="auto"/>
            </w:tcBorders>
            <w:shd w:val="clear" w:color="000000" w:fill="203764"/>
            <w:vAlign w:val="center"/>
            <w:hideMark/>
          </w:tcPr>
          <w:p w14:paraId="79549D93"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IMPORT.</w:t>
            </w:r>
          </w:p>
        </w:tc>
        <w:tc>
          <w:tcPr>
            <w:tcW w:w="292" w:type="pct"/>
            <w:vMerge/>
            <w:tcBorders>
              <w:top w:val="nil"/>
              <w:left w:val="single" w:sz="4" w:space="0" w:color="auto"/>
              <w:bottom w:val="single" w:sz="4" w:space="0" w:color="auto"/>
              <w:right w:val="single" w:sz="4" w:space="0" w:color="auto"/>
            </w:tcBorders>
            <w:vAlign w:val="center"/>
            <w:hideMark/>
          </w:tcPr>
          <w:p w14:paraId="3E2E0FA2"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292" w:type="pct"/>
            <w:vMerge/>
            <w:tcBorders>
              <w:top w:val="nil"/>
              <w:left w:val="single" w:sz="4" w:space="0" w:color="auto"/>
              <w:bottom w:val="single" w:sz="4" w:space="0" w:color="auto"/>
              <w:right w:val="single" w:sz="4" w:space="0" w:color="auto"/>
            </w:tcBorders>
            <w:vAlign w:val="center"/>
            <w:hideMark/>
          </w:tcPr>
          <w:p w14:paraId="081A7DD1"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292" w:type="pct"/>
            <w:vMerge/>
            <w:tcBorders>
              <w:top w:val="nil"/>
              <w:left w:val="single" w:sz="4" w:space="0" w:color="auto"/>
              <w:bottom w:val="single" w:sz="4" w:space="0" w:color="auto"/>
              <w:right w:val="single" w:sz="4" w:space="0" w:color="auto"/>
            </w:tcBorders>
            <w:vAlign w:val="center"/>
            <w:hideMark/>
          </w:tcPr>
          <w:p w14:paraId="7B5964BC"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292" w:type="pct"/>
            <w:vMerge/>
            <w:tcBorders>
              <w:top w:val="nil"/>
              <w:left w:val="single" w:sz="4" w:space="0" w:color="auto"/>
              <w:bottom w:val="single" w:sz="4" w:space="0" w:color="auto"/>
              <w:right w:val="single" w:sz="4" w:space="0" w:color="auto"/>
            </w:tcBorders>
            <w:vAlign w:val="center"/>
            <w:hideMark/>
          </w:tcPr>
          <w:p w14:paraId="2F7A67C6"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292" w:type="pct"/>
            <w:vMerge/>
            <w:tcBorders>
              <w:top w:val="nil"/>
              <w:left w:val="single" w:sz="4" w:space="0" w:color="auto"/>
              <w:bottom w:val="single" w:sz="4" w:space="0" w:color="auto"/>
              <w:right w:val="single" w:sz="4" w:space="0" w:color="auto"/>
            </w:tcBorders>
            <w:vAlign w:val="center"/>
            <w:hideMark/>
          </w:tcPr>
          <w:p w14:paraId="05EBEAEE"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292" w:type="pct"/>
            <w:vMerge/>
            <w:tcBorders>
              <w:top w:val="nil"/>
              <w:left w:val="single" w:sz="4" w:space="0" w:color="auto"/>
              <w:bottom w:val="single" w:sz="4" w:space="0" w:color="auto"/>
              <w:right w:val="single" w:sz="4" w:space="0" w:color="auto"/>
            </w:tcBorders>
            <w:vAlign w:val="center"/>
            <w:hideMark/>
          </w:tcPr>
          <w:p w14:paraId="46A05153"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295" w:type="pct"/>
            <w:vMerge/>
            <w:tcBorders>
              <w:top w:val="nil"/>
              <w:left w:val="single" w:sz="4" w:space="0" w:color="auto"/>
              <w:bottom w:val="single" w:sz="4" w:space="0" w:color="auto"/>
              <w:right w:val="single" w:sz="4" w:space="0" w:color="auto"/>
            </w:tcBorders>
            <w:vAlign w:val="center"/>
            <w:hideMark/>
          </w:tcPr>
          <w:p w14:paraId="0F5CC515"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c>
          <w:tcPr>
            <w:tcW w:w="358" w:type="pct"/>
            <w:gridSpan w:val="2"/>
            <w:vMerge/>
            <w:tcBorders>
              <w:top w:val="nil"/>
              <w:left w:val="single" w:sz="4" w:space="0" w:color="auto"/>
              <w:bottom w:val="single" w:sz="4" w:space="0" w:color="000000"/>
              <w:right w:val="single" w:sz="4" w:space="0" w:color="auto"/>
            </w:tcBorders>
            <w:vAlign w:val="center"/>
            <w:hideMark/>
          </w:tcPr>
          <w:p w14:paraId="750167A1" w14:textId="77777777" w:rsidR="007B3093" w:rsidRDefault="007B3093">
            <w:pPr>
              <w:spacing w:after="0" w:line="240" w:lineRule="auto"/>
              <w:rPr>
                <w:rFonts w:ascii="Arial Narrow" w:eastAsia="Times New Roman" w:hAnsi="Arial Narrow" w:cs="Times New Roman"/>
                <w:b/>
                <w:bCs/>
                <w:color w:val="FFFFFF"/>
                <w:sz w:val="14"/>
                <w:szCs w:val="14"/>
                <w:lang w:eastAsia="es-EC"/>
              </w:rPr>
            </w:pPr>
          </w:p>
        </w:tc>
      </w:tr>
      <w:tr w:rsidR="007B3093" w14:paraId="64E08506" w14:textId="77777777">
        <w:trPr>
          <w:gridAfter w:val="1"/>
          <w:wAfter w:w="3" w:type="pct"/>
          <w:trHeight w:val="565"/>
        </w:trPr>
        <w:tc>
          <w:tcPr>
            <w:tcW w:w="312" w:type="pct"/>
            <w:tcBorders>
              <w:top w:val="nil"/>
              <w:left w:val="single" w:sz="4" w:space="0" w:color="auto"/>
              <w:bottom w:val="single" w:sz="4" w:space="0" w:color="auto"/>
              <w:right w:val="single" w:sz="4" w:space="0" w:color="auto"/>
            </w:tcBorders>
            <w:shd w:val="clear" w:color="000000" w:fill="DAE9F8"/>
            <w:vAlign w:val="center"/>
            <w:hideMark/>
          </w:tcPr>
          <w:p w14:paraId="395824C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325" w:type="pct"/>
            <w:tcBorders>
              <w:top w:val="nil"/>
              <w:left w:val="nil"/>
              <w:bottom w:val="single" w:sz="4" w:space="0" w:color="auto"/>
              <w:right w:val="single" w:sz="4" w:space="0" w:color="auto"/>
            </w:tcBorders>
            <w:shd w:val="clear" w:color="000000" w:fill="DAE9F8"/>
            <w:vAlign w:val="center"/>
            <w:hideMark/>
          </w:tcPr>
          <w:p w14:paraId="0586EF5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571" w:type="pct"/>
            <w:tcBorders>
              <w:top w:val="nil"/>
              <w:left w:val="nil"/>
              <w:bottom w:val="single" w:sz="4" w:space="0" w:color="auto"/>
              <w:right w:val="single" w:sz="4" w:space="0" w:color="auto"/>
            </w:tcBorders>
            <w:shd w:val="clear" w:color="000000" w:fill="DAE9F8"/>
            <w:vAlign w:val="center"/>
            <w:hideMark/>
          </w:tcPr>
          <w:p w14:paraId="24977275" w14:textId="77777777" w:rsidR="007B3093" w:rsidRDefault="00000000">
            <w:pPr>
              <w:spacing w:after="0" w:line="240" w:lineRule="auto"/>
              <w:jc w:val="center"/>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C 1: Diseñar e implementar el modelo de gestión de la PGE.</w:t>
            </w:r>
          </w:p>
        </w:tc>
        <w:tc>
          <w:tcPr>
            <w:tcW w:w="264" w:type="pct"/>
            <w:tcBorders>
              <w:top w:val="nil"/>
              <w:left w:val="nil"/>
              <w:bottom w:val="single" w:sz="4" w:space="0" w:color="auto"/>
              <w:right w:val="single" w:sz="4" w:space="0" w:color="auto"/>
            </w:tcBorders>
            <w:shd w:val="clear" w:color="000000" w:fill="DAE9F8"/>
            <w:vAlign w:val="center"/>
            <w:hideMark/>
          </w:tcPr>
          <w:p w14:paraId="610EB44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79" w:type="pct"/>
            <w:tcBorders>
              <w:top w:val="nil"/>
              <w:left w:val="nil"/>
              <w:bottom w:val="single" w:sz="4" w:space="0" w:color="auto"/>
              <w:right w:val="single" w:sz="4" w:space="0" w:color="auto"/>
            </w:tcBorders>
            <w:shd w:val="clear" w:color="000000" w:fill="DAE9F8"/>
            <w:vAlign w:val="center"/>
            <w:hideMark/>
          </w:tcPr>
          <w:p w14:paraId="0C27672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318" w:type="pct"/>
            <w:tcBorders>
              <w:top w:val="nil"/>
              <w:left w:val="nil"/>
              <w:bottom w:val="single" w:sz="4" w:space="0" w:color="auto"/>
              <w:right w:val="single" w:sz="4" w:space="0" w:color="auto"/>
            </w:tcBorders>
            <w:shd w:val="clear" w:color="000000" w:fill="DAE9F8"/>
            <w:vAlign w:val="center"/>
            <w:hideMark/>
          </w:tcPr>
          <w:p w14:paraId="5EAD2F10" w14:textId="77777777" w:rsidR="007B3093" w:rsidRDefault="00000000">
            <w:pPr>
              <w:spacing w:after="0" w:line="240" w:lineRule="auto"/>
              <w:jc w:val="center"/>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4.439.514,02</w:t>
            </w:r>
          </w:p>
        </w:tc>
        <w:tc>
          <w:tcPr>
            <w:tcW w:w="274" w:type="pct"/>
            <w:tcBorders>
              <w:top w:val="nil"/>
              <w:left w:val="nil"/>
              <w:bottom w:val="single" w:sz="4" w:space="0" w:color="auto"/>
              <w:right w:val="single" w:sz="4" w:space="0" w:color="auto"/>
            </w:tcBorders>
            <w:shd w:val="clear" w:color="000000" w:fill="DAE9F8"/>
            <w:vAlign w:val="center"/>
            <w:hideMark/>
          </w:tcPr>
          <w:p w14:paraId="34F3683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46" w:type="pct"/>
            <w:tcBorders>
              <w:top w:val="nil"/>
              <w:left w:val="nil"/>
              <w:bottom w:val="single" w:sz="4" w:space="0" w:color="auto"/>
              <w:right w:val="single" w:sz="4" w:space="0" w:color="auto"/>
            </w:tcBorders>
            <w:shd w:val="clear" w:color="000000" w:fill="DAE9F8"/>
            <w:vAlign w:val="center"/>
            <w:hideMark/>
          </w:tcPr>
          <w:p w14:paraId="78F27D1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09B5DD8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20FF8B5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0691242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0925CC8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0A25473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532ADF5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5" w:type="pct"/>
            <w:tcBorders>
              <w:top w:val="nil"/>
              <w:left w:val="nil"/>
              <w:bottom w:val="single" w:sz="4" w:space="0" w:color="auto"/>
              <w:right w:val="single" w:sz="4" w:space="0" w:color="auto"/>
            </w:tcBorders>
            <w:shd w:val="clear" w:color="000000" w:fill="DAE9F8"/>
            <w:vAlign w:val="center"/>
            <w:hideMark/>
          </w:tcPr>
          <w:p w14:paraId="2EC6702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358" w:type="pct"/>
            <w:gridSpan w:val="2"/>
            <w:tcBorders>
              <w:top w:val="nil"/>
              <w:left w:val="nil"/>
              <w:bottom w:val="single" w:sz="4" w:space="0" w:color="auto"/>
              <w:right w:val="single" w:sz="4" w:space="0" w:color="auto"/>
            </w:tcBorders>
            <w:shd w:val="clear" w:color="000000" w:fill="DAE9F8"/>
            <w:vAlign w:val="center"/>
            <w:hideMark/>
          </w:tcPr>
          <w:p w14:paraId="0DC8A14B" w14:textId="77777777" w:rsidR="007B3093" w:rsidRDefault="00000000">
            <w:pPr>
              <w:spacing w:after="0" w:line="240" w:lineRule="auto"/>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 </w:t>
            </w:r>
          </w:p>
        </w:tc>
      </w:tr>
      <w:tr w:rsidR="007B3093" w14:paraId="67A10840" w14:textId="77777777">
        <w:trPr>
          <w:gridAfter w:val="1"/>
          <w:wAfter w:w="3" w:type="pct"/>
          <w:trHeight w:val="703"/>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145C1BA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83111</w:t>
            </w:r>
          </w:p>
        </w:tc>
        <w:tc>
          <w:tcPr>
            <w:tcW w:w="325" w:type="pct"/>
            <w:tcBorders>
              <w:top w:val="nil"/>
              <w:left w:val="nil"/>
              <w:bottom w:val="single" w:sz="4" w:space="0" w:color="auto"/>
              <w:right w:val="single" w:sz="4" w:space="0" w:color="auto"/>
            </w:tcBorders>
            <w:shd w:val="clear" w:color="auto" w:fill="auto"/>
            <w:vAlign w:val="center"/>
            <w:hideMark/>
          </w:tcPr>
          <w:p w14:paraId="2C9DEC2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4178574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Realizar un diagnóstico situacional en profundidad, propuesta de modelo de gestión e instrumentos para su redefinición.</w:t>
            </w:r>
          </w:p>
        </w:tc>
        <w:tc>
          <w:tcPr>
            <w:tcW w:w="264" w:type="pct"/>
            <w:tcBorders>
              <w:top w:val="nil"/>
              <w:left w:val="nil"/>
              <w:bottom w:val="single" w:sz="4" w:space="0" w:color="auto"/>
              <w:right w:val="single" w:sz="4" w:space="0" w:color="auto"/>
            </w:tcBorders>
            <w:shd w:val="clear" w:color="auto" w:fill="auto"/>
            <w:vAlign w:val="center"/>
            <w:hideMark/>
          </w:tcPr>
          <w:p w14:paraId="40B8F57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12AEAD2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52367F5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789.768,39</w:t>
            </w:r>
          </w:p>
        </w:tc>
        <w:tc>
          <w:tcPr>
            <w:tcW w:w="274" w:type="pct"/>
            <w:tcBorders>
              <w:top w:val="nil"/>
              <w:left w:val="nil"/>
              <w:bottom w:val="single" w:sz="4" w:space="0" w:color="auto"/>
              <w:right w:val="single" w:sz="4" w:space="0" w:color="auto"/>
            </w:tcBorders>
            <w:shd w:val="clear" w:color="auto" w:fill="auto"/>
            <w:vAlign w:val="center"/>
            <w:hideMark/>
          </w:tcPr>
          <w:p w14:paraId="0FC057A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60F008E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739227D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491007A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83.965,52</w:t>
            </w:r>
          </w:p>
        </w:tc>
        <w:tc>
          <w:tcPr>
            <w:tcW w:w="292" w:type="pct"/>
            <w:tcBorders>
              <w:top w:val="nil"/>
              <w:left w:val="nil"/>
              <w:bottom w:val="single" w:sz="4" w:space="0" w:color="auto"/>
              <w:right w:val="single" w:sz="4" w:space="0" w:color="auto"/>
            </w:tcBorders>
            <w:shd w:val="clear" w:color="auto" w:fill="auto"/>
            <w:vAlign w:val="center"/>
            <w:hideMark/>
          </w:tcPr>
          <w:p w14:paraId="070163C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207.829,32</w:t>
            </w:r>
          </w:p>
        </w:tc>
        <w:tc>
          <w:tcPr>
            <w:tcW w:w="292" w:type="pct"/>
            <w:tcBorders>
              <w:top w:val="nil"/>
              <w:left w:val="nil"/>
              <w:bottom w:val="single" w:sz="4" w:space="0" w:color="auto"/>
              <w:right w:val="single" w:sz="4" w:space="0" w:color="auto"/>
            </w:tcBorders>
            <w:shd w:val="clear" w:color="auto" w:fill="auto"/>
            <w:vAlign w:val="center"/>
            <w:hideMark/>
          </w:tcPr>
          <w:p w14:paraId="5B5CF32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487.409,56</w:t>
            </w:r>
          </w:p>
        </w:tc>
        <w:tc>
          <w:tcPr>
            <w:tcW w:w="292" w:type="pct"/>
            <w:tcBorders>
              <w:top w:val="nil"/>
              <w:left w:val="nil"/>
              <w:bottom w:val="single" w:sz="4" w:space="0" w:color="auto"/>
              <w:right w:val="single" w:sz="4" w:space="0" w:color="auto"/>
            </w:tcBorders>
            <w:shd w:val="clear" w:color="auto" w:fill="auto"/>
            <w:vAlign w:val="center"/>
            <w:hideMark/>
          </w:tcPr>
          <w:p w14:paraId="17E7F0D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380E1B6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103E0EF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10.563,99 </w:t>
            </w:r>
          </w:p>
        </w:tc>
        <w:tc>
          <w:tcPr>
            <w:tcW w:w="358" w:type="pct"/>
            <w:gridSpan w:val="2"/>
            <w:tcBorders>
              <w:top w:val="nil"/>
              <w:left w:val="nil"/>
              <w:bottom w:val="single" w:sz="4" w:space="0" w:color="auto"/>
              <w:right w:val="single" w:sz="4" w:space="0" w:color="auto"/>
            </w:tcBorders>
            <w:shd w:val="clear" w:color="auto" w:fill="auto"/>
            <w:vAlign w:val="center"/>
            <w:hideMark/>
          </w:tcPr>
          <w:p w14:paraId="37D0FDB0"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789.768,39</w:t>
            </w:r>
          </w:p>
        </w:tc>
      </w:tr>
      <w:tr w:rsidR="007B3093" w14:paraId="14808E26" w14:textId="77777777">
        <w:trPr>
          <w:gridAfter w:val="1"/>
          <w:wAfter w:w="3" w:type="pct"/>
          <w:trHeight w:val="407"/>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27C66BB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83111</w:t>
            </w:r>
          </w:p>
        </w:tc>
        <w:tc>
          <w:tcPr>
            <w:tcW w:w="325" w:type="pct"/>
            <w:tcBorders>
              <w:top w:val="nil"/>
              <w:left w:val="nil"/>
              <w:bottom w:val="single" w:sz="4" w:space="0" w:color="auto"/>
              <w:right w:val="single" w:sz="4" w:space="0" w:color="auto"/>
            </w:tcBorders>
            <w:shd w:val="clear" w:color="auto" w:fill="auto"/>
            <w:vAlign w:val="center"/>
            <w:hideMark/>
          </w:tcPr>
          <w:p w14:paraId="022058D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2DFC79B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Implementar el Plan de gestión del cambio</w:t>
            </w:r>
          </w:p>
        </w:tc>
        <w:tc>
          <w:tcPr>
            <w:tcW w:w="264" w:type="pct"/>
            <w:tcBorders>
              <w:top w:val="nil"/>
              <w:left w:val="nil"/>
              <w:bottom w:val="single" w:sz="4" w:space="0" w:color="auto"/>
              <w:right w:val="single" w:sz="4" w:space="0" w:color="auto"/>
            </w:tcBorders>
            <w:shd w:val="clear" w:color="auto" w:fill="auto"/>
            <w:vAlign w:val="center"/>
            <w:hideMark/>
          </w:tcPr>
          <w:p w14:paraId="49D5F38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2FECDD5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2CF4DF4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120.070,24</w:t>
            </w:r>
          </w:p>
        </w:tc>
        <w:tc>
          <w:tcPr>
            <w:tcW w:w="274" w:type="pct"/>
            <w:tcBorders>
              <w:top w:val="nil"/>
              <w:left w:val="nil"/>
              <w:bottom w:val="single" w:sz="4" w:space="0" w:color="auto"/>
              <w:right w:val="single" w:sz="4" w:space="0" w:color="auto"/>
            </w:tcBorders>
            <w:shd w:val="clear" w:color="auto" w:fill="auto"/>
            <w:vAlign w:val="center"/>
            <w:hideMark/>
          </w:tcPr>
          <w:p w14:paraId="49274E6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03F6F56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3430FDD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56869B8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23.270,24</w:t>
            </w:r>
          </w:p>
        </w:tc>
        <w:tc>
          <w:tcPr>
            <w:tcW w:w="292" w:type="pct"/>
            <w:tcBorders>
              <w:top w:val="nil"/>
              <w:left w:val="nil"/>
              <w:bottom w:val="single" w:sz="4" w:space="0" w:color="auto"/>
              <w:right w:val="single" w:sz="4" w:space="0" w:color="auto"/>
            </w:tcBorders>
            <w:shd w:val="clear" w:color="auto" w:fill="auto"/>
            <w:vAlign w:val="center"/>
            <w:hideMark/>
          </w:tcPr>
          <w:p w14:paraId="050AAC3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21.840,00</w:t>
            </w:r>
          </w:p>
        </w:tc>
        <w:tc>
          <w:tcPr>
            <w:tcW w:w="292" w:type="pct"/>
            <w:tcBorders>
              <w:top w:val="nil"/>
              <w:left w:val="nil"/>
              <w:bottom w:val="single" w:sz="4" w:space="0" w:color="auto"/>
              <w:right w:val="single" w:sz="4" w:space="0" w:color="auto"/>
            </w:tcBorders>
            <w:shd w:val="clear" w:color="auto" w:fill="auto"/>
            <w:vAlign w:val="center"/>
            <w:hideMark/>
          </w:tcPr>
          <w:p w14:paraId="057DB01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29.960,00</w:t>
            </w:r>
          </w:p>
        </w:tc>
        <w:tc>
          <w:tcPr>
            <w:tcW w:w="292" w:type="pct"/>
            <w:tcBorders>
              <w:top w:val="nil"/>
              <w:left w:val="nil"/>
              <w:bottom w:val="single" w:sz="4" w:space="0" w:color="auto"/>
              <w:right w:val="single" w:sz="4" w:space="0" w:color="auto"/>
            </w:tcBorders>
            <w:shd w:val="clear" w:color="auto" w:fill="auto"/>
            <w:vAlign w:val="center"/>
            <w:hideMark/>
          </w:tcPr>
          <w:p w14:paraId="41D8603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24EF978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0,00</w:t>
            </w:r>
          </w:p>
        </w:tc>
        <w:tc>
          <w:tcPr>
            <w:tcW w:w="295" w:type="pct"/>
            <w:tcBorders>
              <w:top w:val="nil"/>
              <w:left w:val="nil"/>
              <w:bottom w:val="single" w:sz="4" w:space="0" w:color="auto"/>
              <w:right w:val="single" w:sz="4" w:space="0" w:color="auto"/>
            </w:tcBorders>
            <w:shd w:val="clear" w:color="auto" w:fill="auto"/>
            <w:vAlign w:val="center"/>
            <w:hideMark/>
          </w:tcPr>
          <w:p w14:paraId="16954B2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45.000,00 </w:t>
            </w:r>
          </w:p>
        </w:tc>
        <w:tc>
          <w:tcPr>
            <w:tcW w:w="358" w:type="pct"/>
            <w:gridSpan w:val="2"/>
            <w:tcBorders>
              <w:top w:val="nil"/>
              <w:left w:val="nil"/>
              <w:bottom w:val="single" w:sz="4" w:space="0" w:color="auto"/>
              <w:right w:val="single" w:sz="4" w:space="0" w:color="auto"/>
            </w:tcBorders>
            <w:shd w:val="clear" w:color="auto" w:fill="auto"/>
            <w:vAlign w:val="center"/>
            <w:hideMark/>
          </w:tcPr>
          <w:p w14:paraId="7870A540"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120.070,24</w:t>
            </w:r>
          </w:p>
        </w:tc>
      </w:tr>
      <w:tr w:rsidR="007B3093" w14:paraId="10D5AB16" w14:textId="77777777">
        <w:trPr>
          <w:gridAfter w:val="1"/>
          <w:wAfter w:w="3" w:type="pct"/>
          <w:trHeight w:val="324"/>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22DA121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83142</w:t>
            </w:r>
          </w:p>
        </w:tc>
        <w:tc>
          <w:tcPr>
            <w:tcW w:w="325" w:type="pct"/>
            <w:tcBorders>
              <w:top w:val="nil"/>
              <w:left w:val="nil"/>
              <w:bottom w:val="single" w:sz="4" w:space="0" w:color="auto"/>
              <w:right w:val="single" w:sz="4" w:space="0" w:color="auto"/>
            </w:tcBorders>
            <w:shd w:val="clear" w:color="auto" w:fill="auto"/>
            <w:vAlign w:val="center"/>
            <w:hideMark/>
          </w:tcPr>
          <w:p w14:paraId="22F3A38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77D4BF2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Implementar un Sistema Informático Integrado</w:t>
            </w:r>
          </w:p>
        </w:tc>
        <w:tc>
          <w:tcPr>
            <w:tcW w:w="264" w:type="pct"/>
            <w:tcBorders>
              <w:top w:val="nil"/>
              <w:left w:val="nil"/>
              <w:bottom w:val="single" w:sz="4" w:space="0" w:color="auto"/>
              <w:right w:val="single" w:sz="4" w:space="0" w:color="auto"/>
            </w:tcBorders>
            <w:shd w:val="clear" w:color="auto" w:fill="auto"/>
            <w:vAlign w:val="center"/>
            <w:hideMark/>
          </w:tcPr>
          <w:p w14:paraId="37B6A1A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74642CA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4211EA3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2.335.694,44</w:t>
            </w:r>
          </w:p>
        </w:tc>
        <w:tc>
          <w:tcPr>
            <w:tcW w:w="274" w:type="pct"/>
            <w:tcBorders>
              <w:top w:val="nil"/>
              <w:left w:val="nil"/>
              <w:bottom w:val="single" w:sz="4" w:space="0" w:color="auto"/>
              <w:right w:val="single" w:sz="4" w:space="0" w:color="auto"/>
            </w:tcBorders>
            <w:shd w:val="clear" w:color="auto" w:fill="auto"/>
            <w:vAlign w:val="center"/>
            <w:hideMark/>
          </w:tcPr>
          <w:p w14:paraId="4453416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49001AA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240C430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057437C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568C13F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56E7130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79D17F4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111.568,80</w:t>
            </w:r>
          </w:p>
        </w:tc>
        <w:tc>
          <w:tcPr>
            <w:tcW w:w="292" w:type="pct"/>
            <w:tcBorders>
              <w:top w:val="nil"/>
              <w:left w:val="nil"/>
              <w:bottom w:val="single" w:sz="4" w:space="0" w:color="auto"/>
              <w:right w:val="single" w:sz="4" w:space="0" w:color="auto"/>
            </w:tcBorders>
            <w:shd w:val="clear" w:color="auto" w:fill="auto"/>
            <w:vAlign w:val="center"/>
            <w:hideMark/>
          </w:tcPr>
          <w:p w14:paraId="750DC10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229.114,50</w:t>
            </w:r>
          </w:p>
        </w:tc>
        <w:tc>
          <w:tcPr>
            <w:tcW w:w="295" w:type="pct"/>
            <w:tcBorders>
              <w:top w:val="nil"/>
              <w:left w:val="nil"/>
              <w:bottom w:val="single" w:sz="4" w:space="0" w:color="auto"/>
              <w:right w:val="single" w:sz="4" w:space="0" w:color="auto"/>
            </w:tcBorders>
            <w:shd w:val="clear" w:color="auto" w:fill="auto"/>
            <w:vAlign w:val="center"/>
            <w:hideMark/>
          </w:tcPr>
          <w:p w14:paraId="2BB326C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1.995.011,14 </w:t>
            </w:r>
          </w:p>
        </w:tc>
        <w:tc>
          <w:tcPr>
            <w:tcW w:w="358" w:type="pct"/>
            <w:gridSpan w:val="2"/>
            <w:tcBorders>
              <w:top w:val="nil"/>
              <w:left w:val="nil"/>
              <w:bottom w:val="single" w:sz="4" w:space="0" w:color="auto"/>
              <w:right w:val="single" w:sz="4" w:space="0" w:color="auto"/>
            </w:tcBorders>
            <w:shd w:val="clear" w:color="auto" w:fill="auto"/>
            <w:vAlign w:val="center"/>
            <w:hideMark/>
          </w:tcPr>
          <w:p w14:paraId="12E25B4F" w14:textId="41B4066A"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2.335.694,</w:t>
            </w:r>
            <w:r w:rsidR="0065022A">
              <w:rPr>
                <w:rFonts w:ascii="Arial Narrow" w:eastAsia="Times New Roman" w:hAnsi="Arial Narrow" w:cs="Times New Roman"/>
                <w:b/>
                <w:bCs/>
                <w:color w:val="000000"/>
                <w:sz w:val="14"/>
                <w:szCs w:val="14"/>
                <w:lang w:eastAsia="es-EC"/>
              </w:rPr>
              <w:t>51</w:t>
            </w:r>
          </w:p>
        </w:tc>
      </w:tr>
      <w:tr w:rsidR="007B3093" w14:paraId="01EA220B" w14:textId="77777777">
        <w:trPr>
          <w:gridAfter w:val="1"/>
          <w:wAfter w:w="3" w:type="pct"/>
          <w:trHeight w:val="414"/>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7011261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83142</w:t>
            </w:r>
          </w:p>
        </w:tc>
        <w:tc>
          <w:tcPr>
            <w:tcW w:w="325" w:type="pct"/>
            <w:tcBorders>
              <w:top w:val="nil"/>
              <w:left w:val="nil"/>
              <w:bottom w:val="single" w:sz="4" w:space="0" w:color="auto"/>
              <w:right w:val="single" w:sz="4" w:space="0" w:color="auto"/>
            </w:tcBorders>
            <w:shd w:val="clear" w:color="auto" w:fill="auto"/>
            <w:vAlign w:val="center"/>
            <w:hideMark/>
          </w:tcPr>
          <w:p w14:paraId="5CEFE61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Bien</w:t>
            </w:r>
          </w:p>
        </w:tc>
        <w:tc>
          <w:tcPr>
            <w:tcW w:w="571" w:type="pct"/>
            <w:tcBorders>
              <w:top w:val="nil"/>
              <w:left w:val="nil"/>
              <w:bottom w:val="single" w:sz="4" w:space="0" w:color="auto"/>
              <w:right w:val="single" w:sz="4" w:space="0" w:color="auto"/>
            </w:tcBorders>
            <w:shd w:val="clear" w:color="auto" w:fill="auto"/>
            <w:vAlign w:val="center"/>
            <w:hideMark/>
          </w:tcPr>
          <w:p w14:paraId="7A5A41F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Fortalecer el Hardware para soportar el nuevo sistema integrado</w:t>
            </w:r>
          </w:p>
        </w:tc>
        <w:tc>
          <w:tcPr>
            <w:tcW w:w="264" w:type="pct"/>
            <w:tcBorders>
              <w:top w:val="nil"/>
              <w:left w:val="nil"/>
              <w:bottom w:val="single" w:sz="4" w:space="0" w:color="auto"/>
              <w:right w:val="single" w:sz="4" w:space="0" w:color="auto"/>
            </w:tcBorders>
            <w:shd w:val="clear" w:color="auto" w:fill="auto"/>
            <w:vAlign w:val="center"/>
            <w:hideMark/>
          </w:tcPr>
          <w:p w14:paraId="73A088A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70A6467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35E9B25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650.316,88</w:t>
            </w:r>
          </w:p>
        </w:tc>
        <w:tc>
          <w:tcPr>
            <w:tcW w:w="274" w:type="pct"/>
            <w:tcBorders>
              <w:top w:val="nil"/>
              <w:left w:val="nil"/>
              <w:bottom w:val="single" w:sz="4" w:space="0" w:color="auto"/>
              <w:right w:val="single" w:sz="4" w:space="0" w:color="auto"/>
            </w:tcBorders>
            <w:shd w:val="clear" w:color="auto" w:fill="auto"/>
            <w:vAlign w:val="center"/>
            <w:hideMark/>
          </w:tcPr>
          <w:p w14:paraId="616CC57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46" w:type="pct"/>
            <w:tcBorders>
              <w:top w:val="nil"/>
              <w:left w:val="nil"/>
              <w:bottom w:val="single" w:sz="4" w:space="0" w:color="auto"/>
              <w:right w:val="single" w:sz="4" w:space="0" w:color="auto"/>
            </w:tcBorders>
            <w:shd w:val="clear" w:color="auto" w:fill="auto"/>
            <w:vAlign w:val="center"/>
            <w:hideMark/>
          </w:tcPr>
          <w:p w14:paraId="24DF859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92" w:type="pct"/>
            <w:tcBorders>
              <w:top w:val="nil"/>
              <w:left w:val="nil"/>
              <w:bottom w:val="single" w:sz="4" w:space="0" w:color="auto"/>
              <w:right w:val="single" w:sz="4" w:space="0" w:color="auto"/>
            </w:tcBorders>
            <w:shd w:val="clear" w:color="auto" w:fill="auto"/>
            <w:vAlign w:val="center"/>
            <w:hideMark/>
          </w:tcPr>
          <w:p w14:paraId="2E14261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56069B2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567AC34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194.728,80</w:t>
            </w:r>
          </w:p>
        </w:tc>
        <w:tc>
          <w:tcPr>
            <w:tcW w:w="292" w:type="pct"/>
            <w:tcBorders>
              <w:top w:val="nil"/>
              <w:left w:val="nil"/>
              <w:bottom w:val="single" w:sz="4" w:space="0" w:color="auto"/>
              <w:right w:val="single" w:sz="4" w:space="0" w:color="auto"/>
            </w:tcBorders>
            <w:shd w:val="clear" w:color="auto" w:fill="auto"/>
            <w:vAlign w:val="center"/>
            <w:hideMark/>
          </w:tcPr>
          <w:p w14:paraId="3EA1E5F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63FFFB8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237.012,16</w:t>
            </w:r>
          </w:p>
        </w:tc>
        <w:tc>
          <w:tcPr>
            <w:tcW w:w="292" w:type="pct"/>
            <w:tcBorders>
              <w:top w:val="nil"/>
              <w:left w:val="nil"/>
              <w:bottom w:val="single" w:sz="4" w:space="0" w:color="auto"/>
              <w:right w:val="single" w:sz="4" w:space="0" w:color="auto"/>
            </w:tcBorders>
            <w:shd w:val="clear" w:color="auto" w:fill="auto"/>
            <w:vAlign w:val="center"/>
            <w:hideMark/>
          </w:tcPr>
          <w:p w14:paraId="6E61A98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33B2B74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218.575,92 </w:t>
            </w:r>
          </w:p>
        </w:tc>
        <w:tc>
          <w:tcPr>
            <w:tcW w:w="358" w:type="pct"/>
            <w:gridSpan w:val="2"/>
            <w:tcBorders>
              <w:top w:val="nil"/>
              <w:left w:val="nil"/>
              <w:bottom w:val="single" w:sz="4" w:space="0" w:color="auto"/>
              <w:right w:val="single" w:sz="4" w:space="0" w:color="auto"/>
            </w:tcBorders>
            <w:shd w:val="clear" w:color="auto" w:fill="auto"/>
            <w:vAlign w:val="center"/>
            <w:hideMark/>
          </w:tcPr>
          <w:p w14:paraId="6A2E0106"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650.316,88</w:t>
            </w:r>
          </w:p>
        </w:tc>
      </w:tr>
      <w:tr w:rsidR="007B3093" w14:paraId="48FF2AE4" w14:textId="77777777">
        <w:trPr>
          <w:gridAfter w:val="1"/>
          <w:wAfter w:w="3" w:type="pct"/>
          <w:trHeight w:val="344"/>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0E28B1D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91141</w:t>
            </w:r>
          </w:p>
        </w:tc>
        <w:tc>
          <w:tcPr>
            <w:tcW w:w="325" w:type="pct"/>
            <w:tcBorders>
              <w:top w:val="nil"/>
              <w:left w:val="nil"/>
              <w:bottom w:val="single" w:sz="4" w:space="0" w:color="auto"/>
              <w:right w:val="single" w:sz="4" w:space="0" w:color="auto"/>
            </w:tcBorders>
            <w:shd w:val="clear" w:color="auto" w:fill="auto"/>
            <w:vAlign w:val="center"/>
            <w:hideMark/>
          </w:tcPr>
          <w:p w14:paraId="4A3ABD7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Servicios </w:t>
            </w:r>
          </w:p>
        </w:tc>
        <w:tc>
          <w:tcPr>
            <w:tcW w:w="571" w:type="pct"/>
            <w:tcBorders>
              <w:top w:val="nil"/>
              <w:left w:val="nil"/>
              <w:bottom w:val="single" w:sz="4" w:space="0" w:color="auto"/>
              <w:right w:val="single" w:sz="4" w:space="0" w:color="auto"/>
            </w:tcBorders>
            <w:shd w:val="clear" w:color="auto" w:fill="auto"/>
            <w:vAlign w:val="center"/>
            <w:hideMark/>
          </w:tcPr>
          <w:p w14:paraId="4A83C94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Administración del Proyecto</w:t>
            </w:r>
          </w:p>
        </w:tc>
        <w:tc>
          <w:tcPr>
            <w:tcW w:w="264" w:type="pct"/>
            <w:tcBorders>
              <w:top w:val="nil"/>
              <w:left w:val="nil"/>
              <w:bottom w:val="single" w:sz="4" w:space="0" w:color="auto"/>
              <w:right w:val="single" w:sz="4" w:space="0" w:color="auto"/>
            </w:tcBorders>
            <w:shd w:val="clear" w:color="auto" w:fill="auto"/>
            <w:vAlign w:val="center"/>
            <w:hideMark/>
          </w:tcPr>
          <w:p w14:paraId="3CCDD8C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4002FDC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4DCF665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543.664,07</w:t>
            </w:r>
          </w:p>
        </w:tc>
        <w:tc>
          <w:tcPr>
            <w:tcW w:w="274" w:type="pct"/>
            <w:tcBorders>
              <w:top w:val="nil"/>
              <w:left w:val="nil"/>
              <w:bottom w:val="single" w:sz="4" w:space="0" w:color="auto"/>
              <w:right w:val="single" w:sz="4" w:space="0" w:color="auto"/>
            </w:tcBorders>
            <w:shd w:val="clear" w:color="auto" w:fill="auto"/>
            <w:vAlign w:val="center"/>
            <w:hideMark/>
          </w:tcPr>
          <w:p w14:paraId="2895A1F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46" w:type="pct"/>
            <w:tcBorders>
              <w:top w:val="nil"/>
              <w:left w:val="nil"/>
              <w:bottom w:val="single" w:sz="4" w:space="0" w:color="auto"/>
              <w:right w:val="single" w:sz="4" w:space="0" w:color="auto"/>
            </w:tcBorders>
            <w:shd w:val="clear" w:color="auto" w:fill="auto"/>
            <w:vAlign w:val="center"/>
            <w:hideMark/>
          </w:tcPr>
          <w:p w14:paraId="0F729D4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3B096B6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14.774,58</w:t>
            </w:r>
          </w:p>
        </w:tc>
        <w:tc>
          <w:tcPr>
            <w:tcW w:w="292" w:type="pct"/>
            <w:tcBorders>
              <w:top w:val="nil"/>
              <w:left w:val="nil"/>
              <w:bottom w:val="single" w:sz="4" w:space="0" w:color="auto"/>
              <w:right w:val="single" w:sz="4" w:space="0" w:color="auto"/>
            </w:tcBorders>
            <w:shd w:val="clear" w:color="auto" w:fill="auto"/>
            <w:vAlign w:val="center"/>
            <w:hideMark/>
          </w:tcPr>
          <w:p w14:paraId="73699BB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65.323,35</w:t>
            </w:r>
          </w:p>
        </w:tc>
        <w:tc>
          <w:tcPr>
            <w:tcW w:w="292" w:type="pct"/>
            <w:tcBorders>
              <w:top w:val="nil"/>
              <w:left w:val="nil"/>
              <w:bottom w:val="single" w:sz="4" w:space="0" w:color="auto"/>
              <w:right w:val="single" w:sz="4" w:space="0" w:color="auto"/>
            </w:tcBorders>
            <w:shd w:val="clear" w:color="auto" w:fill="auto"/>
            <w:vAlign w:val="center"/>
            <w:hideMark/>
          </w:tcPr>
          <w:p w14:paraId="3586B04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86.366,16</w:t>
            </w:r>
          </w:p>
        </w:tc>
        <w:tc>
          <w:tcPr>
            <w:tcW w:w="292" w:type="pct"/>
            <w:tcBorders>
              <w:top w:val="nil"/>
              <w:left w:val="nil"/>
              <w:bottom w:val="single" w:sz="4" w:space="0" w:color="auto"/>
              <w:right w:val="single" w:sz="4" w:space="0" w:color="auto"/>
            </w:tcBorders>
            <w:shd w:val="clear" w:color="auto" w:fill="auto"/>
            <w:vAlign w:val="center"/>
            <w:hideMark/>
          </w:tcPr>
          <w:p w14:paraId="0B24E7F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86.366,16</w:t>
            </w:r>
          </w:p>
        </w:tc>
        <w:tc>
          <w:tcPr>
            <w:tcW w:w="292" w:type="pct"/>
            <w:tcBorders>
              <w:top w:val="nil"/>
              <w:left w:val="nil"/>
              <w:bottom w:val="single" w:sz="4" w:space="0" w:color="auto"/>
              <w:right w:val="single" w:sz="4" w:space="0" w:color="auto"/>
            </w:tcBorders>
            <w:shd w:val="clear" w:color="auto" w:fill="auto"/>
            <w:vAlign w:val="center"/>
            <w:hideMark/>
          </w:tcPr>
          <w:p w14:paraId="21E3983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100.760,43</w:t>
            </w:r>
          </w:p>
        </w:tc>
        <w:tc>
          <w:tcPr>
            <w:tcW w:w="292" w:type="pct"/>
            <w:tcBorders>
              <w:top w:val="nil"/>
              <w:left w:val="nil"/>
              <w:bottom w:val="single" w:sz="4" w:space="0" w:color="auto"/>
              <w:right w:val="single" w:sz="4" w:space="0" w:color="auto"/>
            </w:tcBorders>
            <w:shd w:val="clear" w:color="auto" w:fill="auto"/>
            <w:vAlign w:val="center"/>
            <w:hideMark/>
          </w:tcPr>
          <w:p w14:paraId="33544E2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68.587,40</w:t>
            </w:r>
          </w:p>
        </w:tc>
        <w:tc>
          <w:tcPr>
            <w:tcW w:w="295" w:type="pct"/>
            <w:tcBorders>
              <w:top w:val="nil"/>
              <w:left w:val="nil"/>
              <w:bottom w:val="single" w:sz="4" w:space="0" w:color="auto"/>
              <w:right w:val="single" w:sz="4" w:space="0" w:color="auto"/>
            </w:tcBorders>
            <w:shd w:val="clear" w:color="auto" w:fill="auto"/>
            <w:vAlign w:val="center"/>
            <w:hideMark/>
          </w:tcPr>
          <w:p w14:paraId="4446060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121.485,99</w:t>
            </w:r>
          </w:p>
        </w:tc>
        <w:tc>
          <w:tcPr>
            <w:tcW w:w="358" w:type="pct"/>
            <w:gridSpan w:val="2"/>
            <w:tcBorders>
              <w:top w:val="nil"/>
              <w:left w:val="nil"/>
              <w:bottom w:val="single" w:sz="4" w:space="0" w:color="auto"/>
              <w:right w:val="single" w:sz="4" w:space="0" w:color="auto"/>
            </w:tcBorders>
            <w:shd w:val="clear" w:color="auto" w:fill="auto"/>
            <w:vAlign w:val="center"/>
            <w:hideMark/>
          </w:tcPr>
          <w:p w14:paraId="4D6223AB" w14:textId="422134E5"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543.66</w:t>
            </w:r>
            <w:r w:rsidR="0065022A">
              <w:rPr>
                <w:rFonts w:ascii="Arial Narrow" w:eastAsia="Times New Roman" w:hAnsi="Arial Narrow" w:cs="Times New Roman"/>
                <w:b/>
                <w:bCs/>
                <w:color w:val="000000"/>
                <w:sz w:val="14"/>
                <w:szCs w:val="14"/>
                <w:lang w:eastAsia="es-EC"/>
              </w:rPr>
              <w:t>3,09</w:t>
            </w:r>
          </w:p>
        </w:tc>
      </w:tr>
      <w:tr w:rsidR="007B3093" w14:paraId="56E43C45" w14:textId="77777777">
        <w:trPr>
          <w:gridAfter w:val="1"/>
          <w:wAfter w:w="3" w:type="pct"/>
          <w:trHeight w:val="494"/>
        </w:trPr>
        <w:tc>
          <w:tcPr>
            <w:tcW w:w="312" w:type="pct"/>
            <w:tcBorders>
              <w:top w:val="nil"/>
              <w:left w:val="single" w:sz="4" w:space="0" w:color="auto"/>
              <w:bottom w:val="single" w:sz="4" w:space="0" w:color="auto"/>
              <w:right w:val="single" w:sz="4" w:space="0" w:color="auto"/>
            </w:tcBorders>
            <w:shd w:val="clear" w:color="000000" w:fill="DAE9F8"/>
            <w:vAlign w:val="center"/>
            <w:hideMark/>
          </w:tcPr>
          <w:p w14:paraId="001D498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325" w:type="pct"/>
            <w:tcBorders>
              <w:top w:val="nil"/>
              <w:left w:val="nil"/>
              <w:bottom w:val="single" w:sz="4" w:space="0" w:color="auto"/>
              <w:right w:val="single" w:sz="4" w:space="0" w:color="auto"/>
            </w:tcBorders>
            <w:shd w:val="clear" w:color="000000" w:fill="DAE9F8"/>
            <w:vAlign w:val="center"/>
            <w:hideMark/>
          </w:tcPr>
          <w:p w14:paraId="7E9A1AE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571" w:type="pct"/>
            <w:tcBorders>
              <w:top w:val="nil"/>
              <w:left w:val="nil"/>
              <w:bottom w:val="single" w:sz="4" w:space="0" w:color="auto"/>
              <w:right w:val="single" w:sz="4" w:space="0" w:color="auto"/>
            </w:tcBorders>
            <w:shd w:val="clear" w:color="000000" w:fill="DAE9F8"/>
            <w:vAlign w:val="center"/>
            <w:hideMark/>
          </w:tcPr>
          <w:p w14:paraId="7905FFFB" w14:textId="77777777" w:rsidR="007B3093" w:rsidRDefault="00000000">
            <w:pPr>
              <w:spacing w:after="0" w:line="240" w:lineRule="auto"/>
              <w:jc w:val="center"/>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C2: Fortalecer la defensa legal del Estado</w:t>
            </w:r>
          </w:p>
        </w:tc>
        <w:tc>
          <w:tcPr>
            <w:tcW w:w="264" w:type="pct"/>
            <w:tcBorders>
              <w:top w:val="nil"/>
              <w:left w:val="nil"/>
              <w:bottom w:val="single" w:sz="4" w:space="0" w:color="auto"/>
              <w:right w:val="single" w:sz="4" w:space="0" w:color="auto"/>
            </w:tcBorders>
            <w:shd w:val="clear" w:color="000000" w:fill="DAE9F8"/>
            <w:vAlign w:val="center"/>
            <w:hideMark/>
          </w:tcPr>
          <w:p w14:paraId="763A2B1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79" w:type="pct"/>
            <w:tcBorders>
              <w:top w:val="nil"/>
              <w:left w:val="nil"/>
              <w:bottom w:val="single" w:sz="4" w:space="0" w:color="auto"/>
              <w:right w:val="single" w:sz="4" w:space="0" w:color="auto"/>
            </w:tcBorders>
            <w:shd w:val="clear" w:color="000000" w:fill="DAE9F8"/>
            <w:vAlign w:val="center"/>
            <w:hideMark/>
          </w:tcPr>
          <w:p w14:paraId="30948C7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318" w:type="pct"/>
            <w:tcBorders>
              <w:top w:val="nil"/>
              <w:left w:val="nil"/>
              <w:bottom w:val="single" w:sz="4" w:space="0" w:color="auto"/>
              <w:right w:val="single" w:sz="4" w:space="0" w:color="auto"/>
            </w:tcBorders>
            <w:shd w:val="clear" w:color="000000" w:fill="DAE9F8"/>
            <w:vAlign w:val="center"/>
            <w:hideMark/>
          </w:tcPr>
          <w:p w14:paraId="4DDC989A" w14:textId="77777777" w:rsidR="007B3093" w:rsidRDefault="00000000">
            <w:pPr>
              <w:spacing w:after="0" w:line="240" w:lineRule="auto"/>
              <w:jc w:val="center"/>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155.360,12</w:t>
            </w:r>
          </w:p>
        </w:tc>
        <w:tc>
          <w:tcPr>
            <w:tcW w:w="274" w:type="pct"/>
            <w:tcBorders>
              <w:top w:val="nil"/>
              <w:left w:val="nil"/>
              <w:bottom w:val="single" w:sz="4" w:space="0" w:color="auto"/>
              <w:right w:val="single" w:sz="4" w:space="0" w:color="auto"/>
            </w:tcBorders>
            <w:shd w:val="clear" w:color="000000" w:fill="DAE9F8"/>
            <w:vAlign w:val="center"/>
            <w:hideMark/>
          </w:tcPr>
          <w:p w14:paraId="22D725B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46" w:type="pct"/>
            <w:tcBorders>
              <w:top w:val="nil"/>
              <w:left w:val="nil"/>
              <w:bottom w:val="single" w:sz="4" w:space="0" w:color="auto"/>
              <w:right w:val="single" w:sz="4" w:space="0" w:color="auto"/>
            </w:tcBorders>
            <w:shd w:val="clear" w:color="000000" w:fill="DAE9F8"/>
            <w:vAlign w:val="center"/>
            <w:hideMark/>
          </w:tcPr>
          <w:p w14:paraId="32CE81D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375732C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2744B053"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112D2F6E"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0D81492F"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33E148B9"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64AFA0F8"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5" w:type="pct"/>
            <w:tcBorders>
              <w:top w:val="nil"/>
              <w:left w:val="nil"/>
              <w:bottom w:val="single" w:sz="4" w:space="0" w:color="auto"/>
              <w:right w:val="single" w:sz="4" w:space="0" w:color="auto"/>
            </w:tcBorders>
            <w:shd w:val="clear" w:color="000000" w:fill="DAE9F8"/>
            <w:vAlign w:val="center"/>
            <w:hideMark/>
          </w:tcPr>
          <w:p w14:paraId="40BF3A09"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358" w:type="pct"/>
            <w:gridSpan w:val="2"/>
            <w:tcBorders>
              <w:top w:val="nil"/>
              <w:left w:val="nil"/>
              <w:bottom w:val="single" w:sz="4" w:space="0" w:color="auto"/>
              <w:right w:val="single" w:sz="4" w:space="0" w:color="auto"/>
            </w:tcBorders>
            <w:shd w:val="clear" w:color="000000" w:fill="DAE9F8"/>
            <w:vAlign w:val="center"/>
            <w:hideMark/>
          </w:tcPr>
          <w:p w14:paraId="03225359" w14:textId="77777777" w:rsidR="007B3093" w:rsidRDefault="00000000">
            <w:pPr>
              <w:spacing w:after="0" w:line="240" w:lineRule="auto"/>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 </w:t>
            </w:r>
          </w:p>
        </w:tc>
      </w:tr>
      <w:tr w:rsidR="007B3093" w14:paraId="54D73FB9" w14:textId="77777777">
        <w:trPr>
          <w:gridAfter w:val="1"/>
          <w:wAfter w:w="3" w:type="pct"/>
          <w:trHeight w:val="473"/>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0CE9131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92900</w:t>
            </w:r>
          </w:p>
        </w:tc>
        <w:tc>
          <w:tcPr>
            <w:tcW w:w="325" w:type="pct"/>
            <w:tcBorders>
              <w:top w:val="nil"/>
              <w:left w:val="nil"/>
              <w:bottom w:val="single" w:sz="4" w:space="0" w:color="auto"/>
              <w:right w:val="single" w:sz="4" w:space="0" w:color="auto"/>
            </w:tcBorders>
            <w:shd w:val="clear" w:color="auto" w:fill="auto"/>
            <w:vAlign w:val="center"/>
            <w:hideMark/>
          </w:tcPr>
          <w:p w14:paraId="648E12A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396F4EF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Capacitar a los funcionarios de la PGE en temas jurídicos y gestión de casos orales</w:t>
            </w:r>
          </w:p>
        </w:tc>
        <w:tc>
          <w:tcPr>
            <w:tcW w:w="264" w:type="pct"/>
            <w:tcBorders>
              <w:top w:val="nil"/>
              <w:left w:val="nil"/>
              <w:bottom w:val="single" w:sz="4" w:space="0" w:color="auto"/>
              <w:right w:val="single" w:sz="4" w:space="0" w:color="auto"/>
            </w:tcBorders>
            <w:shd w:val="clear" w:color="auto" w:fill="auto"/>
            <w:vAlign w:val="center"/>
            <w:hideMark/>
          </w:tcPr>
          <w:p w14:paraId="7E35249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57C9539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61981A8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85.750,18</w:t>
            </w:r>
          </w:p>
        </w:tc>
        <w:tc>
          <w:tcPr>
            <w:tcW w:w="274" w:type="pct"/>
            <w:tcBorders>
              <w:top w:val="nil"/>
              <w:left w:val="nil"/>
              <w:bottom w:val="single" w:sz="4" w:space="0" w:color="auto"/>
              <w:right w:val="single" w:sz="4" w:space="0" w:color="auto"/>
            </w:tcBorders>
            <w:shd w:val="clear" w:color="auto" w:fill="auto"/>
            <w:vAlign w:val="center"/>
            <w:hideMark/>
          </w:tcPr>
          <w:p w14:paraId="233E64A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2BA7B8E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5C6C464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40D1415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14.813,70</w:t>
            </w:r>
          </w:p>
        </w:tc>
        <w:tc>
          <w:tcPr>
            <w:tcW w:w="292" w:type="pct"/>
            <w:tcBorders>
              <w:top w:val="nil"/>
              <w:left w:val="nil"/>
              <w:bottom w:val="single" w:sz="4" w:space="0" w:color="auto"/>
              <w:right w:val="single" w:sz="4" w:space="0" w:color="auto"/>
            </w:tcBorders>
            <w:shd w:val="clear" w:color="auto" w:fill="auto"/>
            <w:vAlign w:val="center"/>
            <w:hideMark/>
          </w:tcPr>
          <w:p w14:paraId="36C4E39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56.542,12</w:t>
            </w:r>
          </w:p>
        </w:tc>
        <w:tc>
          <w:tcPr>
            <w:tcW w:w="292" w:type="pct"/>
            <w:tcBorders>
              <w:top w:val="nil"/>
              <w:left w:val="nil"/>
              <w:bottom w:val="single" w:sz="4" w:space="0" w:color="auto"/>
              <w:right w:val="single" w:sz="4" w:space="0" w:color="auto"/>
            </w:tcBorders>
            <w:shd w:val="clear" w:color="auto" w:fill="auto"/>
            <w:vAlign w:val="center"/>
            <w:hideMark/>
          </w:tcPr>
          <w:p w14:paraId="3A5B5BF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11.995,30</w:t>
            </w:r>
          </w:p>
        </w:tc>
        <w:tc>
          <w:tcPr>
            <w:tcW w:w="292" w:type="pct"/>
            <w:tcBorders>
              <w:top w:val="nil"/>
              <w:left w:val="nil"/>
              <w:bottom w:val="single" w:sz="4" w:space="0" w:color="auto"/>
              <w:right w:val="single" w:sz="4" w:space="0" w:color="auto"/>
            </w:tcBorders>
            <w:shd w:val="clear" w:color="auto" w:fill="auto"/>
            <w:vAlign w:val="center"/>
            <w:hideMark/>
          </w:tcPr>
          <w:p w14:paraId="5DE4CDB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2.399,06</w:t>
            </w:r>
          </w:p>
        </w:tc>
        <w:tc>
          <w:tcPr>
            <w:tcW w:w="292" w:type="pct"/>
            <w:tcBorders>
              <w:top w:val="nil"/>
              <w:left w:val="nil"/>
              <w:bottom w:val="single" w:sz="4" w:space="0" w:color="auto"/>
              <w:right w:val="single" w:sz="4" w:space="0" w:color="auto"/>
            </w:tcBorders>
            <w:shd w:val="clear" w:color="auto" w:fill="auto"/>
            <w:vAlign w:val="center"/>
            <w:hideMark/>
          </w:tcPr>
          <w:p w14:paraId="2DB54A1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1EE80EF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0,00</w:t>
            </w:r>
          </w:p>
        </w:tc>
        <w:tc>
          <w:tcPr>
            <w:tcW w:w="358" w:type="pct"/>
            <w:gridSpan w:val="2"/>
            <w:tcBorders>
              <w:top w:val="nil"/>
              <w:left w:val="nil"/>
              <w:bottom w:val="single" w:sz="4" w:space="0" w:color="auto"/>
              <w:right w:val="single" w:sz="4" w:space="0" w:color="auto"/>
            </w:tcBorders>
            <w:shd w:val="clear" w:color="auto" w:fill="auto"/>
            <w:vAlign w:val="center"/>
            <w:hideMark/>
          </w:tcPr>
          <w:p w14:paraId="47925BC4"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85.750,18</w:t>
            </w:r>
          </w:p>
        </w:tc>
      </w:tr>
      <w:tr w:rsidR="007B3093" w14:paraId="4F2BD2F8" w14:textId="77777777">
        <w:trPr>
          <w:gridAfter w:val="1"/>
          <w:wAfter w:w="3" w:type="pct"/>
          <w:trHeight w:val="425"/>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60B48E0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92900</w:t>
            </w:r>
          </w:p>
        </w:tc>
        <w:tc>
          <w:tcPr>
            <w:tcW w:w="325" w:type="pct"/>
            <w:tcBorders>
              <w:top w:val="nil"/>
              <w:left w:val="nil"/>
              <w:bottom w:val="single" w:sz="4" w:space="0" w:color="auto"/>
              <w:right w:val="single" w:sz="4" w:space="0" w:color="auto"/>
            </w:tcBorders>
            <w:shd w:val="clear" w:color="auto" w:fill="auto"/>
            <w:vAlign w:val="center"/>
            <w:hideMark/>
          </w:tcPr>
          <w:p w14:paraId="09B952A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25A4754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Brindar una capacitación especializada en jurisprudencia internacional</w:t>
            </w:r>
          </w:p>
        </w:tc>
        <w:tc>
          <w:tcPr>
            <w:tcW w:w="264" w:type="pct"/>
            <w:tcBorders>
              <w:top w:val="nil"/>
              <w:left w:val="nil"/>
              <w:bottom w:val="single" w:sz="4" w:space="0" w:color="auto"/>
              <w:right w:val="single" w:sz="4" w:space="0" w:color="auto"/>
            </w:tcBorders>
            <w:shd w:val="clear" w:color="auto" w:fill="auto"/>
            <w:vAlign w:val="center"/>
            <w:hideMark/>
          </w:tcPr>
          <w:p w14:paraId="31352AB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5FB4B89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3319B02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21.365,78</w:t>
            </w:r>
          </w:p>
        </w:tc>
        <w:tc>
          <w:tcPr>
            <w:tcW w:w="274" w:type="pct"/>
            <w:tcBorders>
              <w:top w:val="nil"/>
              <w:left w:val="nil"/>
              <w:bottom w:val="single" w:sz="4" w:space="0" w:color="auto"/>
              <w:right w:val="single" w:sz="4" w:space="0" w:color="auto"/>
            </w:tcBorders>
            <w:shd w:val="clear" w:color="auto" w:fill="auto"/>
            <w:vAlign w:val="center"/>
            <w:hideMark/>
          </w:tcPr>
          <w:p w14:paraId="7B8880D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3EC3B7C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756E614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2696B0A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7E045BD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6.409,74</w:t>
            </w:r>
          </w:p>
        </w:tc>
        <w:tc>
          <w:tcPr>
            <w:tcW w:w="292" w:type="pct"/>
            <w:tcBorders>
              <w:top w:val="nil"/>
              <w:left w:val="nil"/>
              <w:bottom w:val="single" w:sz="4" w:space="0" w:color="auto"/>
              <w:right w:val="single" w:sz="4" w:space="0" w:color="auto"/>
            </w:tcBorders>
            <w:shd w:val="clear" w:color="auto" w:fill="auto"/>
            <w:vAlign w:val="center"/>
            <w:hideMark/>
          </w:tcPr>
          <w:p w14:paraId="08456C5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14.956,04</w:t>
            </w:r>
          </w:p>
        </w:tc>
        <w:tc>
          <w:tcPr>
            <w:tcW w:w="292" w:type="pct"/>
            <w:tcBorders>
              <w:top w:val="nil"/>
              <w:left w:val="nil"/>
              <w:bottom w:val="single" w:sz="4" w:space="0" w:color="auto"/>
              <w:right w:val="single" w:sz="4" w:space="0" w:color="auto"/>
            </w:tcBorders>
            <w:shd w:val="clear" w:color="auto" w:fill="auto"/>
            <w:vAlign w:val="center"/>
            <w:hideMark/>
          </w:tcPr>
          <w:p w14:paraId="6A5A99B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30C8570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10BF74F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358" w:type="pct"/>
            <w:gridSpan w:val="2"/>
            <w:tcBorders>
              <w:top w:val="nil"/>
              <w:left w:val="nil"/>
              <w:bottom w:val="single" w:sz="4" w:space="0" w:color="auto"/>
              <w:right w:val="single" w:sz="4" w:space="0" w:color="auto"/>
            </w:tcBorders>
            <w:shd w:val="clear" w:color="auto" w:fill="auto"/>
            <w:vAlign w:val="center"/>
            <w:hideMark/>
          </w:tcPr>
          <w:p w14:paraId="1BF633BE"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21.365,78</w:t>
            </w:r>
          </w:p>
        </w:tc>
      </w:tr>
      <w:tr w:rsidR="007B3093" w14:paraId="21A07923" w14:textId="77777777">
        <w:trPr>
          <w:gridAfter w:val="1"/>
          <w:wAfter w:w="3" w:type="pct"/>
          <w:trHeight w:val="631"/>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5F4950D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83111</w:t>
            </w:r>
          </w:p>
        </w:tc>
        <w:tc>
          <w:tcPr>
            <w:tcW w:w="325" w:type="pct"/>
            <w:tcBorders>
              <w:top w:val="nil"/>
              <w:left w:val="nil"/>
              <w:bottom w:val="single" w:sz="4" w:space="0" w:color="auto"/>
              <w:right w:val="single" w:sz="4" w:space="0" w:color="auto"/>
            </w:tcBorders>
            <w:shd w:val="clear" w:color="auto" w:fill="auto"/>
            <w:vAlign w:val="center"/>
            <w:hideMark/>
          </w:tcPr>
          <w:p w14:paraId="1AAFB67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61F7524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Elaborar protocolos y guías para la coordinación interinstitucional para la defensa de casos.</w:t>
            </w:r>
          </w:p>
        </w:tc>
        <w:tc>
          <w:tcPr>
            <w:tcW w:w="264" w:type="pct"/>
            <w:tcBorders>
              <w:top w:val="nil"/>
              <w:left w:val="nil"/>
              <w:bottom w:val="single" w:sz="4" w:space="0" w:color="auto"/>
              <w:right w:val="single" w:sz="4" w:space="0" w:color="auto"/>
            </w:tcBorders>
            <w:shd w:val="clear" w:color="auto" w:fill="auto"/>
            <w:vAlign w:val="center"/>
            <w:hideMark/>
          </w:tcPr>
          <w:p w14:paraId="681BB12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0968E73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187AD09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39.374,00</w:t>
            </w:r>
          </w:p>
        </w:tc>
        <w:tc>
          <w:tcPr>
            <w:tcW w:w="274" w:type="pct"/>
            <w:tcBorders>
              <w:top w:val="nil"/>
              <w:left w:val="nil"/>
              <w:bottom w:val="single" w:sz="4" w:space="0" w:color="auto"/>
              <w:right w:val="single" w:sz="4" w:space="0" w:color="auto"/>
            </w:tcBorders>
            <w:shd w:val="clear" w:color="auto" w:fill="auto"/>
            <w:vAlign w:val="center"/>
            <w:hideMark/>
          </w:tcPr>
          <w:p w14:paraId="3AA21A9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77E3AB0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742471D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3530711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1E6E6DE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27.424,00</w:t>
            </w:r>
          </w:p>
        </w:tc>
        <w:tc>
          <w:tcPr>
            <w:tcW w:w="292" w:type="pct"/>
            <w:tcBorders>
              <w:top w:val="nil"/>
              <w:left w:val="nil"/>
              <w:bottom w:val="single" w:sz="4" w:space="0" w:color="auto"/>
              <w:right w:val="single" w:sz="4" w:space="0" w:color="auto"/>
            </w:tcBorders>
            <w:shd w:val="clear" w:color="auto" w:fill="auto"/>
            <w:vAlign w:val="center"/>
            <w:hideMark/>
          </w:tcPr>
          <w:p w14:paraId="0D7BBAE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11.950,00</w:t>
            </w:r>
          </w:p>
        </w:tc>
        <w:tc>
          <w:tcPr>
            <w:tcW w:w="292" w:type="pct"/>
            <w:tcBorders>
              <w:top w:val="nil"/>
              <w:left w:val="nil"/>
              <w:bottom w:val="single" w:sz="4" w:space="0" w:color="auto"/>
              <w:right w:val="single" w:sz="4" w:space="0" w:color="auto"/>
            </w:tcBorders>
            <w:shd w:val="clear" w:color="auto" w:fill="auto"/>
            <w:vAlign w:val="center"/>
            <w:hideMark/>
          </w:tcPr>
          <w:p w14:paraId="5EBEAE7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54374CE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688D9BD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358" w:type="pct"/>
            <w:gridSpan w:val="2"/>
            <w:tcBorders>
              <w:top w:val="nil"/>
              <w:left w:val="nil"/>
              <w:bottom w:val="single" w:sz="4" w:space="0" w:color="auto"/>
              <w:right w:val="single" w:sz="4" w:space="0" w:color="auto"/>
            </w:tcBorders>
            <w:shd w:val="clear" w:color="auto" w:fill="auto"/>
            <w:vAlign w:val="center"/>
            <w:hideMark/>
          </w:tcPr>
          <w:p w14:paraId="1BA19A13"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39.374,00</w:t>
            </w:r>
          </w:p>
        </w:tc>
      </w:tr>
      <w:tr w:rsidR="007B3093" w14:paraId="7DEB8998" w14:textId="77777777">
        <w:trPr>
          <w:gridAfter w:val="1"/>
          <w:wAfter w:w="3" w:type="pct"/>
          <w:trHeight w:val="558"/>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2453E9F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83142</w:t>
            </w:r>
          </w:p>
        </w:tc>
        <w:tc>
          <w:tcPr>
            <w:tcW w:w="325" w:type="pct"/>
            <w:tcBorders>
              <w:top w:val="nil"/>
              <w:left w:val="nil"/>
              <w:bottom w:val="single" w:sz="4" w:space="0" w:color="auto"/>
              <w:right w:val="single" w:sz="4" w:space="0" w:color="auto"/>
            </w:tcBorders>
            <w:shd w:val="clear" w:color="auto" w:fill="auto"/>
            <w:vAlign w:val="center"/>
            <w:hideMark/>
          </w:tcPr>
          <w:p w14:paraId="42436FB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30208D4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Obtener acceso a bases de datos especializadas en temas jurídicos.</w:t>
            </w:r>
          </w:p>
        </w:tc>
        <w:tc>
          <w:tcPr>
            <w:tcW w:w="264" w:type="pct"/>
            <w:tcBorders>
              <w:top w:val="nil"/>
              <w:left w:val="nil"/>
              <w:bottom w:val="single" w:sz="4" w:space="0" w:color="auto"/>
              <w:right w:val="single" w:sz="4" w:space="0" w:color="auto"/>
            </w:tcBorders>
            <w:shd w:val="clear" w:color="auto" w:fill="auto"/>
            <w:vAlign w:val="center"/>
            <w:hideMark/>
          </w:tcPr>
          <w:p w14:paraId="6BD99F0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16B7E55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27E6A4E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8.870,16</w:t>
            </w:r>
          </w:p>
        </w:tc>
        <w:tc>
          <w:tcPr>
            <w:tcW w:w="274" w:type="pct"/>
            <w:tcBorders>
              <w:top w:val="nil"/>
              <w:left w:val="nil"/>
              <w:bottom w:val="single" w:sz="4" w:space="0" w:color="auto"/>
              <w:right w:val="single" w:sz="4" w:space="0" w:color="auto"/>
            </w:tcBorders>
            <w:shd w:val="clear" w:color="auto" w:fill="auto"/>
            <w:vAlign w:val="center"/>
            <w:hideMark/>
          </w:tcPr>
          <w:p w14:paraId="565131B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03EE419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6656B8C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27FADD3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5E047E2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6D68D12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8.870,16</w:t>
            </w:r>
          </w:p>
        </w:tc>
        <w:tc>
          <w:tcPr>
            <w:tcW w:w="292" w:type="pct"/>
            <w:tcBorders>
              <w:top w:val="nil"/>
              <w:left w:val="nil"/>
              <w:bottom w:val="single" w:sz="4" w:space="0" w:color="auto"/>
              <w:right w:val="single" w:sz="4" w:space="0" w:color="auto"/>
            </w:tcBorders>
            <w:shd w:val="clear" w:color="auto" w:fill="auto"/>
            <w:vAlign w:val="center"/>
            <w:hideMark/>
          </w:tcPr>
          <w:p w14:paraId="692D5C8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0C427A5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6D5BF4E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358" w:type="pct"/>
            <w:gridSpan w:val="2"/>
            <w:tcBorders>
              <w:top w:val="nil"/>
              <w:left w:val="nil"/>
              <w:bottom w:val="single" w:sz="4" w:space="0" w:color="auto"/>
              <w:right w:val="single" w:sz="4" w:space="0" w:color="auto"/>
            </w:tcBorders>
            <w:shd w:val="clear" w:color="auto" w:fill="auto"/>
            <w:vAlign w:val="center"/>
            <w:hideMark/>
          </w:tcPr>
          <w:p w14:paraId="7BD0376F"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8.870,16</w:t>
            </w:r>
          </w:p>
        </w:tc>
      </w:tr>
      <w:tr w:rsidR="007B3093" w14:paraId="67548128" w14:textId="77777777">
        <w:trPr>
          <w:gridAfter w:val="1"/>
          <w:wAfter w:w="3" w:type="pct"/>
          <w:trHeight w:val="506"/>
        </w:trPr>
        <w:tc>
          <w:tcPr>
            <w:tcW w:w="312" w:type="pct"/>
            <w:tcBorders>
              <w:top w:val="nil"/>
              <w:left w:val="single" w:sz="4" w:space="0" w:color="auto"/>
              <w:bottom w:val="single" w:sz="4" w:space="0" w:color="auto"/>
              <w:right w:val="single" w:sz="4" w:space="0" w:color="auto"/>
            </w:tcBorders>
            <w:shd w:val="clear" w:color="000000" w:fill="DAE9F8"/>
            <w:vAlign w:val="center"/>
            <w:hideMark/>
          </w:tcPr>
          <w:p w14:paraId="500A783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lastRenderedPageBreak/>
              <w:t> </w:t>
            </w:r>
          </w:p>
        </w:tc>
        <w:tc>
          <w:tcPr>
            <w:tcW w:w="325" w:type="pct"/>
            <w:tcBorders>
              <w:top w:val="nil"/>
              <w:left w:val="nil"/>
              <w:bottom w:val="single" w:sz="4" w:space="0" w:color="auto"/>
              <w:right w:val="single" w:sz="4" w:space="0" w:color="auto"/>
            </w:tcBorders>
            <w:shd w:val="clear" w:color="000000" w:fill="DAE9F8"/>
            <w:vAlign w:val="center"/>
            <w:hideMark/>
          </w:tcPr>
          <w:p w14:paraId="3CB1BFE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571" w:type="pct"/>
            <w:tcBorders>
              <w:top w:val="nil"/>
              <w:left w:val="nil"/>
              <w:bottom w:val="single" w:sz="4" w:space="0" w:color="auto"/>
              <w:right w:val="single" w:sz="4" w:space="0" w:color="auto"/>
            </w:tcBorders>
            <w:shd w:val="clear" w:color="000000" w:fill="DAE9F8"/>
            <w:vAlign w:val="center"/>
            <w:hideMark/>
          </w:tcPr>
          <w:p w14:paraId="0A1BBB11" w14:textId="77777777" w:rsidR="007B3093" w:rsidRDefault="00000000">
            <w:pPr>
              <w:spacing w:after="0" w:line="240" w:lineRule="auto"/>
              <w:jc w:val="center"/>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C3: Fortalecer la capacidad de control, consultoría y asesoría legal de la PGE.</w:t>
            </w:r>
          </w:p>
        </w:tc>
        <w:tc>
          <w:tcPr>
            <w:tcW w:w="264" w:type="pct"/>
            <w:tcBorders>
              <w:top w:val="nil"/>
              <w:left w:val="nil"/>
              <w:bottom w:val="single" w:sz="4" w:space="0" w:color="auto"/>
              <w:right w:val="single" w:sz="4" w:space="0" w:color="auto"/>
            </w:tcBorders>
            <w:shd w:val="clear" w:color="000000" w:fill="DAE9F8"/>
            <w:vAlign w:val="center"/>
            <w:hideMark/>
          </w:tcPr>
          <w:p w14:paraId="64E42CD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79" w:type="pct"/>
            <w:tcBorders>
              <w:top w:val="nil"/>
              <w:left w:val="nil"/>
              <w:bottom w:val="single" w:sz="4" w:space="0" w:color="auto"/>
              <w:right w:val="single" w:sz="4" w:space="0" w:color="auto"/>
            </w:tcBorders>
            <w:shd w:val="clear" w:color="000000" w:fill="DAE9F8"/>
            <w:vAlign w:val="center"/>
            <w:hideMark/>
          </w:tcPr>
          <w:p w14:paraId="2099917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318" w:type="pct"/>
            <w:tcBorders>
              <w:top w:val="nil"/>
              <w:left w:val="nil"/>
              <w:bottom w:val="single" w:sz="4" w:space="0" w:color="auto"/>
              <w:right w:val="single" w:sz="4" w:space="0" w:color="auto"/>
            </w:tcBorders>
            <w:shd w:val="clear" w:color="000000" w:fill="DAE9F8"/>
            <w:vAlign w:val="center"/>
            <w:hideMark/>
          </w:tcPr>
          <w:p w14:paraId="3E6D8B9F" w14:textId="77777777" w:rsidR="007B3093" w:rsidRDefault="00000000">
            <w:pPr>
              <w:spacing w:after="0" w:line="240" w:lineRule="auto"/>
              <w:jc w:val="center"/>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140.683,36</w:t>
            </w:r>
          </w:p>
        </w:tc>
        <w:tc>
          <w:tcPr>
            <w:tcW w:w="274" w:type="pct"/>
            <w:tcBorders>
              <w:top w:val="nil"/>
              <w:left w:val="nil"/>
              <w:bottom w:val="single" w:sz="4" w:space="0" w:color="auto"/>
              <w:right w:val="single" w:sz="4" w:space="0" w:color="auto"/>
            </w:tcBorders>
            <w:shd w:val="clear" w:color="000000" w:fill="DAE9F8"/>
            <w:vAlign w:val="center"/>
            <w:hideMark/>
          </w:tcPr>
          <w:p w14:paraId="0B92180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46" w:type="pct"/>
            <w:tcBorders>
              <w:top w:val="nil"/>
              <w:left w:val="nil"/>
              <w:bottom w:val="single" w:sz="4" w:space="0" w:color="auto"/>
              <w:right w:val="single" w:sz="4" w:space="0" w:color="auto"/>
            </w:tcBorders>
            <w:shd w:val="clear" w:color="000000" w:fill="DAE9F8"/>
            <w:vAlign w:val="center"/>
            <w:hideMark/>
          </w:tcPr>
          <w:p w14:paraId="7EAF652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29C983DB"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32D44300"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141B13B2"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6DCF4C15"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44A6B937"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4B1C48EC"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5" w:type="pct"/>
            <w:tcBorders>
              <w:top w:val="nil"/>
              <w:left w:val="nil"/>
              <w:bottom w:val="single" w:sz="4" w:space="0" w:color="auto"/>
              <w:right w:val="single" w:sz="4" w:space="0" w:color="auto"/>
            </w:tcBorders>
            <w:shd w:val="clear" w:color="000000" w:fill="DAE9F8"/>
            <w:vAlign w:val="center"/>
            <w:hideMark/>
          </w:tcPr>
          <w:p w14:paraId="17266CB0"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358" w:type="pct"/>
            <w:gridSpan w:val="2"/>
            <w:tcBorders>
              <w:top w:val="nil"/>
              <w:left w:val="nil"/>
              <w:bottom w:val="single" w:sz="4" w:space="0" w:color="auto"/>
              <w:right w:val="single" w:sz="4" w:space="0" w:color="auto"/>
            </w:tcBorders>
            <w:shd w:val="clear" w:color="000000" w:fill="DAE9F8"/>
            <w:vAlign w:val="center"/>
            <w:hideMark/>
          </w:tcPr>
          <w:p w14:paraId="38246571"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0,00</w:t>
            </w:r>
          </w:p>
        </w:tc>
      </w:tr>
      <w:tr w:rsidR="007B3093" w14:paraId="0297945B" w14:textId="77777777">
        <w:trPr>
          <w:gridAfter w:val="1"/>
          <w:wAfter w:w="3" w:type="pct"/>
          <w:trHeight w:val="1012"/>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2FEBC4F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83142</w:t>
            </w:r>
          </w:p>
        </w:tc>
        <w:tc>
          <w:tcPr>
            <w:tcW w:w="325" w:type="pct"/>
            <w:tcBorders>
              <w:top w:val="nil"/>
              <w:left w:val="nil"/>
              <w:bottom w:val="single" w:sz="4" w:space="0" w:color="auto"/>
              <w:right w:val="single" w:sz="4" w:space="0" w:color="auto"/>
            </w:tcBorders>
            <w:shd w:val="clear" w:color="auto" w:fill="auto"/>
            <w:vAlign w:val="center"/>
            <w:hideMark/>
          </w:tcPr>
          <w:p w14:paraId="02EFB44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40E420B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Generar un sistema informático para brindar asesoría Legal a Organismos del Estado para no infringir los marcos normativos y para desarrollar una defensa óptima.</w:t>
            </w:r>
          </w:p>
        </w:tc>
        <w:tc>
          <w:tcPr>
            <w:tcW w:w="264" w:type="pct"/>
            <w:tcBorders>
              <w:top w:val="nil"/>
              <w:left w:val="nil"/>
              <w:bottom w:val="single" w:sz="4" w:space="0" w:color="auto"/>
              <w:right w:val="single" w:sz="4" w:space="0" w:color="auto"/>
            </w:tcBorders>
            <w:shd w:val="clear" w:color="auto" w:fill="auto"/>
            <w:vAlign w:val="center"/>
            <w:hideMark/>
          </w:tcPr>
          <w:p w14:paraId="0AC828A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3BCBAE0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0FDF76C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8.736,00</w:t>
            </w:r>
          </w:p>
        </w:tc>
        <w:tc>
          <w:tcPr>
            <w:tcW w:w="274" w:type="pct"/>
            <w:tcBorders>
              <w:top w:val="nil"/>
              <w:left w:val="nil"/>
              <w:bottom w:val="single" w:sz="4" w:space="0" w:color="auto"/>
              <w:right w:val="single" w:sz="4" w:space="0" w:color="auto"/>
            </w:tcBorders>
            <w:shd w:val="clear" w:color="auto" w:fill="auto"/>
            <w:vAlign w:val="center"/>
            <w:hideMark/>
          </w:tcPr>
          <w:p w14:paraId="0ADD0B1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5CFF0D7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3FB3F96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7673AB3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4E7C9C7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1D8C987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8736</w:t>
            </w:r>
          </w:p>
        </w:tc>
        <w:tc>
          <w:tcPr>
            <w:tcW w:w="292" w:type="pct"/>
            <w:tcBorders>
              <w:top w:val="nil"/>
              <w:left w:val="nil"/>
              <w:bottom w:val="single" w:sz="4" w:space="0" w:color="auto"/>
              <w:right w:val="single" w:sz="4" w:space="0" w:color="auto"/>
            </w:tcBorders>
            <w:shd w:val="clear" w:color="auto" w:fill="auto"/>
            <w:vAlign w:val="center"/>
            <w:hideMark/>
          </w:tcPr>
          <w:p w14:paraId="35C1EF6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6C0980D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43A12DD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358" w:type="pct"/>
            <w:gridSpan w:val="2"/>
            <w:tcBorders>
              <w:top w:val="nil"/>
              <w:left w:val="nil"/>
              <w:bottom w:val="single" w:sz="4" w:space="0" w:color="auto"/>
              <w:right w:val="single" w:sz="4" w:space="0" w:color="auto"/>
            </w:tcBorders>
            <w:shd w:val="clear" w:color="auto" w:fill="auto"/>
            <w:vAlign w:val="center"/>
            <w:hideMark/>
          </w:tcPr>
          <w:p w14:paraId="19699576"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8.736,00</w:t>
            </w:r>
          </w:p>
        </w:tc>
      </w:tr>
      <w:tr w:rsidR="007B3093" w14:paraId="737FDA1D" w14:textId="77777777">
        <w:trPr>
          <w:gridAfter w:val="1"/>
          <w:wAfter w:w="3" w:type="pct"/>
          <w:trHeight w:val="602"/>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0C231B4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92900</w:t>
            </w:r>
          </w:p>
        </w:tc>
        <w:tc>
          <w:tcPr>
            <w:tcW w:w="325" w:type="pct"/>
            <w:tcBorders>
              <w:top w:val="nil"/>
              <w:left w:val="nil"/>
              <w:bottom w:val="single" w:sz="4" w:space="0" w:color="auto"/>
              <w:right w:val="single" w:sz="4" w:space="0" w:color="auto"/>
            </w:tcBorders>
            <w:shd w:val="clear" w:color="auto" w:fill="auto"/>
            <w:vAlign w:val="center"/>
            <w:hideMark/>
          </w:tcPr>
          <w:p w14:paraId="39DA8A2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0FF2C15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Capacitar a organismos del Estado o Municipios para la formulación adecuada de sus consultas.</w:t>
            </w:r>
          </w:p>
        </w:tc>
        <w:tc>
          <w:tcPr>
            <w:tcW w:w="264" w:type="pct"/>
            <w:tcBorders>
              <w:top w:val="nil"/>
              <w:left w:val="nil"/>
              <w:bottom w:val="single" w:sz="4" w:space="0" w:color="auto"/>
              <w:right w:val="single" w:sz="4" w:space="0" w:color="auto"/>
            </w:tcBorders>
            <w:shd w:val="clear" w:color="auto" w:fill="auto"/>
            <w:vAlign w:val="center"/>
            <w:hideMark/>
          </w:tcPr>
          <w:p w14:paraId="6EF0069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09399C7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0234FB6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131.947,36</w:t>
            </w:r>
          </w:p>
        </w:tc>
        <w:tc>
          <w:tcPr>
            <w:tcW w:w="274" w:type="pct"/>
            <w:tcBorders>
              <w:top w:val="nil"/>
              <w:left w:val="nil"/>
              <w:bottom w:val="single" w:sz="4" w:space="0" w:color="auto"/>
              <w:right w:val="single" w:sz="4" w:space="0" w:color="auto"/>
            </w:tcBorders>
            <w:shd w:val="clear" w:color="auto" w:fill="auto"/>
            <w:vAlign w:val="center"/>
            <w:hideMark/>
          </w:tcPr>
          <w:p w14:paraId="459DFE7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5937860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421D9BE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04F1B85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26.992,00 </w:t>
            </w:r>
          </w:p>
        </w:tc>
        <w:tc>
          <w:tcPr>
            <w:tcW w:w="292" w:type="pct"/>
            <w:tcBorders>
              <w:top w:val="nil"/>
              <w:left w:val="nil"/>
              <w:bottom w:val="single" w:sz="4" w:space="0" w:color="auto"/>
              <w:right w:val="single" w:sz="4" w:space="0" w:color="auto"/>
            </w:tcBorders>
            <w:shd w:val="clear" w:color="auto" w:fill="auto"/>
            <w:vAlign w:val="center"/>
            <w:hideMark/>
          </w:tcPr>
          <w:p w14:paraId="4839C4E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0,00</w:t>
            </w:r>
          </w:p>
        </w:tc>
        <w:tc>
          <w:tcPr>
            <w:tcW w:w="292" w:type="pct"/>
            <w:tcBorders>
              <w:top w:val="nil"/>
              <w:left w:val="nil"/>
              <w:bottom w:val="single" w:sz="4" w:space="0" w:color="auto"/>
              <w:right w:val="single" w:sz="4" w:space="0" w:color="auto"/>
            </w:tcBorders>
            <w:shd w:val="clear" w:color="auto" w:fill="auto"/>
            <w:vAlign w:val="center"/>
            <w:hideMark/>
          </w:tcPr>
          <w:p w14:paraId="6B4305C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61756,8</w:t>
            </w:r>
          </w:p>
        </w:tc>
        <w:tc>
          <w:tcPr>
            <w:tcW w:w="292" w:type="pct"/>
            <w:tcBorders>
              <w:top w:val="nil"/>
              <w:left w:val="nil"/>
              <w:bottom w:val="single" w:sz="4" w:space="0" w:color="auto"/>
              <w:right w:val="single" w:sz="4" w:space="0" w:color="auto"/>
            </w:tcBorders>
            <w:shd w:val="clear" w:color="auto" w:fill="auto"/>
            <w:vAlign w:val="center"/>
            <w:hideMark/>
          </w:tcPr>
          <w:p w14:paraId="0542019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43.198,56</w:t>
            </w:r>
          </w:p>
        </w:tc>
        <w:tc>
          <w:tcPr>
            <w:tcW w:w="292" w:type="pct"/>
            <w:tcBorders>
              <w:top w:val="nil"/>
              <w:left w:val="nil"/>
              <w:bottom w:val="single" w:sz="4" w:space="0" w:color="auto"/>
              <w:right w:val="single" w:sz="4" w:space="0" w:color="auto"/>
            </w:tcBorders>
            <w:shd w:val="clear" w:color="auto" w:fill="auto"/>
            <w:vAlign w:val="center"/>
            <w:hideMark/>
          </w:tcPr>
          <w:p w14:paraId="50446E7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6C4E152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0,00</w:t>
            </w:r>
          </w:p>
        </w:tc>
        <w:tc>
          <w:tcPr>
            <w:tcW w:w="358" w:type="pct"/>
            <w:gridSpan w:val="2"/>
            <w:tcBorders>
              <w:top w:val="nil"/>
              <w:left w:val="nil"/>
              <w:bottom w:val="single" w:sz="4" w:space="0" w:color="auto"/>
              <w:right w:val="single" w:sz="4" w:space="0" w:color="auto"/>
            </w:tcBorders>
            <w:shd w:val="clear" w:color="auto" w:fill="auto"/>
            <w:vAlign w:val="center"/>
            <w:hideMark/>
          </w:tcPr>
          <w:p w14:paraId="0A8D8DA6"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131.947,36</w:t>
            </w:r>
          </w:p>
        </w:tc>
      </w:tr>
      <w:tr w:rsidR="007B3093" w14:paraId="0E77D583" w14:textId="77777777">
        <w:trPr>
          <w:gridAfter w:val="1"/>
          <w:wAfter w:w="3" w:type="pct"/>
          <w:trHeight w:val="278"/>
        </w:trPr>
        <w:tc>
          <w:tcPr>
            <w:tcW w:w="312" w:type="pct"/>
            <w:tcBorders>
              <w:top w:val="nil"/>
              <w:left w:val="single" w:sz="4" w:space="0" w:color="auto"/>
              <w:bottom w:val="single" w:sz="4" w:space="0" w:color="auto"/>
              <w:right w:val="single" w:sz="4" w:space="0" w:color="auto"/>
            </w:tcBorders>
            <w:shd w:val="clear" w:color="000000" w:fill="DAE9F8"/>
            <w:vAlign w:val="center"/>
            <w:hideMark/>
          </w:tcPr>
          <w:p w14:paraId="0ADF8F5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325" w:type="pct"/>
            <w:tcBorders>
              <w:top w:val="nil"/>
              <w:left w:val="nil"/>
              <w:bottom w:val="single" w:sz="4" w:space="0" w:color="auto"/>
              <w:right w:val="single" w:sz="4" w:space="0" w:color="auto"/>
            </w:tcBorders>
            <w:shd w:val="clear" w:color="000000" w:fill="DAE9F8"/>
            <w:vAlign w:val="center"/>
            <w:hideMark/>
          </w:tcPr>
          <w:p w14:paraId="3D899E7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571" w:type="pct"/>
            <w:tcBorders>
              <w:top w:val="nil"/>
              <w:left w:val="nil"/>
              <w:bottom w:val="single" w:sz="4" w:space="0" w:color="auto"/>
              <w:right w:val="single" w:sz="4" w:space="0" w:color="auto"/>
            </w:tcBorders>
            <w:shd w:val="clear" w:color="000000" w:fill="DAE9F8"/>
            <w:vAlign w:val="center"/>
            <w:hideMark/>
          </w:tcPr>
          <w:p w14:paraId="63903F99" w14:textId="77777777" w:rsidR="007B3093" w:rsidRDefault="00000000">
            <w:pPr>
              <w:spacing w:after="0" w:line="240" w:lineRule="auto"/>
              <w:jc w:val="center"/>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C4: Fortalecer los centros de mediación de la PGE.</w:t>
            </w:r>
          </w:p>
        </w:tc>
        <w:tc>
          <w:tcPr>
            <w:tcW w:w="264" w:type="pct"/>
            <w:tcBorders>
              <w:top w:val="nil"/>
              <w:left w:val="nil"/>
              <w:bottom w:val="single" w:sz="4" w:space="0" w:color="auto"/>
              <w:right w:val="single" w:sz="4" w:space="0" w:color="auto"/>
            </w:tcBorders>
            <w:shd w:val="clear" w:color="000000" w:fill="DAE9F8"/>
            <w:vAlign w:val="center"/>
            <w:hideMark/>
          </w:tcPr>
          <w:p w14:paraId="2FE4B5A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79" w:type="pct"/>
            <w:tcBorders>
              <w:top w:val="nil"/>
              <w:left w:val="nil"/>
              <w:bottom w:val="single" w:sz="4" w:space="0" w:color="auto"/>
              <w:right w:val="single" w:sz="4" w:space="0" w:color="auto"/>
            </w:tcBorders>
            <w:shd w:val="clear" w:color="000000" w:fill="DAE9F8"/>
            <w:vAlign w:val="center"/>
            <w:hideMark/>
          </w:tcPr>
          <w:p w14:paraId="7419EF8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318" w:type="pct"/>
            <w:tcBorders>
              <w:top w:val="nil"/>
              <w:left w:val="nil"/>
              <w:bottom w:val="single" w:sz="4" w:space="0" w:color="auto"/>
              <w:right w:val="single" w:sz="4" w:space="0" w:color="auto"/>
            </w:tcBorders>
            <w:shd w:val="clear" w:color="000000" w:fill="DAE9F8"/>
            <w:vAlign w:val="center"/>
            <w:hideMark/>
          </w:tcPr>
          <w:p w14:paraId="22062346" w14:textId="77777777" w:rsidR="007B3093" w:rsidRDefault="00000000">
            <w:pPr>
              <w:spacing w:after="0" w:line="240" w:lineRule="auto"/>
              <w:jc w:val="center"/>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255.668,92</w:t>
            </w:r>
          </w:p>
        </w:tc>
        <w:tc>
          <w:tcPr>
            <w:tcW w:w="274" w:type="pct"/>
            <w:tcBorders>
              <w:top w:val="nil"/>
              <w:left w:val="nil"/>
              <w:bottom w:val="single" w:sz="4" w:space="0" w:color="auto"/>
              <w:right w:val="single" w:sz="4" w:space="0" w:color="auto"/>
            </w:tcBorders>
            <w:shd w:val="clear" w:color="000000" w:fill="DAE9F8"/>
            <w:vAlign w:val="center"/>
            <w:hideMark/>
          </w:tcPr>
          <w:p w14:paraId="6083EE3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46" w:type="pct"/>
            <w:tcBorders>
              <w:top w:val="nil"/>
              <w:left w:val="nil"/>
              <w:bottom w:val="single" w:sz="4" w:space="0" w:color="auto"/>
              <w:right w:val="single" w:sz="4" w:space="0" w:color="auto"/>
            </w:tcBorders>
            <w:shd w:val="clear" w:color="000000" w:fill="DAE9F8"/>
            <w:vAlign w:val="center"/>
            <w:hideMark/>
          </w:tcPr>
          <w:p w14:paraId="4055F61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3CCEA8D9"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5F30542A"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5C19A619"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5F05FAE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03783AE1"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367788FB"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5" w:type="pct"/>
            <w:tcBorders>
              <w:top w:val="nil"/>
              <w:left w:val="nil"/>
              <w:bottom w:val="single" w:sz="4" w:space="0" w:color="auto"/>
              <w:right w:val="single" w:sz="4" w:space="0" w:color="auto"/>
            </w:tcBorders>
            <w:shd w:val="clear" w:color="000000" w:fill="DAE9F8"/>
            <w:vAlign w:val="center"/>
            <w:hideMark/>
          </w:tcPr>
          <w:p w14:paraId="22CEC45A"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358" w:type="pct"/>
            <w:gridSpan w:val="2"/>
            <w:tcBorders>
              <w:top w:val="nil"/>
              <w:left w:val="nil"/>
              <w:bottom w:val="single" w:sz="4" w:space="0" w:color="auto"/>
              <w:right w:val="single" w:sz="4" w:space="0" w:color="auto"/>
            </w:tcBorders>
            <w:shd w:val="clear" w:color="000000" w:fill="DAE9F8"/>
            <w:vAlign w:val="center"/>
            <w:hideMark/>
          </w:tcPr>
          <w:p w14:paraId="714F68E4" w14:textId="77777777" w:rsidR="007B3093" w:rsidRDefault="00000000">
            <w:pPr>
              <w:spacing w:after="0" w:line="240" w:lineRule="auto"/>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 xml:space="preserve"> </w:t>
            </w:r>
          </w:p>
        </w:tc>
      </w:tr>
      <w:tr w:rsidR="007B3093" w14:paraId="25897A7E" w14:textId="77777777">
        <w:trPr>
          <w:gridAfter w:val="1"/>
          <w:wAfter w:w="3" w:type="pct"/>
          <w:trHeight w:val="367"/>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2646BE9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62583</w:t>
            </w:r>
          </w:p>
        </w:tc>
        <w:tc>
          <w:tcPr>
            <w:tcW w:w="325" w:type="pct"/>
            <w:tcBorders>
              <w:top w:val="nil"/>
              <w:left w:val="nil"/>
              <w:bottom w:val="single" w:sz="4" w:space="0" w:color="auto"/>
              <w:right w:val="single" w:sz="4" w:space="0" w:color="auto"/>
            </w:tcBorders>
            <w:shd w:val="clear" w:color="auto" w:fill="auto"/>
            <w:vAlign w:val="center"/>
            <w:hideMark/>
          </w:tcPr>
          <w:p w14:paraId="030B2D1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Bien</w:t>
            </w:r>
          </w:p>
        </w:tc>
        <w:tc>
          <w:tcPr>
            <w:tcW w:w="571" w:type="pct"/>
            <w:tcBorders>
              <w:top w:val="nil"/>
              <w:left w:val="nil"/>
              <w:bottom w:val="single" w:sz="4" w:space="0" w:color="auto"/>
              <w:right w:val="single" w:sz="4" w:space="0" w:color="auto"/>
            </w:tcBorders>
            <w:shd w:val="clear" w:color="auto" w:fill="auto"/>
            <w:vAlign w:val="center"/>
            <w:hideMark/>
          </w:tcPr>
          <w:p w14:paraId="5ECE34C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Readecuar los espacios de los centros de mediación.</w:t>
            </w:r>
          </w:p>
        </w:tc>
        <w:tc>
          <w:tcPr>
            <w:tcW w:w="264" w:type="pct"/>
            <w:tcBorders>
              <w:top w:val="nil"/>
              <w:left w:val="nil"/>
              <w:bottom w:val="single" w:sz="4" w:space="0" w:color="auto"/>
              <w:right w:val="single" w:sz="4" w:space="0" w:color="auto"/>
            </w:tcBorders>
            <w:shd w:val="clear" w:color="auto" w:fill="auto"/>
            <w:vAlign w:val="center"/>
            <w:hideMark/>
          </w:tcPr>
          <w:p w14:paraId="27CAC90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298FC8A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0C11426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255.668,92</w:t>
            </w:r>
          </w:p>
        </w:tc>
        <w:tc>
          <w:tcPr>
            <w:tcW w:w="274" w:type="pct"/>
            <w:tcBorders>
              <w:top w:val="nil"/>
              <w:left w:val="nil"/>
              <w:bottom w:val="single" w:sz="4" w:space="0" w:color="auto"/>
              <w:right w:val="single" w:sz="4" w:space="0" w:color="auto"/>
            </w:tcBorders>
            <w:shd w:val="clear" w:color="auto" w:fill="auto"/>
            <w:vAlign w:val="center"/>
            <w:hideMark/>
          </w:tcPr>
          <w:p w14:paraId="0D2C2DF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72EB8B4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514B385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4DBD9D7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7E4E2CE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181E6C5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13.294,40</w:t>
            </w:r>
          </w:p>
        </w:tc>
        <w:tc>
          <w:tcPr>
            <w:tcW w:w="292" w:type="pct"/>
            <w:tcBorders>
              <w:top w:val="nil"/>
              <w:left w:val="nil"/>
              <w:bottom w:val="single" w:sz="4" w:space="0" w:color="auto"/>
              <w:right w:val="single" w:sz="4" w:space="0" w:color="auto"/>
            </w:tcBorders>
            <w:shd w:val="clear" w:color="auto" w:fill="auto"/>
            <w:vAlign w:val="center"/>
            <w:hideMark/>
          </w:tcPr>
          <w:p w14:paraId="62303E1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11.830,55</w:t>
            </w:r>
          </w:p>
        </w:tc>
        <w:tc>
          <w:tcPr>
            <w:tcW w:w="292" w:type="pct"/>
            <w:tcBorders>
              <w:top w:val="nil"/>
              <w:left w:val="nil"/>
              <w:bottom w:val="single" w:sz="4" w:space="0" w:color="auto"/>
              <w:right w:val="single" w:sz="4" w:space="0" w:color="auto"/>
            </w:tcBorders>
            <w:shd w:val="clear" w:color="auto" w:fill="auto"/>
            <w:vAlign w:val="center"/>
            <w:hideMark/>
          </w:tcPr>
          <w:p w14:paraId="6FCBFB4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0,00</w:t>
            </w:r>
          </w:p>
        </w:tc>
        <w:tc>
          <w:tcPr>
            <w:tcW w:w="295" w:type="pct"/>
            <w:tcBorders>
              <w:top w:val="nil"/>
              <w:left w:val="nil"/>
              <w:bottom w:val="single" w:sz="4" w:space="0" w:color="auto"/>
              <w:right w:val="single" w:sz="4" w:space="0" w:color="auto"/>
            </w:tcBorders>
            <w:shd w:val="clear" w:color="auto" w:fill="auto"/>
            <w:vAlign w:val="center"/>
            <w:hideMark/>
          </w:tcPr>
          <w:p w14:paraId="7F73F90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230.543,97</w:t>
            </w:r>
          </w:p>
        </w:tc>
        <w:tc>
          <w:tcPr>
            <w:tcW w:w="358" w:type="pct"/>
            <w:gridSpan w:val="2"/>
            <w:tcBorders>
              <w:top w:val="nil"/>
              <w:left w:val="nil"/>
              <w:bottom w:val="single" w:sz="4" w:space="0" w:color="auto"/>
              <w:right w:val="single" w:sz="4" w:space="0" w:color="auto"/>
            </w:tcBorders>
            <w:shd w:val="clear" w:color="auto" w:fill="auto"/>
            <w:vAlign w:val="center"/>
            <w:hideMark/>
          </w:tcPr>
          <w:p w14:paraId="1F2690B0"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255.668,92</w:t>
            </w:r>
          </w:p>
        </w:tc>
      </w:tr>
      <w:tr w:rsidR="007B3093" w14:paraId="730717DC" w14:textId="77777777">
        <w:trPr>
          <w:gridAfter w:val="1"/>
          <w:wAfter w:w="3" w:type="pct"/>
          <w:trHeight w:val="571"/>
        </w:trPr>
        <w:tc>
          <w:tcPr>
            <w:tcW w:w="312" w:type="pct"/>
            <w:tcBorders>
              <w:top w:val="nil"/>
              <w:left w:val="single" w:sz="4" w:space="0" w:color="auto"/>
              <w:bottom w:val="single" w:sz="4" w:space="0" w:color="auto"/>
              <w:right w:val="single" w:sz="4" w:space="0" w:color="auto"/>
            </w:tcBorders>
            <w:shd w:val="clear" w:color="000000" w:fill="DAE9F8"/>
            <w:vAlign w:val="center"/>
            <w:hideMark/>
          </w:tcPr>
          <w:p w14:paraId="262D035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325" w:type="pct"/>
            <w:tcBorders>
              <w:top w:val="nil"/>
              <w:left w:val="nil"/>
              <w:bottom w:val="single" w:sz="4" w:space="0" w:color="auto"/>
              <w:right w:val="single" w:sz="4" w:space="0" w:color="auto"/>
            </w:tcBorders>
            <w:shd w:val="clear" w:color="000000" w:fill="DAE9F8"/>
            <w:vAlign w:val="center"/>
            <w:hideMark/>
          </w:tcPr>
          <w:p w14:paraId="27E6436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571" w:type="pct"/>
            <w:tcBorders>
              <w:top w:val="nil"/>
              <w:left w:val="nil"/>
              <w:bottom w:val="single" w:sz="4" w:space="0" w:color="auto"/>
              <w:right w:val="single" w:sz="4" w:space="0" w:color="auto"/>
            </w:tcBorders>
            <w:shd w:val="clear" w:color="000000" w:fill="DAE9F8"/>
            <w:vAlign w:val="center"/>
            <w:hideMark/>
          </w:tcPr>
          <w:p w14:paraId="47B57B1F" w14:textId="77777777" w:rsidR="007B3093" w:rsidRDefault="00000000">
            <w:pPr>
              <w:spacing w:after="0" w:line="240" w:lineRule="auto"/>
              <w:jc w:val="center"/>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C5: Diseñar e implementar la estrategia de comunicación de la PGE.</w:t>
            </w:r>
          </w:p>
        </w:tc>
        <w:tc>
          <w:tcPr>
            <w:tcW w:w="264" w:type="pct"/>
            <w:tcBorders>
              <w:top w:val="nil"/>
              <w:left w:val="nil"/>
              <w:bottom w:val="single" w:sz="4" w:space="0" w:color="auto"/>
              <w:right w:val="single" w:sz="4" w:space="0" w:color="auto"/>
            </w:tcBorders>
            <w:shd w:val="clear" w:color="000000" w:fill="DAE9F8"/>
            <w:vAlign w:val="center"/>
            <w:hideMark/>
          </w:tcPr>
          <w:p w14:paraId="18413BE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79" w:type="pct"/>
            <w:tcBorders>
              <w:top w:val="nil"/>
              <w:left w:val="nil"/>
              <w:bottom w:val="single" w:sz="4" w:space="0" w:color="auto"/>
              <w:right w:val="single" w:sz="4" w:space="0" w:color="auto"/>
            </w:tcBorders>
            <w:shd w:val="clear" w:color="000000" w:fill="DAE9F8"/>
            <w:vAlign w:val="center"/>
            <w:hideMark/>
          </w:tcPr>
          <w:p w14:paraId="19A3555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318" w:type="pct"/>
            <w:tcBorders>
              <w:top w:val="nil"/>
              <w:left w:val="nil"/>
              <w:bottom w:val="single" w:sz="4" w:space="0" w:color="auto"/>
              <w:right w:val="single" w:sz="4" w:space="0" w:color="auto"/>
            </w:tcBorders>
            <w:shd w:val="clear" w:color="000000" w:fill="DAE9F8"/>
            <w:vAlign w:val="center"/>
            <w:hideMark/>
          </w:tcPr>
          <w:p w14:paraId="2A0D0D2C" w14:textId="77777777" w:rsidR="007B3093" w:rsidRDefault="00000000">
            <w:pPr>
              <w:spacing w:after="0" w:line="240" w:lineRule="auto"/>
              <w:jc w:val="center"/>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183.569,07</w:t>
            </w:r>
          </w:p>
        </w:tc>
        <w:tc>
          <w:tcPr>
            <w:tcW w:w="274" w:type="pct"/>
            <w:tcBorders>
              <w:top w:val="nil"/>
              <w:left w:val="nil"/>
              <w:bottom w:val="single" w:sz="4" w:space="0" w:color="auto"/>
              <w:right w:val="single" w:sz="4" w:space="0" w:color="auto"/>
            </w:tcBorders>
            <w:shd w:val="clear" w:color="000000" w:fill="DAE9F8"/>
            <w:vAlign w:val="center"/>
            <w:hideMark/>
          </w:tcPr>
          <w:p w14:paraId="51BF176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46" w:type="pct"/>
            <w:tcBorders>
              <w:top w:val="nil"/>
              <w:left w:val="nil"/>
              <w:bottom w:val="single" w:sz="4" w:space="0" w:color="auto"/>
              <w:right w:val="single" w:sz="4" w:space="0" w:color="auto"/>
            </w:tcBorders>
            <w:shd w:val="clear" w:color="000000" w:fill="DAE9F8"/>
            <w:vAlign w:val="center"/>
            <w:hideMark/>
          </w:tcPr>
          <w:p w14:paraId="2AF233D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28BAD1DD"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2211C535"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1EC74564"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5DBDDD93"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57EA3ED8"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2" w:type="pct"/>
            <w:tcBorders>
              <w:top w:val="nil"/>
              <w:left w:val="nil"/>
              <w:bottom w:val="single" w:sz="4" w:space="0" w:color="auto"/>
              <w:right w:val="single" w:sz="4" w:space="0" w:color="auto"/>
            </w:tcBorders>
            <w:shd w:val="clear" w:color="000000" w:fill="DAE9F8"/>
            <w:vAlign w:val="center"/>
            <w:hideMark/>
          </w:tcPr>
          <w:p w14:paraId="5079DAA1"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295" w:type="pct"/>
            <w:tcBorders>
              <w:top w:val="nil"/>
              <w:left w:val="nil"/>
              <w:bottom w:val="single" w:sz="4" w:space="0" w:color="auto"/>
              <w:right w:val="single" w:sz="4" w:space="0" w:color="auto"/>
            </w:tcBorders>
            <w:shd w:val="clear" w:color="000000" w:fill="DAE9F8"/>
            <w:vAlign w:val="center"/>
            <w:hideMark/>
          </w:tcPr>
          <w:p w14:paraId="6DC53D7C" w14:textId="77777777" w:rsidR="007B3093" w:rsidRDefault="00000000">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 </w:t>
            </w:r>
          </w:p>
        </w:tc>
        <w:tc>
          <w:tcPr>
            <w:tcW w:w="358" w:type="pct"/>
            <w:gridSpan w:val="2"/>
            <w:tcBorders>
              <w:top w:val="nil"/>
              <w:left w:val="nil"/>
              <w:bottom w:val="single" w:sz="4" w:space="0" w:color="auto"/>
              <w:right w:val="single" w:sz="4" w:space="0" w:color="auto"/>
            </w:tcBorders>
            <w:shd w:val="clear" w:color="000000" w:fill="DAE9F8"/>
            <w:vAlign w:val="center"/>
            <w:hideMark/>
          </w:tcPr>
          <w:p w14:paraId="42D4A692"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0,00</w:t>
            </w:r>
          </w:p>
        </w:tc>
      </w:tr>
      <w:tr w:rsidR="007B3093" w14:paraId="1EBF8BDC" w14:textId="77777777">
        <w:trPr>
          <w:gridAfter w:val="1"/>
          <w:wAfter w:w="3" w:type="pct"/>
          <w:trHeight w:val="235"/>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722B578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83690</w:t>
            </w:r>
          </w:p>
        </w:tc>
        <w:tc>
          <w:tcPr>
            <w:tcW w:w="325" w:type="pct"/>
            <w:tcBorders>
              <w:top w:val="nil"/>
              <w:left w:val="nil"/>
              <w:bottom w:val="single" w:sz="4" w:space="0" w:color="auto"/>
              <w:right w:val="single" w:sz="4" w:space="0" w:color="auto"/>
            </w:tcBorders>
            <w:shd w:val="clear" w:color="auto" w:fill="auto"/>
            <w:vAlign w:val="center"/>
            <w:hideMark/>
          </w:tcPr>
          <w:p w14:paraId="03CA5CD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0557985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Diseñar una estrategia de comunicación</w:t>
            </w:r>
          </w:p>
        </w:tc>
        <w:tc>
          <w:tcPr>
            <w:tcW w:w="264" w:type="pct"/>
            <w:tcBorders>
              <w:top w:val="nil"/>
              <w:left w:val="nil"/>
              <w:bottom w:val="single" w:sz="4" w:space="0" w:color="auto"/>
              <w:right w:val="single" w:sz="4" w:space="0" w:color="auto"/>
            </w:tcBorders>
            <w:shd w:val="clear" w:color="auto" w:fill="auto"/>
            <w:vAlign w:val="center"/>
            <w:hideMark/>
          </w:tcPr>
          <w:p w14:paraId="0C7D0AD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3415B8E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4062D40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20.000,00</w:t>
            </w:r>
          </w:p>
        </w:tc>
        <w:tc>
          <w:tcPr>
            <w:tcW w:w="274" w:type="pct"/>
            <w:tcBorders>
              <w:top w:val="nil"/>
              <w:left w:val="nil"/>
              <w:bottom w:val="single" w:sz="4" w:space="0" w:color="auto"/>
              <w:right w:val="single" w:sz="4" w:space="0" w:color="auto"/>
            </w:tcBorders>
            <w:shd w:val="clear" w:color="auto" w:fill="auto"/>
            <w:vAlign w:val="center"/>
            <w:hideMark/>
          </w:tcPr>
          <w:p w14:paraId="2A6DCCA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51517CB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3E2A1B9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707283D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7439C51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20.000,00</w:t>
            </w:r>
          </w:p>
        </w:tc>
        <w:tc>
          <w:tcPr>
            <w:tcW w:w="292" w:type="pct"/>
            <w:tcBorders>
              <w:top w:val="nil"/>
              <w:left w:val="nil"/>
              <w:bottom w:val="single" w:sz="4" w:space="0" w:color="auto"/>
              <w:right w:val="single" w:sz="4" w:space="0" w:color="auto"/>
            </w:tcBorders>
            <w:shd w:val="clear" w:color="auto" w:fill="auto"/>
            <w:vAlign w:val="center"/>
            <w:hideMark/>
          </w:tcPr>
          <w:p w14:paraId="674A334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249D3E3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3F68E2F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35D87B9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358" w:type="pct"/>
            <w:gridSpan w:val="2"/>
            <w:tcBorders>
              <w:top w:val="nil"/>
              <w:left w:val="nil"/>
              <w:bottom w:val="single" w:sz="4" w:space="0" w:color="auto"/>
              <w:right w:val="single" w:sz="4" w:space="0" w:color="auto"/>
            </w:tcBorders>
            <w:shd w:val="clear" w:color="auto" w:fill="auto"/>
            <w:vAlign w:val="center"/>
            <w:hideMark/>
          </w:tcPr>
          <w:p w14:paraId="4D0A49D7"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20.000,00</w:t>
            </w:r>
          </w:p>
        </w:tc>
      </w:tr>
      <w:tr w:rsidR="007B3093" w14:paraId="22C5FFC2" w14:textId="77777777">
        <w:trPr>
          <w:gridAfter w:val="1"/>
          <w:wAfter w:w="3" w:type="pct"/>
          <w:trHeight w:val="326"/>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356526B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92900</w:t>
            </w:r>
          </w:p>
        </w:tc>
        <w:tc>
          <w:tcPr>
            <w:tcW w:w="325" w:type="pct"/>
            <w:tcBorders>
              <w:top w:val="nil"/>
              <w:left w:val="nil"/>
              <w:bottom w:val="single" w:sz="4" w:space="0" w:color="auto"/>
              <w:right w:val="single" w:sz="4" w:space="0" w:color="auto"/>
            </w:tcBorders>
            <w:shd w:val="clear" w:color="auto" w:fill="auto"/>
            <w:vAlign w:val="center"/>
            <w:hideMark/>
          </w:tcPr>
          <w:p w14:paraId="048B831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772FE05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Capacitar en herramientas de comunicación</w:t>
            </w:r>
          </w:p>
        </w:tc>
        <w:tc>
          <w:tcPr>
            <w:tcW w:w="264" w:type="pct"/>
            <w:tcBorders>
              <w:top w:val="nil"/>
              <w:left w:val="nil"/>
              <w:bottom w:val="single" w:sz="4" w:space="0" w:color="auto"/>
              <w:right w:val="single" w:sz="4" w:space="0" w:color="auto"/>
            </w:tcBorders>
            <w:shd w:val="clear" w:color="auto" w:fill="auto"/>
            <w:vAlign w:val="center"/>
            <w:hideMark/>
          </w:tcPr>
          <w:p w14:paraId="02BD65A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36F1BCF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72EB2EE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10.000,00</w:t>
            </w:r>
          </w:p>
        </w:tc>
        <w:tc>
          <w:tcPr>
            <w:tcW w:w="274" w:type="pct"/>
            <w:tcBorders>
              <w:top w:val="nil"/>
              <w:left w:val="nil"/>
              <w:bottom w:val="single" w:sz="4" w:space="0" w:color="auto"/>
              <w:right w:val="single" w:sz="4" w:space="0" w:color="auto"/>
            </w:tcBorders>
            <w:shd w:val="clear" w:color="auto" w:fill="auto"/>
            <w:vAlign w:val="center"/>
            <w:hideMark/>
          </w:tcPr>
          <w:p w14:paraId="4372C58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2510D10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1130564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066AE65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4E137DC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5CCE3EB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6F4A095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0655344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0DC39AB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10.000,00 </w:t>
            </w:r>
          </w:p>
        </w:tc>
        <w:tc>
          <w:tcPr>
            <w:tcW w:w="358" w:type="pct"/>
            <w:gridSpan w:val="2"/>
            <w:tcBorders>
              <w:top w:val="nil"/>
              <w:left w:val="nil"/>
              <w:bottom w:val="single" w:sz="4" w:space="0" w:color="auto"/>
              <w:right w:val="single" w:sz="4" w:space="0" w:color="auto"/>
            </w:tcBorders>
            <w:shd w:val="clear" w:color="auto" w:fill="auto"/>
            <w:vAlign w:val="center"/>
            <w:hideMark/>
          </w:tcPr>
          <w:p w14:paraId="2413B2FB"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10.000,00</w:t>
            </w:r>
          </w:p>
        </w:tc>
      </w:tr>
      <w:tr w:rsidR="007B3093" w14:paraId="640DB61B" w14:textId="77777777">
        <w:trPr>
          <w:gridAfter w:val="1"/>
          <w:wAfter w:w="3" w:type="pct"/>
          <w:trHeight w:val="338"/>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20F16E4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83690</w:t>
            </w:r>
          </w:p>
        </w:tc>
        <w:tc>
          <w:tcPr>
            <w:tcW w:w="325" w:type="pct"/>
            <w:tcBorders>
              <w:top w:val="nil"/>
              <w:left w:val="nil"/>
              <w:bottom w:val="single" w:sz="4" w:space="0" w:color="auto"/>
              <w:right w:val="single" w:sz="4" w:space="0" w:color="auto"/>
            </w:tcBorders>
            <w:shd w:val="clear" w:color="auto" w:fill="auto"/>
            <w:vAlign w:val="center"/>
            <w:hideMark/>
          </w:tcPr>
          <w:p w14:paraId="6920412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 / Bienes</w:t>
            </w:r>
          </w:p>
        </w:tc>
        <w:tc>
          <w:tcPr>
            <w:tcW w:w="571" w:type="pct"/>
            <w:tcBorders>
              <w:top w:val="nil"/>
              <w:left w:val="nil"/>
              <w:bottom w:val="single" w:sz="4" w:space="0" w:color="auto"/>
              <w:right w:val="single" w:sz="4" w:space="0" w:color="auto"/>
            </w:tcBorders>
            <w:shd w:val="clear" w:color="auto" w:fill="auto"/>
            <w:vAlign w:val="center"/>
            <w:hideMark/>
          </w:tcPr>
          <w:p w14:paraId="156F76B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Desarrollar materiales de difusión</w:t>
            </w:r>
          </w:p>
        </w:tc>
        <w:tc>
          <w:tcPr>
            <w:tcW w:w="264" w:type="pct"/>
            <w:tcBorders>
              <w:top w:val="nil"/>
              <w:left w:val="nil"/>
              <w:bottom w:val="single" w:sz="4" w:space="0" w:color="auto"/>
              <w:right w:val="single" w:sz="4" w:space="0" w:color="auto"/>
            </w:tcBorders>
            <w:shd w:val="clear" w:color="auto" w:fill="auto"/>
            <w:vAlign w:val="center"/>
            <w:hideMark/>
          </w:tcPr>
          <w:p w14:paraId="702926C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75C0E51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0421DD6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94.289,45</w:t>
            </w:r>
          </w:p>
        </w:tc>
        <w:tc>
          <w:tcPr>
            <w:tcW w:w="274" w:type="pct"/>
            <w:tcBorders>
              <w:top w:val="nil"/>
              <w:left w:val="nil"/>
              <w:bottom w:val="single" w:sz="4" w:space="0" w:color="auto"/>
              <w:right w:val="single" w:sz="4" w:space="0" w:color="auto"/>
            </w:tcBorders>
            <w:shd w:val="clear" w:color="auto" w:fill="auto"/>
            <w:vAlign w:val="center"/>
            <w:hideMark/>
          </w:tcPr>
          <w:p w14:paraId="223792D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4909BE9D"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15E26BD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2A4F288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39D1FF8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4844EB5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73.647,85</w:t>
            </w:r>
          </w:p>
        </w:tc>
        <w:tc>
          <w:tcPr>
            <w:tcW w:w="292" w:type="pct"/>
            <w:tcBorders>
              <w:top w:val="nil"/>
              <w:left w:val="nil"/>
              <w:bottom w:val="single" w:sz="4" w:space="0" w:color="auto"/>
              <w:right w:val="single" w:sz="4" w:space="0" w:color="auto"/>
            </w:tcBorders>
            <w:shd w:val="clear" w:color="auto" w:fill="auto"/>
            <w:vAlign w:val="center"/>
            <w:hideMark/>
          </w:tcPr>
          <w:p w14:paraId="1705F1E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20.641,60</w:t>
            </w:r>
          </w:p>
        </w:tc>
        <w:tc>
          <w:tcPr>
            <w:tcW w:w="292" w:type="pct"/>
            <w:tcBorders>
              <w:top w:val="nil"/>
              <w:left w:val="nil"/>
              <w:bottom w:val="single" w:sz="4" w:space="0" w:color="auto"/>
              <w:right w:val="single" w:sz="4" w:space="0" w:color="auto"/>
            </w:tcBorders>
            <w:shd w:val="clear" w:color="auto" w:fill="auto"/>
            <w:vAlign w:val="center"/>
            <w:hideMark/>
          </w:tcPr>
          <w:p w14:paraId="5A1EF23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703E9E5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358" w:type="pct"/>
            <w:gridSpan w:val="2"/>
            <w:tcBorders>
              <w:top w:val="nil"/>
              <w:left w:val="nil"/>
              <w:bottom w:val="single" w:sz="4" w:space="0" w:color="auto"/>
              <w:right w:val="single" w:sz="4" w:space="0" w:color="auto"/>
            </w:tcBorders>
            <w:shd w:val="clear" w:color="auto" w:fill="auto"/>
            <w:vAlign w:val="center"/>
            <w:hideMark/>
          </w:tcPr>
          <w:p w14:paraId="2D4C52B5"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94.289,45</w:t>
            </w:r>
          </w:p>
        </w:tc>
      </w:tr>
      <w:tr w:rsidR="007B3093" w14:paraId="598A4419" w14:textId="77777777">
        <w:trPr>
          <w:gridAfter w:val="1"/>
          <w:wAfter w:w="3" w:type="pct"/>
          <w:trHeight w:val="222"/>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7D10072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83700</w:t>
            </w:r>
          </w:p>
        </w:tc>
        <w:tc>
          <w:tcPr>
            <w:tcW w:w="325" w:type="pct"/>
            <w:tcBorders>
              <w:top w:val="nil"/>
              <w:left w:val="nil"/>
              <w:bottom w:val="single" w:sz="4" w:space="0" w:color="auto"/>
              <w:right w:val="single" w:sz="4" w:space="0" w:color="auto"/>
            </w:tcBorders>
            <w:shd w:val="clear" w:color="auto" w:fill="auto"/>
            <w:vAlign w:val="center"/>
            <w:hideMark/>
          </w:tcPr>
          <w:p w14:paraId="6AEFE2E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Servicio</w:t>
            </w:r>
          </w:p>
        </w:tc>
        <w:tc>
          <w:tcPr>
            <w:tcW w:w="571" w:type="pct"/>
            <w:tcBorders>
              <w:top w:val="nil"/>
              <w:left w:val="nil"/>
              <w:bottom w:val="single" w:sz="4" w:space="0" w:color="auto"/>
              <w:right w:val="single" w:sz="4" w:space="0" w:color="auto"/>
            </w:tcBorders>
            <w:shd w:val="clear" w:color="auto" w:fill="auto"/>
            <w:vAlign w:val="center"/>
            <w:hideMark/>
          </w:tcPr>
          <w:p w14:paraId="0FE0692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Realizar una encuesta ciudadana de percepción</w:t>
            </w:r>
          </w:p>
        </w:tc>
        <w:tc>
          <w:tcPr>
            <w:tcW w:w="264" w:type="pct"/>
            <w:tcBorders>
              <w:top w:val="nil"/>
              <w:left w:val="nil"/>
              <w:bottom w:val="single" w:sz="4" w:space="0" w:color="auto"/>
              <w:right w:val="single" w:sz="4" w:space="0" w:color="auto"/>
            </w:tcBorders>
            <w:shd w:val="clear" w:color="auto" w:fill="auto"/>
            <w:vAlign w:val="center"/>
            <w:hideMark/>
          </w:tcPr>
          <w:p w14:paraId="2F2E975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296FE75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450A4061"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10.000,00</w:t>
            </w:r>
          </w:p>
        </w:tc>
        <w:tc>
          <w:tcPr>
            <w:tcW w:w="274" w:type="pct"/>
            <w:tcBorders>
              <w:top w:val="nil"/>
              <w:left w:val="nil"/>
              <w:bottom w:val="single" w:sz="4" w:space="0" w:color="auto"/>
              <w:right w:val="single" w:sz="4" w:space="0" w:color="auto"/>
            </w:tcBorders>
            <w:shd w:val="clear" w:color="auto" w:fill="auto"/>
            <w:vAlign w:val="center"/>
            <w:hideMark/>
          </w:tcPr>
          <w:p w14:paraId="3554B24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46" w:type="pct"/>
            <w:tcBorders>
              <w:top w:val="nil"/>
              <w:left w:val="nil"/>
              <w:bottom w:val="single" w:sz="4" w:space="0" w:color="auto"/>
              <w:right w:val="single" w:sz="4" w:space="0" w:color="auto"/>
            </w:tcBorders>
            <w:shd w:val="clear" w:color="auto" w:fill="auto"/>
            <w:vAlign w:val="center"/>
            <w:hideMark/>
          </w:tcPr>
          <w:p w14:paraId="0D488DB0"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92" w:type="pct"/>
            <w:tcBorders>
              <w:top w:val="nil"/>
              <w:left w:val="nil"/>
              <w:bottom w:val="single" w:sz="4" w:space="0" w:color="auto"/>
              <w:right w:val="single" w:sz="4" w:space="0" w:color="auto"/>
            </w:tcBorders>
            <w:shd w:val="clear" w:color="auto" w:fill="auto"/>
            <w:vAlign w:val="center"/>
            <w:hideMark/>
          </w:tcPr>
          <w:p w14:paraId="33705362"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773BA42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461545EF"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3928ACA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6875544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782FAD3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58150D5E"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10.000,00</w:t>
            </w:r>
          </w:p>
        </w:tc>
        <w:tc>
          <w:tcPr>
            <w:tcW w:w="358" w:type="pct"/>
            <w:gridSpan w:val="2"/>
            <w:tcBorders>
              <w:top w:val="nil"/>
              <w:left w:val="nil"/>
              <w:bottom w:val="single" w:sz="4" w:space="0" w:color="auto"/>
              <w:right w:val="single" w:sz="4" w:space="0" w:color="auto"/>
            </w:tcBorders>
            <w:shd w:val="clear" w:color="auto" w:fill="auto"/>
            <w:vAlign w:val="center"/>
            <w:hideMark/>
          </w:tcPr>
          <w:p w14:paraId="3AAEA8B0"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10.000,00</w:t>
            </w:r>
          </w:p>
        </w:tc>
      </w:tr>
      <w:tr w:rsidR="007B3093" w14:paraId="66F29386" w14:textId="77777777">
        <w:trPr>
          <w:gridAfter w:val="1"/>
          <w:wAfter w:w="3" w:type="pct"/>
          <w:trHeight w:val="297"/>
        </w:trPr>
        <w:tc>
          <w:tcPr>
            <w:tcW w:w="312" w:type="pct"/>
            <w:tcBorders>
              <w:top w:val="nil"/>
              <w:left w:val="single" w:sz="4" w:space="0" w:color="auto"/>
              <w:bottom w:val="single" w:sz="4" w:space="0" w:color="auto"/>
              <w:right w:val="single" w:sz="4" w:space="0" w:color="auto"/>
            </w:tcBorders>
            <w:shd w:val="clear" w:color="auto" w:fill="auto"/>
            <w:vAlign w:val="center"/>
            <w:hideMark/>
          </w:tcPr>
          <w:p w14:paraId="28635CF5"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47220</w:t>
            </w:r>
          </w:p>
        </w:tc>
        <w:tc>
          <w:tcPr>
            <w:tcW w:w="325" w:type="pct"/>
            <w:tcBorders>
              <w:top w:val="nil"/>
              <w:left w:val="nil"/>
              <w:bottom w:val="single" w:sz="4" w:space="0" w:color="auto"/>
              <w:right w:val="single" w:sz="4" w:space="0" w:color="auto"/>
            </w:tcBorders>
            <w:shd w:val="clear" w:color="auto" w:fill="auto"/>
            <w:vAlign w:val="center"/>
            <w:hideMark/>
          </w:tcPr>
          <w:p w14:paraId="06F1EFBC"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Bien</w:t>
            </w:r>
          </w:p>
        </w:tc>
        <w:tc>
          <w:tcPr>
            <w:tcW w:w="571" w:type="pct"/>
            <w:tcBorders>
              <w:top w:val="nil"/>
              <w:left w:val="nil"/>
              <w:bottom w:val="single" w:sz="4" w:space="0" w:color="auto"/>
              <w:right w:val="single" w:sz="4" w:space="0" w:color="auto"/>
            </w:tcBorders>
            <w:shd w:val="clear" w:color="auto" w:fill="auto"/>
            <w:vAlign w:val="center"/>
            <w:hideMark/>
          </w:tcPr>
          <w:p w14:paraId="0A86B2C7"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Adquirir equipamiento para comunicación</w:t>
            </w:r>
          </w:p>
        </w:tc>
        <w:tc>
          <w:tcPr>
            <w:tcW w:w="264" w:type="pct"/>
            <w:tcBorders>
              <w:top w:val="nil"/>
              <w:left w:val="nil"/>
              <w:bottom w:val="single" w:sz="4" w:space="0" w:color="auto"/>
              <w:right w:val="single" w:sz="4" w:space="0" w:color="auto"/>
            </w:tcBorders>
            <w:shd w:val="clear" w:color="auto" w:fill="auto"/>
            <w:vAlign w:val="center"/>
            <w:hideMark/>
          </w:tcPr>
          <w:p w14:paraId="6C85279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w:t>
            </w:r>
          </w:p>
        </w:tc>
        <w:tc>
          <w:tcPr>
            <w:tcW w:w="279" w:type="pct"/>
            <w:tcBorders>
              <w:top w:val="nil"/>
              <w:left w:val="nil"/>
              <w:bottom w:val="single" w:sz="4" w:space="0" w:color="auto"/>
              <w:right w:val="single" w:sz="4" w:space="0" w:color="auto"/>
            </w:tcBorders>
            <w:shd w:val="clear" w:color="auto" w:fill="auto"/>
            <w:vAlign w:val="center"/>
            <w:hideMark/>
          </w:tcPr>
          <w:p w14:paraId="4B4D1856"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UND</w:t>
            </w:r>
          </w:p>
        </w:tc>
        <w:tc>
          <w:tcPr>
            <w:tcW w:w="318" w:type="pct"/>
            <w:tcBorders>
              <w:top w:val="nil"/>
              <w:left w:val="nil"/>
              <w:bottom w:val="single" w:sz="4" w:space="0" w:color="auto"/>
              <w:right w:val="single" w:sz="4" w:space="0" w:color="auto"/>
            </w:tcBorders>
            <w:shd w:val="clear" w:color="auto" w:fill="auto"/>
            <w:vAlign w:val="center"/>
            <w:hideMark/>
          </w:tcPr>
          <w:p w14:paraId="67AB698A"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49.279,62</w:t>
            </w:r>
          </w:p>
        </w:tc>
        <w:tc>
          <w:tcPr>
            <w:tcW w:w="274" w:type="pct"/>
            <w:tcBorders>
              <w:top w:val="nil"/>
              <w:left w:val="nil"/>
              <w:bottom w:val="single" w:sz="4" w:space="0" w:color="auto"/>
              <w:right w:val="single" w:sz="4" w:space="0" w:color="auto"/>
            </w:tcBorders>
            <w:shd w:val="clear" w:color="auto" w:fill="auto"/>
            <w:vAlign w:val="center"/>
            <w:hideMark/>
          </w:tcPr>
          <w:p w14:paraId="35FCCC3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w:t>
            </w:r>
          </w:p>
        </w:tc>
        <w:tc>
          <w:tcPr>
            <w:tcW w:w="246" w:type="pct"/>
            <w:tcBorders>
              <w:top w:val="nil"/>
              <w:left w:val="nil"/>
              <w:bottom w:val="single" w:sz="4" w:space="0" w:color="auto"/>
              <w:right w:val="single" w:sz="4" w:space="0" w:color="auto"/>
            </w:tcBorders>
            <w:shd w:val="clear" w:color="auto" w:fill="auto"/>
            <w:vAlign w:val="center"/>
            <w:hideMark/>
          </w:tcPr>
          <w:p w14:paraId="3E33483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100%</w:t>
            </w:r>
          </w:p>
        </w:tc>
        <w:tc>
          <w:tcPr>
            <w:tcW w:w="292" w:type="pct"/>
            <w:tcBorders>
              <w:top w:val="nil"/>
              <w:left w:val="nil"/>
              <w:bottom w:val="single" w:sz="4" w:space="0" w:color="auto"/>
              <w:right w:val="single" w:sz="4" w:space="0" w:color="auto"/>
            </w:tcBorders>
            <w:shd w:val="clear" w:color="auto" w:fill="auto"/>
            <w:vAlign w:val="center"/>
            <w:hideMark/>
          </w:tcPr>
          <w:p w14:paraId="5065ADC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67C8C90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49.279,62</w:t>
            </w:r>
          </w:p>
        </w:tc>
        <w:tc>
          <w:tcPr>
            <w:tcW w:w="292" w:type="pct"/>
            <w:tcBorders>
              <w:top w:val="nil"/>
              <w:left w:val="nil"/>
              <w:bottom w:val="single" w:sz="4" w:space="0" w:color="auto"/>
              <w:right w:val="single" w:sz="4" w:space="0" w:color="auto"/>
            </w:tcBorders>
            <w:shd w:val="clear" w:color="auto" w:fill="auto"/>
            <w:vAlign w:val="center"/>
            <w:hideMark/>
          </w:tcPr>
          <w:p w14:paraId="1CD485DB"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201FEF83"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04343CF9"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2" w:type="pct"/>
            <w:tcBorders>
              <w:top w:val="nil"/>
              <w:left w:val="nil"/>
              <w:bottom w:val="single" w:sz="4" w:space="0" w:color="auto"/>
              <w:right w:val="single" w:sz="4" w:space="0" w:color="auto"/>
            </w:tcBorders>
            <w:shd w:val="clear" w:color="auto" w:fill="auto"/>
            <w:vAlign w:val="center"/>
            <w:hideMark/>
          </w:tcPr>
          <w:p w14:paraId="6313E1C4"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295" w:type="pct"/>
            <w:tcBorders>
              <w:top w:val="nil"/>
              <w:left w:val="nil"/>
              <w:bottom w:val="single" w:sz="4" w:space="0" w:color="auto"/>
              <w:right w:val="single" w:sz="4" w:space="0" w:color="auto"/>
            </w:tcBorders>
            <w:shd w:val="clear" w:color="auto" w:fill="auto"/>
            <w:vAlign w:val="center"/>
            <w:hideMark/>
          </w:tcPr>
          <w:p w14:paraId="0CC8F6B8" w14:textId="77777777" w:rsidR="007B3093" w:rsidRDefault="00000000">
            <w:pPr>
              <w:spacing w:after="0" w:line="240" w:lineRule="auto"/>
              <w:jc w:val="center"/>
              <w:rPr>
                <w:rFonts w:ascii="Arial Narrow" w:eastAsia="Times New Roman" w:hAnsi="Arial Narrow" w:cs="Times New Roman"/>
                <w:color w:val="000000"/>
                <w:sz w:val="14"/>
                <w:szCs w:val="14"/>
                <w:lang w:eastAsia="es-EC"/>
              </w:rPr>
            </w:pPr>
            <w:r>
              <w:rPr>
                <w:rFonts w:ascii="Arial Narrow" w:eastAsia="Times New Roman" w:hAnsi="Arial Narrow" w:cs="Times New Roman"/>
                <w:color w:val="000000"/>
                <w:sz w:val="14"/>
                <w:szCs w:val="14"/>
                <w:lang w:eastAsia="es-EC"/>
              </w:rPr>
              <w:t xml:space="preserve">                   -   </w:t>
            </w:r>
          </w:p>
        </w:tc>
        <w:tc>
          <w:tcPr>
            <w:tcW w:w="358" w:type="pct"/>
            <w:gridSpan w:val="2"/>
            <w:tcBorders>
              <w:top w:val="nil"/>
              <w:left w:val="nil"/>
              <w:bottom w:val="single" w:sz="4" w:space="0" w:color="auto"/>
              <w:right w:val="single" w:sz="4" w:space="0" w:color="auto"/>
            </w:tcBorders>
            <w:shd w:val="clear" w:color="auto" w:fill="auto"/>
            <w:vAlign w:val="center"/>
            <w:hideMark/>
          </w:tcPr>
          <w:p w14:paraId="14ADB482" w14:textId="77777777" w:rsidR="007B3093" w:rsidRDefault="00000000">
            <w:pPr>
              <w:spacing w:after="0" w:line="240" w:lineRule="auto"/>
              <w:jc w:val="right"/>
              <w:rPr>
                <w:rFonts w:ascii="Arial Narrow" w:eastAsia="Times New Roman" w:hAnsi="Arial Narrow" w:cs="Times New Roman"/>
                <w:b/>
                <w:bCs/>
                <w:color w:val="000000"/>
                <w:sz w:val="14"/>
                <w:szCs w:val="14"/>
                <w:lang w:eastAsia="es-EC"/>
              </w:rPr>
            </w:pPr>
            <w:r>
              <w:rPr>
                <w:rFonts w:ascii="Arial Narrow" w:eastAsia="Times New Roman" w:hAnsi="Arial Narrow" w:cs="Times New Roman"/>
                <w:b/>
                <w:bCs/>
                <w:color w:val="000000"/>
                <w:sz w:val="14"/>
                <w:szCs w:val="14"/>
                <w:lang w:eastAsia="es-EC"/>
              </w:rPr>
              <w:t>49.279,62</w:t>
            </w:r>
          </w:p>
        </w:tc>
      </w:tr>
      <w:tr w:rsidR="007B3093" w14:paraId="5A2A2B59" w14:textId="77777777">
        <w:trPr>
          <w:trHeight w:val="287"/>
        </w:trPr>
        <w:tc>
          <w:tcPr>
            <w:tcW w:w="4642" w:type="pct"/>
            <w:gridSpan w:val="16"/>
            <w:tcBorders>
              <w:top w:val="single" w:sz="4" w:space="0" w:color="auto"/>
              <w:left w:val="single" w:sz="4" w:space="0" w:color="auto"/>
              <w:bottom w:val="single" w:sz="4" w:space="0" w:color="auto"/>
              <w:right w:val="single" w:sz="4" w:space="0" w:color="auto"/>
            </w:tcBorders>
            <w:shd w:val="clear" w:color="000000" w:fill="0B3040"/>
            <w:noWrap/>
            <w:vAlign w:val="center"/>
            <w:hideMark/>
          </w:tcPr>
          <w:p w14:paraId="031273A5" w14:textId="77777777" w:rsidR="007B3093" w:rsidRDefault="00000000">
            <w:pPr>
              <w:spacing w:after="0" w:line="240" w:lineRule="auto"/>
              <w:jc w:val="center"/>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TOTAL</w:t>
            </w:r>
          </w:p>
        </w:tc>
        <w:tc>
          <w:tcPr>
            <w:tcW w:w="358" w:type="pct"/>
            <w:gridSpan w:val="2"/>
            <w:tcBorders>
              <w:top w:val="nil"/>
              <w:left w:val="nil"/>
              <w:bottom w:val="single" w:sz="4" w:space="0" w:color="auto"/>
              <w:right w:val="single" w:sz="4" w:space="0" w:color="auto"/>
            </w:tcBorders>
            <w:shd w:val="clear" w:color="000000" w:fill="0B3040"/>
            <w:noWrap/>
            <w:vAlign w:val="center"/>
            <w:hideMark/>
          </w:tcPr>
          <w:p w14:paraId="75EB2CFF" w14:textId="77777777" w:rsidR="007B3093" w:rsidRDefault="00000000">
            <w:pPr>
              <w:spacing w:after="0" w:line="240" w:lineRule="auto"/>
              <w:jc w:val="right"/>
              <w:rPr>
                <w:rFonts w:ascii="Arial Narrow" w:eastAsia="Times New Roman" w:hAnsi="Arial Narrow" w:cs="Times New Roman"/>
                <w:b/>
                <w:bCs/>
                <w:color w:val="FFFFFF"/>
                <w:sz w:val="14"/>
                <w:szCs w:val="14"/>
                <w:lang w:eastAsia="es-EC"/>
              </w:rPr>
            </w:pPr>
            <w:r>
              <w:rPr>
                <w:rFonts w:ascii="Arial Narrow" w:eastAsia="Times New Roman" w:hAnsi="Arial Narrow" w:cs="Times New Roman"/>
                <w:b/>
                <w:bCs/>
                <w:color w:val="FFFFFF"/>
                <w:sz w:val="14"/>
                <w:szCs w:val="14"/>
                <w:lang w:eastAsia="es-EC"/>
              </w:rPr>
              <w:t>5.174.795,49</w:t>
            </w:r>
          </w:p>
        </w:tc>
      </w:tr>
    </w:tbl>
    <w:p w14:paraId="1ECDD7B7" w14:textId="77777777" w:rsidR="007B3093" w:rsidRDefault="00000000">
      <w:pPr>
        <w:pStyle w:val="Prrafodelista"/>
        <w:autoSpaceDE w:val="0"/>
        <w:autoSpaceDN w:val="0"/>
        <w:adjustRightInd w:val="0"/>
        <w:spacing w:after="0" w:line="360" w:lineRule="auto"/>
        <w:ind w:left="360"/>
        <w:jc w:val="center"/>
        <w:rPr>
          <w:rFonts w:cstheme="minorHAnsi"/>
          <w:b/>
          <w:bCs/>
          <w:lang w:eastAsia="es-EC"/>
        </w:rPr>
      </w:pPr>
      <w:r>
        <w:rPr>
          <w:rFonts w:cstheme="minorHAnsi"/>
          <w:b/>
          <w:bCs/>
          <w:lang w:eastAsia="es-EC"/>
        </w:rPr>
        <w:t>Elaboración, EDG PROFIP</w:t>
      </w:r>
    </w:p>
    <w:p w14:paraId="59D94DE9" w14:textId="77777777" w:rsidR="007B3093" w:rsidRDefault="007B3093">
      <w:pPr>
        <w:pStyle w:val="Prrafodelista"/>
        <w:autoSpaceDE w:val="0"/>
        <w:autoSpaceDN w:val="0"/>
        <w:adjustRightInd w:val="0"/>
        <w:spacing w:after="0" w:line="360" w:lineRule="auto"/>
        <w:ind w:left="360"/>
        <w:jc w:val="center"/>
        <w:rPr>
          <w:rFonts w:cstheme="minorHAnsi"/>
          <w:b/>
          <w:bCs/>
          <w:lang w:eastAsia="es-EC"/>
        </w:rPr>
      </w:pPr>
    </w:p>
    <w:p w14:paraId="008ED9F6" w14:textId="77777777" w:rsidR="007B3093" w:rsidRDefault="007B3093">
      <w:pPr>
        <w:spacing w:after="0" w:line="360" w:lineRule="auto"/>
        <w:sectPr w:rsidR="007B3093">
          <w:pgSz w:w="16838" w:h="11906" w:orient="landscape"/>
          <w:pgMar w:top="1701" w:right="1417" w:bottom="1701" w:left="1417" w:header="708" w:footer="708" w:gutter="0"/>
          <w:cols w:space="708"/>
          <w:docGrid w:linePitch="360"/>
        </w:sectPr>
      </w:pPr>
    </w:p>
    <w:p w14:paraId="034C5E94" w14:textId="77777777" w:rsidR="007B3093" w:rsidRDefault="007B3093">
      <w:pPr>
        <w:pStyle w:val="Ttulo2"/>
        <w:spacing w:before="0" w:line="360" w:lineRule="auto"/>
        <w:rPr>
          <w:rFonts w:asciiTheme="minorHAnsi" w:hAnsiTheme="minorHAnsi" w:cstheme="minorHAnsi"/>
          <w:b/>
          <w:color w:val="auto"/>
          <w:sz w:val="22"/>
          <w:szCs w:val="22"/>
        </w:rPr>
      </w:pPr>
    </w:p>
    <w:p w14:paraId="23D50DB0" w14:textId="77777777" w:rsidR="007B3093" w:rsidRDefault="00000000">
      <w:pPr>
        <w:pStyle w:val="Ttulo2"/>
        <w:numPr>
          <w:ilvl w:val="0"/>
          <w:numId w:val="83"/>
        </w:numPr>
        <w:spacing w:before="0" w:line="360" w:lineRule="auto"/>
        <w:ind w:left="284"/>
        <w:rPr>
          <w:rFonts w:asciiTheme="minorHAnsi" w:hAnsiTheme="minorHAnsi" w:cstheme="minorHAnsi"/>
          <w:b/>
          <w:color w:val="auto"/>
          <w:sz w:val="22"/>
          <w:szCs w:val="22"/>
        </w:rPr>
      </w:pPr>
      <w:bookmarkStart w:id="97" w:name="_Toc195010106"/>
      <w:r>
        <w:rPr>
          <w:rFonts w:asciiTheme="minorHAnsi" w:hAnsiTheme="minorHAnsi" w:cstheme="minorHAnsi"/>
          <w:b/>
          <w:color w:val="auto"/>
          <w:sz w:val="22"/>
          <w:szCs w:val="22"/>
        </w:rPr>
        <w:t>ESTRATEGIA DE SEGUIMIENTO Y EVALUACIÓN</w:t>
      </w:r>
      <w:bookmarkEnd w:id="97"/>
    </w:p>
    <w:p w14:paraId="3F7AE793" w14:textId="77777777" w:rsidR="007B3093" w:rsidRDefault="00000000">
      <w:pPr>
        <w:pStyle w:val="Ttulo2"/>
        <w:numPr>
          <w:ilvl w:val="1"/>
          <w:numId w:val="83"/>
        </w:numPr>
        <w:spacing w:before="0" w:line="360" w:lineRule="auto"/>
        <w:ind w:left="426"/>
        <w:rPr>
          <w:rFonts w:asciiTheme="minorHAnsi" w:hAnsiTheme="minorHAnsi" w:cstheme="minorHAnsi"/>
          <w:b/>
          <w:color w:val="auto"/>
          <w:sz w:val="22"/>
          <w:szCs w:val="22"/>
        </w:rPr>
      </w:pPr>
      <w:bookmarkStart w:id="98" w:name="_Toc195010107"/>
      <w:r>
        <w:rPr>
          <w:rFonts w:asciiTheme="minorHAnsi" w:hAnsiTheme="minorHAnsi" w:cstheme="minorHAnsi"/>
          <w:b/>
          <w:color w:val="auto"/>
          <w:sz w:val="22"/>
          <w:szCs w:val="22"/>
        </w:rPr>
        <w:t>Seguimiento a la Ejecución</w:t>
      </w:r>
      <w:bookmarkEnd w:id="98"/>
    </w:p>
    <w:p w14:paraId="6912BA4B" w14:textId="77777777" w:rsidR="007B3093" w:rsidRDefault="00000000">
      <w:pPr>
        <w:pStyle w:val="Prrafodelista"/>
        <w:spacing w:before="120" w:after="120" w:line="360" w:lineRule="auto"/>
        <w:ind w:left="142"/>
        <w:contextualSpacing w:val="0"/>
        <w:jc w:val="both"/>
        <w:rPr>
          <w:rFonts w:eastAsia="Times New Roman" w:cstheme="minorHAnsi"/>
          <w:bCs/>
          <w:color w:val="000000"/>
          <w:lang w:eastAsia="es-EC"/>
        </w:rPr>
      </w:pPr>
      <w:r>
        <w:rPr>
          <w:rFonts w:eastAsia="Times New Roman" w:cstheme="minorHAnsi"/>
          <w:bCs/>
          <w:color w:val="000000"/>
          <w:lang w:eastAsia="es-EC"/>
        </w:rPr>
        <w:t>Este proyecto es un componente del Programa BID, por lo cual se deberá regir a la normativa dispuesta por la entidad financiera. El “Reporte de Monitoreo del Programa” se basa en la Matriz de Resultados y se constituye en la fuente oficial y primordial de información periódica sobre el avance físico y financiero de la ejecución del proyecto. El Reporte de Monitoreo del Programa tiene por objeto reportar los logros del año en curso (cifras actuales) y revisar las metas "planeadas" de años futuros.</w:t>
      </w:r>
    </w:p>
    <w:p w14:paraId="0E81C722" w14:textId="77777777" w:rsidR="007B3093" w:rsidRDefault="00000000">
      <w:pPr>
        <w:pStyle w:val="Prrafodelista"/>
        <w:spacing w:before="120" w:after="120" w:line="360" w:lineRule="auto"/>
        <w:ind w:left="142"/>
        <w:contextualSpacing w:val="0"/>
        <w:jc w:val="both"/>
        <w:rPr>
          <w:rFonts w:eastAsia="Times New Roman" w:cstheme="minorHAnsi"/>
          <w:bCs/>
          <w:color w:val="000000"/>
          <w:lang w:eastAsia="es-EC"/>
        </w:rPr>
      </w:pPr>
      <w:r>
        <w:rPr>
          <w:rFonts w:eastAsia="Times New Roman" w:cstheme="minorHAnsi"/>
          <w:bCs/>
          <w:color w:val="000000"/>
          <w:lang w:eastAsia="es-EC"/>
        </w:rPr>
        <w:t>Se ejecutará las actividades del Programa asignadas a la PGE, de acuerdo con los objetivos y las disposiciones del Contrato de Préstamo firmado con el BID, los planes, especificaciones, cronogramas, presupuestos, reglamentos y demás documentos pertinentes al Programa, aprobados por el Banco.</w:t>
      </w:r>
    </w:p>
    <w:p w14:paraId="23C12ECE" w14:textId="77777777" w:rsidR="007B3093" w:rsidRDefault="00000000">
      <w:pPr>
        <w:pStyle w:val="Prrafodelista"/>
        <w:spacing w:before="120" w:after="120" w:line="360" w:lineRule="auto"/>
        <w:ind w:left="142"/>
        <w:contextualSpacing w:val="0"/>
        <w:jc w:val="both"/>
        <w:rPr>
          <w:rFonts w:eastAsia="Times New Roman" w:cstheme="minorHAnsi"/>
          <w:bCs/>
          <w:color w:val="000000"/>
          <w:lang w:eastAsia="es-EC"/>
        </w:rPr>
      </w:pPr>
      <w:r>
        <w:rPr>
          <w:rFonts w:eastAsia="Times New Roman" w:cstheme="minorHAnsi"/>
          <w:bCs/>
          <w:color w:val="000000"/>
          <w:lang w:eastAsia="es-EC"/>
        </w:rPr>
        <w:t>El Programa del BID tiene previstas auditorías externas contables y operacionales que no serán cubiertas con cargo a este proyecto, sino en el proyecto que ejecutará el MEF como parte del programa.</w:t>
      </w:r>
    </w:p>
    <w:p w14:paraId="452D6B4E" w14:textId="77777777" w:rsidR="007B3093" w:rsidRDefault="00000000">
      <w:pPr>
        <w:pStyle w:val="Ttulo2"/>
        <w:numPr>
          <w:ilvl w:val="2"/>
          <w:numId w:val="83"/>
        </w:numPr>
        <w:spacing w:before="0" w:line="360" w:lineRule="auto"/>
        <w:ind w:left="851"/>
        <w:rPr>
          <w:rFonts w:asciiTheme="minorHAnsi" w:hAnsiTheme="minorHAnsi" w:cstheme="minorHAnsi"/>
          <w:b/>
          <w:color w:val="auto"/>
          <w:sz w:val="22"/>
          <w:szCs w:val="22"/>
        </w:rPr>
      </w:pPr>
      <w:bookmarkStart w:id="99" w:name="_Toc1089474"/>
      <w:bookmarkStart w:id="100" w:name="_Toc195010108"/>
      <w:r>
        <w:rPr>
          <w:rFonts w:asciiTheme="minorHAnsi" w:hAnsiTheme="minorHAnsi" w:cstheme="minorHAnsi"/>
          <w:b/>
          <w:color w:val="auto"/>
          <w:sz w:val="22"/>
          <w:szCs w:val="22"/>
        </w:rPr>
        <w:t>Hoja de ruta para la implementación del Proyecto de Fortalecimiento Institucional</w:t>
      </w:r>
      <w:bookmarkEnd w:id="99"/>
      <w:bookmarkEnd w:id="100"/>
    </w:p>
    <w:p w14:paraId="7A7A5A56" w14:textId="77777777" w:rsidR="007B3093" w:rsidRDefault="00000000">
      <w:pPr>
        <w:pStyle w:val="Prrafodelista"/>
        <w:spacing w:before="120" w:after="120" w:line="360" w:lineRule="auto"/>
        <w:ind w:left="142"/>
        <w:contextualSpacing w:val="0"/>
        <w:jc w:val="both"/>
        <w:rPr>
          <w:rFonts w:eastAsia="Times New Roman" w:cstheme="minorHAnsi"/>
          <w:bCs/>
          <w:color w:val="000000"/>
          <w:lang w:eastAsia="es-EC"/>
        </w:rPr>
      </w:pPr>
      <w:r>
        <w:rPr>
          <w:rFonts w:eastAsia="Times New Roman" w:cstheme="minorHAnsi"/>
          <w:bCs/>
          <w:color w:val="000000"/>
          <w:lang w:eastAsia="es-EC"/>
        </w:rPr>
        <w:t xml:space="preserve">En la Tabla No. 41 se presenta la hoja de ruta del proyecto, en la </w:t>
      </w:r>
      <w:r>
        <w:rPr>
          <w:rFonts w:cstheme="minorHAnsi"/>
          <w:color w:val="000000"/>
          <w:lang w:eastAsia="es-EC"/>
        </w:rPr>
        <w:t>cual</w:t>
      </w:r>
      <w:r>
        <w:rPr>
          <w:rFonts w:eastAsia="Times New Roman" w:cstheme="minorHAnsi"/>
          <w:bCs/>
          <w:color w:val="000000"/>
          <w:lang w:eastAsia="es-EC"/>
        </w:rPr>
        <w:t xml:space="preserve"> se establecen las tareas que deben ser ejecutadas, para lo cual han sido ordenadas cronológicamente </w:t>
      </w:r>
      <w:proofErr w:type="gramStart"/>
      <w:r>
        <w:rPr>
          <w:rFonts w:eastAsia="Times New Roman" w:cstheme="minorHAnsi"/>
          <w:bCs/>
          <w:color w:val="000000"/>
          <w:lang w:eastAsia="es-EC"/>
        </w:rPr>
        <w:t>de acuerdo a</w:t>
      </w:r>
      <w:proofErr w:type="gramEnd"/>
      <w:r>
        <w:rPr>
          <w:rFonts w:eastAsia="Times New Roman" w:cstheme="minorHAnsi"/>
          <w:bCs/>
          <w:color w:val="000000"/>
          <w:lang w:eastAsia="es-EC"/>
        </w:rPr>
        <w:t xml:space="preserve"> su inicio. En la primera columna se ha incluido el componente del proyecto y la respectiva actividad, a la que pertenece cada una de las tareas enlistadas.</w:t>
      </w:r>
    </w:p>
    <w:p w14:paraId="42E88EA0" w14:textId="77777777" w:rsidR="007B3093" w:rsidRDefault="00000000">
      <w:pPr>
        <w:spacing w:after="0" w:line="360" w:lineRule="auto"/>
        <w:jc w:val="center"/>
        <w:rPr>
          <w:rFonts w:eastAsia="Times New Roman" w:cstheme="minorHAnsi"/>
          <w:b/>
          <w:bCs/>
          <w:color w:val="000000"/>
          <w:lang w:eastAsia="es-EC"/>
        </w:rPr>
      </w:pPr>
      <w:r>
        <w:rPr>
          <w:rFonts w:eastAsia="Times New Roman" w:cstheme="minorHAnsi"/>
          <w:b/>
          <w:bCs/>
          <w:color w:val="000000"/>
          <w:lang w:eastAsia="es-EC"/>
        </w:rPr>
        <w:t>Tabla 41: Hoja de ruta del Proyecto.</w:t>
      </w:r>
    </w:p>
    <w:tbl>
      <w:tblPr>
        <w:tblW w:w="0" w:type="auto"/>
        <w:jc w:val="center"/>
        <w:tblCellMar>
          <w:left w:w="70" w:type="dxa"/>
          <w:right w:w="70" w:type="dxa"/>
        </w:tblCellMar>
        <w:tblLook w:val="04A0" w:firstRow="1" w:lastRow="0" w:firstColumn="1" w:lastColumn="0" w:noHBand="0" w:noVBand="1"/>
      </w:tblPr>
      <w:tblGrid>
        <w:gridCol w:w="1499"/>
        <w:gridCol w:w="5333"/>
        <w:gridCol w:w="947"/>
        <w:gridCol w:w="705"/>
      </w:tblGrid>
      <w:tr w:rsidR="007B3093" w14:paraId="421D12D7" w14:textId="77777777">
        <w:trPr>
          <w:trHeight w:val="564"/>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44546A"/>
            <w:vAlign w:val="center"/>
            <w:hideMark/>
          </w:tcPr>
          <w:p w14:paraId="6EB473DA" w14:textId="77777777" w:rsidR="007B3093" w:rsidRDefault="00000000">
            <w:pPr>
              <w:spacing w:after="0" w:line="240" w:lineRule="auto"/>
              <w:jc w:val="center"/>
              <w:rPr>
                <w:rFonts w:ascii="Calibri" w:eastAsia="Times New Roman" w:hAnsi="Calibri" w:cs="Calibri"/>
                <w:color w:val="FFFFFF"/>
                <w:sz w:val="20"/>
                <w:szCs w:val="20"/>
                <w:lang w:eastAsia="es-EC"/>
              </w:rPr>
            </w:pPr>
            <w:r>
              <w:rPr>
                <w:rFonts w:ascii="Calibri" w:eastAsia="Times New Roman" w:hAnsi="Calibri" w:cs="Calibri"/>
                <w:color w:val="FFFFFF"/>
                <w:sz w:val="20"/>
                <w:szCs w:val="20"/>
                <w:lang w:eastAsia="es-EC"/>
              </w:rPr>
              <w:t>Componente y Actividad</w:t>
            </w:r>
          </w:p>
        </w:tc>
        <w:tc>
          <w:tcPr>
            <w:tcW w:w="0" w:type="auto"/>
            <w:tcBorders>
              <w:top w:val="single" w:sz="8" w:space="0" w:color="auto"/>
              <w:left w:val="nil"/>
              <w:bottom w:val="single" w:sz="8" w:space="0" w:color="auto"/>
              <w:right w:val="single" w:sz="8" w:space="0" w:color="auto"/>
            </w:tcBorders>
            <w:shd w:val="clear" w:color="000000" w:fill="44546A"/>
            <w:vAlign w:val="center"/>
            <w:hideMark/>
          </w:tcPr>
          <w:p w14:paraId="1BCD6955" w14:textId="77777777" w:rsidR="007B3093" w:rsidRDefault="00000000">
            <w:pPr>
              <w:spacing w:after="0" w:line="240" w:lineRule="auto"/>
              <w:jc w:val="center"/>
              <w:rPr>
                <w:rFonts w:ascii="Calibri" w:eastAsia="Times New Roman" w:hAnsi="Calibri" w:cs="Calibri"/>
                <w:color w:val="FFFFFF"/>
                <w:sz w:val="20"/>
                <w:szCs w:val="20"/>
                <w:lang w:eastAsia="es-EC"/>
              </w:rPr>
            </w:pPr>
            <w:r>
              <w:rPr>
                <w:rFonts w:ascii="Calibri" w:eastAsia="Times New Roman" w:hAnsi="Calibri" w:cs="Calibri"/>
                <w:color w:val="FFFFFF"/>
                <w:sz w:val="20"/>
                <w:szCs w:val="20"/>
                <w:lang w:eastAsia="es-EC"/>
              </w:rPr>
              <w:t>Nombre de tarea</w:t>
            </w:r>
          </w:p>
        </w:tc>
        <w:tc>
          <w:tcPr>
            <w:tcW w:w="0" w:type="auto"/>
            <w:tcBorders>
              <w:top w:val="single" w:sz="8" w:space="0" w:color="auto"/>
              <w:left w:val="nil"/>
              <w:bottom w:val="single" w:sz="8" w:space="0" w:color="auto"/>
              <w:right w:val="single" w:sz="8" w:space="0" w:color="auto"/>
            </w:tcBorders>
            <w:shd w:val="clear" w:color="000000" w:fill="44546A"/>
            <w:vAlign w:val="center"/>
            <w:hideMark/>
          </w:tcPr>
          <w:p w14:paraId="324EB487" w14:textId="77777777" w:rsidR="007B3093" w:rsidRDefault="00000000">
            <w:pPr>
              <w:spacing w:after="0" w:line="240" w:lineRule="auto"/>
              <w:jc w:val="center"/>
              <w:rPr>
                <w:rFonts w:ascii="Calibri" w:eastAsia="Times New Roman" w:hAnsi="Calibri" w:cs="Calibri"/>
                <w:color w:val="FFFFFF"/>
                <w:sz w:val="20"/>
                <w:szCs w:val="20"/>
                <w:lang w:eastAsia="es-EC"/>
              </w:rPr>
            </w:pPr>
            <w:r>
              <w:rPr>
                <w:rFonts w:ascii="Calibri" w:eastAsia="Times New Roman" w:hAnsi="Calibri" w:cs="Calibri"/>
                <w:color w:val="FFFFFF"/>
                <w:sz w:val="20"/>
                <w:szCs w:val="20"/>
                <w:lang w:eastAsia="es-EC"/>
              </w:rPr>
              <w:t>Comienzo</w:t>
            </w:r>
          </w:p>
        </w:tc>
        <w:tc>
          <w:tcPr>
            <w:tcW w:w="0" w:type="auto"/>
            <w:tcBorders>
              <w:top w:val="single" w:sz="8" w:space="0" w:color="auto"/>
              <w:left w:val="nil"/>
              <w:bottom w:val="single" w:sz="8" w:space="0" w:color="auto"/>
              <w:right w:val="single" w:sz="8" w:space="0" w:color="auto"/>
            </w:tcBorders>
            <w:shd w:val="clear" w:color="000000" w:fill="44546A"/>
            <w:vAlign w:val="center"/>
            <w:hideMark/>
          </w:tcPr>
          <w:p w14:paraId="10705FEF" w14:textId="77777777" w:rsidR="007B3093" w:rsidRDefault="00000000">
            <w:pPr>
              <w:spacing w:after="0" w:line="240" w:lineRule="auto"/>
              <w:jc w:val="center"/>
              <w:rPr>
                <w:rFonts w:ascii="Calibri" w:eastAsia="Times New Roman" w:hAnsi="Calibri" w:cs="Calibri"/>
                <w:color w:val="FFFFFF"/>
                <w:sz w:val="20"/>
                <w:szCs w:val="20"/>
                <w:lang w:eastAsia="es-EC"/>
              </w:rPr>
            </w:pPr>
            <w:r>
              <w:rPr>
                <w:rFonts w:ascii="Calibri" w:eastAsia="Times New Roman" w:hAnsi="Calibri" w:cs="Calibri"/>
                <w:color w:val="FFFFFF"/>
                <w:sz w:val="20"/>
                <w:szCs w:val="20"/>
                <w:lang w:eastAsia="es-EC"/>
              </w:rPr>
              <w:t>Fin</w:t>
            </w:r>
          </w:p>
        </w:tc>
      </w:tr>
      <w:tr w:rsidR="007B3093" w14:paraId="62BBCCB7" w14:textId="7777777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6892BA"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D1D47D"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Administración del Proyecto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D1C767"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nov-19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BAE56"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dic-25</w:t>
            </w:r>
          </w:p>
        </w:tc>
      </w:tr>
      <w:tr w:rsidR="007B3093" w14:paraId="0C9F9B5A" w14:textId="77777777">
        <w:trPr>
          <w:trHeight w:val="5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A98084"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C3.2</w:t>
            </w:r>
          </w:p>
        </w:tc>
        <w:tc>
          <w:tcPr>
            <w:tcW w:w="0" w:type="auto"/>
            <w:tcBorders>
              <w:top w:val="nil"/>
              <w:left w:val="nil"/>
              <w:bottom w:val="single" w:sz="4" w:space="0" w:color="auto"/>
              <w:right w:val="single" w:sz="4" w:space="0" w:color="auto"/>
            </w:tcBorders>
            <w:shd w:val="clear" w:color="auto" w:fill="auto"/>
            <w:vAlign w:val="center"/>
            <w:hideMark/>
          </w:tcPr>
          <w:p w14:paraId="56B42157"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Capacitar a organismos del Estado o Municipios para la formulación adecuada de sus consultas.</w:t>
            </w:r>
          </w:p>
        </w:tc>
        <w:tc>
          <w:tcPr>
            <w:tcW w:w="0" w:type="auto"/>
            <w:tcBorders>
              <w:top w:val="nil"/>
              <w:left w:val="nil"/>
              <w:bottom w:val="single" w:sz="4" w:space="0" w:color="auto"/>
              <w:right w:val="single" w:sz="4" w:space="0" w:color="auto"/>
            </w:tcBorders>
            <w:shd w:val="clear" w:color="auto" w:fill="auto"/>
            <w:noWrap/>
            <w:vAlign w:val="center"/>
            <w:hideMark/>
          </w:tcPr>
          <w:p w14:paraId="576FFB31"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may-20</w:t>
            </w:r>
          </w:p>
        </w:tc>
        <w:tc>
          <w:tcPr>
            <w:tcW w:w="0" w:type="auto"/>
            <w:tcBorders>
              <w:top w:val="nil"/>
              <w:left w:val="nil"/>
              <w:bottom w:val="single" w:sz="4" w:space="0" w:color="auto"/>
              <w:right w:val="single" w:sz="4" w:space="0" w:color="auto"/>
            </w:tcBorders>
            <w:shd w:val="clear" w:color="auto" w:fill="auto"/>
            <w:noWrap/>
            <w:vAlign w:val="center"/>
            <w:hideMark/>
          </w:tcPr>
          <w:p w14:paraId="7E0478EA"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jun-25</w:t>
            </w:r>
          </w:p>
        </w:tc>
      </w:tr>
      <w:tr w:rsidR="007B3093" w14:paraId="417E990B" w14:textId="7777777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17865D"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C5.5</w:t>
            </w:r>
          </w:p>
        </w:tc>
        <w:tc>
          <w:tcPr>
            <w:tcW w:w="0" w:type="auto"/>
            <w:tcBorders>
              <w:top w:val="nil"/>
              <w:left w:val="nil"/>
              <w:bottom w:val="single" w:sz="4" w:space="0" w:color="auto"/>
              <w:right w:val="single" w:sz="4" w:space="0" w:color="auto"/>
            </w:tcBorders>
            <w:shd w:val="clear" w:color="auto" w:fill="auto"/>
            <w:vAlign w:val="center"/>
            <w:hideMark/>
          </w:tcPr>
          <w:p w14:paraId="3B8A803E"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Adquirir equipamiento para comunicación</w:t>
            </w:r>
          </w:p>
        </w:tc>
        <w:tc>
          <w:tcPr>
            <w:tcW w:w="0" w:type="auto"/>
            <w:tcBorders>
              <w:top w:val="nil"/>
              <w:left w:val="nil"/>
              <w:bottom w:val="single" w:sz="4" w:space="0" w:color="auto"/>
              <w:right w:val="single" w:sz="4" w:space="0" w:color="auto"/>
            </w:tcBorders>
            <w:shd w:val="clear" w:color="auto" w:fill="auto"/>
            <w:noWrap/>
            <w:vAlign w:val="center"/>
            <w:hideMark/>
          </w:tcPr>
          <w:p w14:paraId="4B6697ED"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may-20</w:t>
            </w:r>
          </w:p>
        </w:tc>
        <w:tc>
          <w:tcPr>
            <w:tcW w:w="0" w:type="auto"/>
            <w:tcBorders>
              <w:top w:val="nil"/>
              <w:left w:val="nil"/>
              <w:bottom w:val="single" w:sz="4" w:space="0" w:color="auto"/>
              <w:right w:val="single" w:sz="4" w:space="0" w:color="auto"/>
            </w:tcBorders>
            <w:shd w:val="clear" w:color="auto" w:fill="auto"/>
            <w:noWrap/>
            <w:vAlign w:val="center"/>
            <w:hideMark/>
          </w:tcPr>
          <w:p w14:paraId="39DF2AED"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dic-20</w:t>
            </w:r>
          </w:p>
        </w:tc>
      </w:tr>
      <w:tr w:rsidR="007B3093" w14:paraId="1D6A3AE0" w14:textId="7777777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C217C2"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C1.2</w:t>
            </w:r>
          </w:p>
        </w:tc>
        <w:tc>
          <w:tcPr>
            <w:tcW w:w="0" w:type="auto"/>
            <w:tcBorders>
              <w:top w:val="nil"/>
              <w:left w:val="nil"/>
              <w:bottom w:val="single" w:sz="4" w:space="0" w:color="auto"/>
              <w:right w:val="single" w:sz="4" w:space="0" w:color="auto"/>
            </w:tcBorders>
            <w:shd w:val="clear" w:color="auto" w:fill="auto"/>
            <w:vAlign w:val="center"/>
            <w:hideMark/>
          </w:tcPr>
          <w:p w14:paraId="2116425F"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Implementar el Plan de gestión del cambio</w:t>
            </w:r>
          </w:p>
        </w:tc>
        <w:tc>
          <w:tcPr>
            <w:tcW w:w="0" w:type="auto"/>
            <w:tcBorders>
              <w:top w:val="nil"/>
              <w:left w:val="nil"/>
              <w:bottom w:val="single" w:sz="4" w:space="0" w:color="auto"/>
              <w:right w:val="single" w:sz="4" w:space="0" w:color="auto"/>
            </w:tcBorders>
            <w:shd w:val="clear" w:color="auto" w:fill="auto"/>
            <w:noWrap/>
            <w:vAlign w:val="center"/>
            <w:hideMark/>
          </w:tcPr>
          <w:p w14:paraId="6DFD08A1"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jun-20</w:t>
            </w:r>
          </w:p>
        </w:tc>
        <w:tc>
          <w:tcPr>
            <w:tcW w:w="0" w:type="auto"/>
            <w:tcBorders>
              <w:top w:val="nil"/>
              <w:left w:val="nil"/>
              <w:bottom w:val="single" w:sz="4" w:space="0" w:color="auto"/>
              <w:right w:val="single" w:sz="4" w:space="0" w:color="auto"/>
            </w:tcBorders>
            <w:shd w:val="clear" w:color="auto" w:fill="auto"/>
            <w:noWrap/>
            <w:vAlign w:val="center"/>
            <w:hideMark/>
          </w:tcPr>
          <w:p w14:paraId="1F410BB1"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oct-25</w:t>
            </w:r>
          </w:p>
        </w:tc>
      </w:tr>
      <w:tr w:rsidR="007B3093" w14:paraId="23D5FA9E" w14:textId="7777777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617859"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C2.1</w:t>
            </w:r>
          </w:p>
        </w:tc>
        <w:tc>
          <w:tcPr>
            <w:tcW w:w="0" w:type="auto"/>
            <w:tcBorders>
              <w:top w:val="nil"/>
              <w:left w:val="nil"/>
              <w:bottom w:val="single" w:sz="4" w:space="0" w:color="auto"/>
              <w:right w:val="single" w:sz="4" w:space="0" w:color="auto"/>
            </w:tcBorders>
            <w:shd w:val="clear" w:color="auto" w:fill="auto"/>
            <w:vAlign w:val="center"/>
            <w:hideMark/>
          </w:tcPr>
          <w:p w14:paraId="2952A10F"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Capacitar a los funcionarios de la PGE en temas jurídicos y gestión de casos orales</w:t>
            </w:r>
          </w:p>
        </w:tc>
        <w:tc>
          <w:tcPr>
            <w:tcW w:w="0" w:type="auto"/>
            <w:tcBorders>
              <w:top w:val="nil"/>
              <w:left w:val="nil"/>
              <w:bottom w:val="single" w:sz="4" w:space="0" w:color="auto"/>
              <w:right w:val="single" w:sz="4" w:space="0" w:color="auto"/>
            </w:tcBorders>
            <w:shd w:val="clear" w:color="auto" w:fill="auto"/>
            <w:noWrap/>
            <w:vAlign w:val="center"/>
            <w:hideMark/>
          </w:tcPr>
          <w:p w14:paraId="61F9952A"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jun-20</w:t>
            </w:r>
          </w:p>
        </w:tc>
        <w:tc>
          <w:tcPr>
            <w:tcW w:w="0" w:type="auto"/>
            <w:tcBorders>
              <w:top w:val="nil"/>
              <w:left w:val="nil"/>
              <w:bottom w:val="single" w:sz="4" w:space="0" w:color="auto"/>
              <w:right w:val="single" w:sz="4" w:space="0" w:color="auto"/>
            </w:tcBorders>
            <w:shd w:val="clear" w:color="auto" w:fill="auto"/>
            <w:noWrap/>
            <w:vAlign w:val="center"/>
            <w:hideMark/>
          </w:tcPr>
          <w:p w14:paraId="3EDC487F"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jun-25</w:t>
            </w:r>
          </w:p>
        </w:tc>
      </w:tr>
      <w:tr w:rsidR="007B3093" w14:paraId="01DF35A2" w14:textId="77777777">
        <w:trPr>
          <w:trHeight w:val="5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FC4801"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C1.1</w:t>
            </w:r>
          </w:p>
        </w:tc>
        <w:tc>
          <w:tcPr>
            <w:tcW w:w="0" w:type="auto"/>
            <w:tcBorders>
              <w:top w:val="nil"/>
              <w:left w:val="nil"/>
              <w:bottom w:val="single" w:sz="4" w:space="0" w:color="auto"/>
              <w:right w:val="single" w:sz="4" w:space="0" w:color="auto"/>
            </w:tcBorders>
            <w:shd w:val="clear" w:color="auto" w:fill="auto"/>
            <w:vAlign w:val="center"/>
            <w:hideMark/>
          </w:tcPr>
          <w:p w14:paraId="03632895"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Realizar un diagnóstico situacional en profundidad, propuesta de modelo de gestión e instrumentos para su redefinición.</w:t>
            </w:r>
          </w:p>
        </w:tc>
        <w:tc>
          <w:tcPr>
            <w:tcW w:w="0" w:type="auto"/>
            <w:tcBorders>
              <w:top w:val="nil"/>
              <w:left w:val="nil"/>
              <w:bottom w:val="single" w:sz="4" w:space="0" w:color="auto"/>
              <w:right w:val="single" w:sz="4" w:space="0" w:color="auto"/>
            </w:tcBorders>
            <w:shd w:val="clear" w:color="auto" w:fill="auto"/>
            <w:noWrap/>
            <w:vAlign w:val="center"/>
            <w:hideMark/>
          </w:tcPr>
          <w:p w14:paraId="0E1883EB"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nov-20</w:t>
            </w:r>
          </w:p>
        </w:tc>
        <w:tc>
          <w:tcPr>
            <w:tcW w:w="0" w:type="auto"/>
            <w:tcBorders>
              <w:top w:val="nil"/>
              <w:left w:val="nil"/>
              <w:bottom w:val="single" w:sz="4" w:space="0" w:color="auto"/>
              <w:right w:val="single" w:sz="4" w:space="0" w:color="auto"/>
            </w:tcBorders>
            <w:shd w:val="clear" w:color="auto" w:fill="auto"/>
            <w:noWrap/>
            <w:vAlign w:val="center"/>
            <w:hideMark/>
          </w:tcPr>
          <w:p w14:paraId="5D899327"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jul-22</w:t>
            </w:r>
          </w:p>
        </w:tc>
      </w:tr>
      <w:tr w:rsidR="007B3093" w14:paraId="37A8668D" w14:textId="7777777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1941FE"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C5.1</w:t>
            </w:r>
          </w:p>
        </w:tc>
        <w:tc>
          <w:tcPr>
            <w:tcW w:w="0" w:type="auto"/>
            <w:tcBorders>
              <w:top w:val="nil"/>
              <w:left w:val="nil"/>
              <w:bottom w:val="single" w:sz="4" w:space="0" w:color="auto"/>
              <w:right w:val="single" w:sz="4" w:space="0" w:color="auto"/>
            </w:tcBorders>
            <w:shd w:val="clear" w:color="auto" w:fill="auto"/>
            <w:vAlign w:val="center"/>
            <w:hideMark/>
          </w:tcPr>
          <w:p w14:paraId="4305ABAE"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Diseñar una estrategia de comunicación</w:t>
            </w:r>
          </w:p>
        </w:tc>
        <w:tc>
          <w:tcPr>
            <w:tcW w:w="0" w:type="auto"/>
            <w:tcBorders>
              <w:top w:val="nil"/>
              <w:left w:val="nil"/>
              <w:bottom w:val="single" w:sz="4" w:space="0" w:color="auto"/>
              <w:right w:val="single" w:sz="4" w:space="0" w:color="auto"/>
            </w:tcBorders>
            <w:shd w:val="clear" w:color="auto" w:fill="auto"/>
            <w:noWrap/>
            <w:vAlign w:val="center"/>
            <w:hideMark/>
          </w:tcPr>
          <w:p w14:paraId="4B980D19"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may-21</w:t>
            </w:r>
          </w:p>
        </w:tc>
        <w:tc>
          <w:tcPr>
            <w:tcW w:w="0" w:type="auto"/>
            <w:tcBorders>
              <w:top w:val="nil"/>
              <w:left w:val="nil"/>
              <w:bottom w:val="single" w:sz="4" w:space="0" w:color="auto"/>
              <w:right w:val="single" w:sz="4" w:space="0" w:color="auto"/>
            </w:tcBorders>
            <w:shd w:val="clear" w:color="auto" w:fill="auto"/>
            <w:noWrap/>
            <w:vAlign w:val="center"/>
            <w:hideMark/>
          </w:tcPr>
          <w:p w14:paraId="233B5E96"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oct-21</w:t>
            </w:r>
          </w:p>
        </w:tc>
      </w:tr>
      <w:tr w:rsidR="007B3093" w14:paraId="2F7CA279" w14:textId="77777777">
        <w:trPr>
          <w:trHeight w:val="5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7302B1"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C2.3</w:t>
            </w:r>
          </w:p>
        </w:tc>
        <w:tc>
          <w:tcPr>
            <w:tcW w:w="0" w:type="auto"/>
            <w:tcBorders>
              <w:top w:val="nil"/>
              <w:left w:val="nil"/>
              <w:bottom w:val="single" w:sz="4" w:space="0" w:color="auto"/>
              <w:right w:val="single" w:sz="4" w:space="0" w:color="auto"/>
            </w:tcBorders>
            <w:shd w:val="clear" w:color="auto" w:fill="auto"/>
            <w:vAlign w:val="center"/>
            <w:hideMark/>
          </w:tcPr>
          <w:p w14:paraId="213B277B"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Elaborar protocolos y guías para la coordinación interinstitucional para la defensa de casos.</w:t>
            </w:r>
          </w:p>
        </w:tc>
        <w:tc>
          <w:tcPr>
            <w:tcW w:w="0" w:type="auto"/>
            <w:tcBorders>
              <w:top w:val="nil"/>
              <w:left w:val="nil"/>
              <w:bottom w:val="single" w:sz="4" w:space="0" w:color="auto"/>
              <w:right w:val="single" w:sz="4" w:space="0" w:color="auto"/>
            </w:tcBorders>
            <w:shd w:val="clear" w:color="auto" w:fill="auto"/>
            <w:noWrap/>
            <w:vAlign w:val="center"/>
            <w:hideMark/>
          </w:tcPr>
          <w:p w14:paraId="756651BA"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jun-21</w:t>
            </w:r>
          </w:p>
        </w:tc>
        <w:tc>
          <w:tcPr>
            <w:tcW w:w="0" w:type="auto"/>
            <w:tcBorders>
              <w:top w:val="nil"/>
              <w:left w:val="nil"/>
              <w:bottom w:val="single" w:sz="4" w:space="0" w:color="auto"/>
              <w:right w:val="single" w:sz="4" w:space="0" w:color="auto"/>
            </w:tcBorders>
            <w:shd w:val="clear" w:color="auto" w:fill="auto"/>
            <w:noWrap/>
            <w:vAlign w:val="center"/>
            <w:hideMark/>
          </w:tcPr>
          <w:p w14:paraId="715A47AD"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oct-22</w:t>
            </w:r>
          </w:p>
        </w:tc>
      </w:tr>
      <w:tr w:rsidR="007B3093" w14:paraId="6467775A" w14:textId="7777777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71C1B7"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lastRenderedPageBreak/>
              <w:t>C5.3</w:t>
            </w:r>
          </w:p>
        </w:tc>
        <w:tc>
          <w:tcPr>
            <w:tcW w:w="0" w:type="auto"/>
            <w:tcBorders>
              <w:top w:val="nil"/>
              <w:left w:val="nil"/>
              <w:bottom w:val="single" w:sz="4" w:space="0" w:color="auto"/>
              <w:right w:val="single" w:sz="4" w:space="0" w:color="auto"/>
            </w:tcBorders>
            <w:shd w:val="clear" w:color="auto" w:fill="auto"/>
            <w:vAlign w:val="center"/>
            <w:hideMark/>
          </w:tcPr>
          <w:p w14:paraId="36216771"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Desarrollar materiales de difusión</w:t>
            </w:r>
          </w:p>
        </w:tc>
        <w:tc>
          <w:tcPr>
            <w:tcW w:w="0" w:type="auto"/>
            <w:tcBorders>
              <w:top w:val="nil"/>
              <w:left w:val="nil"/>
              <w:bottom w:val="single" w:sz="4" w:space="0" w:color="auto"/>
              <w:right w:val="single" w:sz="4" w:space="0" w:color="auto"/>
            </w:tcBorders>
            <w:shd w:val="clear" w:color="auto" w:fill="auto"/>
            <w:noWrap/>
            <w:vAlign w:val="center"/>
            <w:hideMark/>
          </w:tcPr>
          <w:p w14:paraId="3A8A2B59"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sep-21</w:t>
            </w:r>
          </w:p>
        </w:tc>
        <w:tc>
          <w:tcPr>
            <w:tcW w:w="0" w:type="auto"/>
            <w:tcBorders>
              <w:top w:val="nil"/>
              <w:left w:val="nil"/>
              <w:bottom w:val="single" w:sz="4" w:space="0" w:color="auto"/>
              <w:right w:val="single" w:sz="4" w:space="0" w:color="auto"/>
            </w:tcBorders>
            <w:shd w:val="clear" w:color="auto" w:fill="auto"/>
            <w:noWrap/>
            <w:vAlign w:val="center"/>
            <w:hideMark/>
          </w:tcPr>
          <w:p w14:paraId="61ADD23E"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dic-22</w:t>
            </w:r>
          </w:p>
        </w:tc>
      </w:tr>
      <w:tr w:rsidR="007B3093" w14:paraId="449533C4" w14:textId="77777777">
        <w:trPr>
          <w:trHeight w:val="34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5AA7EF"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C1.4</w:t>
            </w:r>
          </w:p>
        </w:tc>
        <w:tc>
          <w:tcPr>
            <w:tcW w:w="0" w:type="auto"/>
            <w:tcBorders>
              <w:top w:val="nil"/>
              <w:left w:val="nil"/>
              <w:bottom w:val="single" w:sz="4" w:space="0" w:color="auto"/>
              <w:right w:val="single" w:sz="4" w:space="0" w:color="auto"/>
            </w:tcBorders>
            <w:shd w:val="clear" w:color="auto" w:fill="auto"/>
            <w:vAlign w:val="center"/>
            <w:hideMark/>
          </w:tcPr>
          <w:p w14:paraId="60E97FC5"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Fortalecer el Hardware para soportar el nuevo sistema integrado</w:t>
            </w:r>
          </w:p>
        </w:tc>
        <w:tc>
          <w:tcPr>
            <w:tcW w:w="0" w:type="auto"/>
            <w:tcBorders>
              <w:top w:val="nil"/>
              <w:left w:val="nil"/>
              <w:bottom w:val="single" w:sz="4" w:space="0" w:color="auto"/>
              <w:right w:val="single" w:sz="4" w:space="0" w:color="auto"/>
            </w:tcBorders>
            <w:shd w:val="clear" w:color="auto" w:fill="auto"/>
            <w:noWrap/>
            <w:vAlign w:val="center"/>
            <w:hideMark/>
          </w:tcPr>
          <w:p w14:paraId="78D7A3D2"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nov-21</w:t>
            </w:r>
          </w:p>
        </w:tc>
        <w:tc>
          <w:tcPr>
            <w:tcW w:w="0" w:type="auto"/>
            <w:tcBorders>
              <w:top w:val="nil"/>
              <w:left w:val="nil"/>
              <w:bottom w:val="single" w:sz="4" w:space="0" w:color="auto"/>
              <w:right w:val="single" w:sz="4" w:space="0" w:color="auto"/>
            </w:tcBorders>
            <w:shd w:val="clear" w:color="auto" w:fill="auto"/>
            <w:noWrap/>
            <w:vAlign w:val="center"/>
            <w:hideMark/>
          </w:tcPr>
          <w:p w14:paraId="03B4A7C7"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ab-25</w:t>
            </w:r>
          </w:p>
        </w:tc>
      </w:tr>
      <w:tr w:rsidR="007B3093" w14:paraId="662B3BA4" w14:textId="77777777">
        <w:trPr>
          <w:trHeight w:val="27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EFC211"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C2.2</w:t>
            </w:r>
          </w:p>
        </w:tc>
        <w:tc>
          <w:tcPr>
            <w:tcW w:w="0" w:type="auto"/>
            <w:tcBorders>
              <w:top w:val="nil"/>
              <w:left w:val="nil"/>
              <w:bottom w:val="single" w:sz="4" w:space="0" w:color="auto"/>
              <w:right w:val="single" w:sz="4" w:space="0" w:color="auto"/>
            </w:tcBorders>
            <w:shd w:val="clear" w:color="auto" w:fill="auto"/>
            <w:vAlign w:val="center"/>
            <w:hideMark/>
          </w:tcPr>
          <w:p w14:paraId="4AF4D42D"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Brindar una capacitación especializada en jurisprudencia internacional</w:t>
            </w:r>
          </w:p>
        </w:tc>
        <w:tc>
          <w:tcPr>
            <w:tcW w:w="0" w:type="auto"/>
            <w:tcBorders>
              <w:top w:val="nil"/>
              <w:left w:val="nil"/>
              <w:bottom w:val="single" w:sz="4" w:space="0" w:color="auto"/>
              <w:right w:val="single" w:sz="4" w:space="0" w:color="auto"/>
            </w:tcBorders>
            <w:shd w:val="clear" w:color="auto" w:fill="auto"/>
            <w:noWrap/>
            <w:vAlign w:val="center"/>
            <w:hideMark/>
          </w:tcPr>
          <w:p w14:paraId="2D7C9F8F"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nov-21</w:t>
            </w:r>
          </w:p>
        </w:tc>
        <w:tc>
          <w:tcPr>
            <w:tcW w:w="0" w:type="auto"/>
            <w:tcBorders>
              <w:top w:val="nil"/>
              <w:left w:val="nil"/>
              <w:bottom w:val="single" w:sz="4" w:space="0" w:color="auto"/>
              <w:right w:val="single" w:sz="4" w:space="0" w:color="auto"/>
            </w:tcBorders>
            <w:shd w:val="clear" w:color="auto" w:fill="auto"/>
            <w:noWrap/>
            <w:vAlign w:val="center"/>
            <w:hideMark/>
          </w:tcPr>
          <w:p w14:paraId="2102094B"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feb-22</w:t>
            </w:r>
          </w:p>
        </w:tc>
      </w:tr>
      <w:tr w:rsidR="007B3093" w14:paraId="031D32E3"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9BE1AA"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C2.4</w:t>
            </w:r>
          </w:p>
        </w:tc>
        <w:tc>
          <w:tcPr>
            <w:tcW w:w="0" w:type="auto"/>
            <w:tcBorders>
              <w:top w:val="nil"/>
              <w:left w:val="nil"/>
              <w:bottom w:val="single" w:sz="4" w:space="0" w:color="auto"/>
              <w:right w:val="single" w:sz="4" w:space="0" w:color="auto"/>
            </w:tcBorders>
            <w:shd w:val="clear" w:color="auto" w:fill="auto"/>
            <w:vAlign w:val="center"/>
            <w:hideMark/>
          </w:tcPr>
          <w:p w14:paraId="2E2CFD7E"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Obtener acceso a bases de datos especializadas en temas jurídicos.</w:t>
            </w:r>
          </w:p>
        </w:tc>
        <w:tc>
          <w:tcPr>
            <w:tcW w:w="0" w:type="auto"/>
            <w:tcBorders>
              <w:top w:val="nil"/>
              <w:left w:val="nil"/>
              <w:bottom w:val="single" w:sz="4" w:space="0" w:color="auto"/>
              <w:right w:val="single" w:sz="4" w:space="0" w:color="auto"/>
            </w:tcBorders>
            <w:shd w:val="clear" w:color="auto" w:fill="auto"/>
            <w:noWrap/>
            <w:vAlign w:val="center"/>
            <w:hideMark/>
          </w:tcPr>
          <w:p w14:paraId="0F05903C"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may-22</w:t>
            </w:r>
          </w:p>
        </w:tc>
        <w:tc>
          <w:tcPr>
            <w:tcW w:w="0" w:type="auto"/>
            <w:tcBorders>
              <w:top w:val="nil"/>
              <w:left w:val="nil"/>
              <w:bottom w:val="single" w:sz="4" w:space="0" w:color="auto"/>
              <w:right w:val="single" w:sz="4" w:space="0" w:color="auto"/>
            </w:tcBorders>
            <w:shd w:val="clear" w:color="auto" w:fill="auto"/>
            <w:noWrap/>
            <w:vAlign w:val="center"/>
            <w:hideMark/>
          </w:tcPr>
          <w:p w14:paraId="637B0FE2"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jul-22</w:t>
            </w:r>
          </w:p>
        </w:tc>
      </w:tr>
      <w:tr w:rsidR="007B3093" w14:paraId="447C62A2" w14:textId="77777777">
        <w:trPr>
          <w:trHeight w:val="12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5E384"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C4.1</w:t>
            </w:r>
          </w:p>
        </w:tc>
        <w:tc>
          <w:tcPr>
            <w:tcW w:w="0" w:type="auto"/>
            <w:tcBorders>
              <w:top w:val="nil"/>
              <w:left w:val="nil"/>
              <w:bottom w:val="single" w:sz="4" w:space="0" w:color="auto"/>
              <w:right w:val="single" w:sz="4" w:space="0" w:color="auto"/>
            </w:tcBorders>
            <w:shd w:val="clear" w:color="auto" w:fill="auto"/>
            <w:vAlign w:val="center"/>
            <w:hideMark/>
          </w:tcPr>
          <w:p w14:paraId="38660983"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Readecuar los espacios de los centros de mediación.</w:t>
            </w:r>
          </w:p>
        </w:tc>
        <w:tc>
          <w:tcPr>
            <w:tcW w:w="0" w:type="auto"/>
            <w:tcBorders>
              <w:top w:val="nil"/>
              <w:left w:val="nil"/>
              <w:bottom w:val="single" w:sz="4" w:space="0" w:color="auto"/>
              <w:right w:val="single" w:sz="4" w:space="0" w:color="auto"/>
            </w:tcBorders>
            <w:shd w:val="clear" w:color="auto" w:fill="auto"/>
            <w:noWrap/>
            <w:vAlign w:val="center"/>
            <w:hideMark/>
          </w:tcPr>
          <w:p w14:paraId="3D87A6CE"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may-22</w:t>
            </w:r>
          </w:p>
        </w:tc>
        <w:tc>
          <w:tcPr>
            <w:tcW w:w="0" w:type="auto"/>
            <w:tcBorders>
              <w:top w:val="nil"/>
              <w:left w:val="nil"/>
              <w:bottom w:val="single" w:sz="4" w:space="0" w:color="auto"/>
              <w:right w:val="single" w:sz="4" w:space="0" w:color="auto"/>
            </w:tcBorders>
            <w:shd w:val="clear" w:color="auto" w:fill="auto"/>
            <w:noWrap/>
            <w:vAlign w:val="center"/>
            <w:hideMark/>
          </w:tcPr>
          <w:p w14:paraId="1816F9DD"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ag-25</w:t>
            </w:r>
          </w:p>
        </w:tc>
      </w:tr>
      <w:tr w:rsidR="007B3093" w14:paraId="46CA4E9E" w14:textId="77777777">
        <w:trPr>
          <w:trHeight w:val="55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E0C866"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C3.1</w:t>
            </w:r>
          </w:p>
        </w:tc>
        <w:tc>
          <w:tcPr>
            <w:tcW w:w="0" w:type="auto"/>
            <w:tcBorders>
              <w:top w:val="nil"/>
              <w:left w:val="nil"/>
              <w:bottom w:val="single" w:sz="4" w:space="0" w:color="auto"/>
              <w:right w:val="single" w:sz="4" w:space="0" w:color="auto"/>
            </w:tcBorders>
            <w:shd w:val="clear" w:color="auto" w:fill="auto"/>
            <w:vAlign w:val="center"/>
            <w:hideMark/>
          </w:tcPr>
          <w:p w14:paraId="3474F24F"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Generar un sistema informático para brindar asesoría Legal a Organismos del Estado para no infringir los marcos normativos y para desarrollar una defensa óptima.</w:t>
            </w:r>
          </w:p>
        </w:tc>
        <w:tc>
          <w:tcPr>
            <w:tcW w:w="0" w:type="auto"/>
            <w:tcBorders>
              <w:top w:val="nil"/>
              <w:left w:val="nil"/>
              <w:bottom w:val="single" w:sz="4" w:space="0" w:color="auto"/>
              <w:right w:val="single" w:sz="4" w:space="0" w:color="auto"/>
            </w:tcBorders>
            <w:shd w:val="clear" w:color="auto" w:fill="auto"/>
            <w:noWrap/>
            <w:vAlign w:val="center"/>
            <w:hideMark/>
          </w:tcPr>
          <w:p w14:paraId="058080EB"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jun-22</w:t>
            </w:r>
          </w:p>
        </w:tc>
        <w:tc>
          <w:tcPr>
            <w:tcW w:w="0" w:type="auto"/>
            <w:tcBorders>
              <w:top w:val="nil"/>
              <w:left w:val="nil"/>
              <w:bottom w:val="single" w:sz="4" w:space="0" w:color="auto"/>
              <w:right w:val="single" w:sz="4" w:space="0" w:color="auto"/>
            </w:tcBorders>
            <w:shd w:val="clear" w:color="auto" w:fill="auto"/>
            <w:noWrap/>
            <w:vAlign w:val="center"/>
            <w:hideMark/>
          </w:tcPr>
          <w:p w14:paraId="2DDE5E09"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oct-25</w:t>
            </w:r>
          </w:p>
        </w:tc>
      </w:tr>
      <w:tr w:rsidR="007B3093" w14:paraId="153C6D07" w14:textId="77777777">
        <w:trPr>
          <w:trHeight w:val="12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36EAF3"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C1.3</w:t>
            </w:r>
          </w:p>
        </w:tc>
        <w:tc>
          <w:tcPr>
            <w:tcW w:w="0" w:type="auto"/>
            <w:tcBorders>
              <w:top w:val="nil"/>
              <w:left w:val="nil"/>
              <w:bottom w:val="single" w:sz="4" w:space="0" w:color="auto"/>
              <w:right w:val="single" w:sz="4" w:space="0" w:color="auto"/>
            </w:tcBorders>
            <w:shd w:val="clear" w:color="auto" w:fill="auto"/>
            <w:vAlign w:val="center"/>
            <w:hideMark/>
          </w:tcPr>
          <w:p w14:paraId="07E0472B"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Implementar un Sistema Informático Integrado</w:t>
            </w:r>
          </w:p>
        </w:tc>
        <w:tc>
          <w:tcPr>
            <w:tcW w:w="0" w:type="auto"/>
            <w:tcBorders>
              <w:top w:val="nil"/>
              <w:left w:val="nil"/>
              <w:bottom w:val="single" w:sz="4" w:space="0" w:color="auto"/>
              <w:right w:val="single" w:sz="4" w:space="0" w:color="auto"/>
            </w:tcBorders>
            <w:shd w:val="clear" w:color="auto" w:fill="auto"/>
            <w:noWrap/>
            <w:vAlign w:val="center"/>
            <w:hideMark/>
          </w:tcPr>
          <w:p w14:paraId="4216FCC3"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nov-22</w:t>
            </w:r>
          </w:p>
        </w:tc>
        <w:tc>
          <w:tcPr>
            <w:tcW w:w="0" w:type="auto"/>
            <w:tcBorders>
              <w:top w:val="nil"/>
              <w:left w:val="nil"/>
              <w:bottom w:val="single" w:sz="4" w:space="0" w:color="auto"/>
              <w:right w:val="single" w:sz="4" w:space="0" w:color="auto"/>
            </w:tcBorders>
            <w:shd w:val="clear" w:color="auto" w:fill="auto"/>
            <w:noWrap/>
            <w:vAlign w:val="center"/>
            <w:hideMark/>
          </w:tcPr>
          <w:p w14:paraId="06EB8AE7"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nov-25</w:t>
            </w:r>
          </w:p>
        </w:tc>
      </w:tr>
      <w:tr w:rsidR="007B3093" w14:paraId="74C2BE75" w14:textId="77777777">
        <w:trPr>
          <w:trHeight w:val="1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F665B"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C5.2</w:t>
            </w:r>
          </w:p>
        </w:tc>
        <w:tc>
          <w:tcPr>
            <w:tcW w:w="0" w:type="auto"/>
            <w:tcBorders>
              <w:top w:val="nil"/>
              <w:left w:val="nil"/>
              <w:bottom w:val="single" w:sz="4" w:space="0" w:color="auto"/>
              <w:right w:val="single" w:sz="4" w:space="0" w:color="auto"/>
            </w:tcBorders>
            <w:shd w:val="clear" w:color="auto" w:fill="auto"/>
            <w:vAlign w:val="center"/>
            <w:hideMark/>
          </w:tcPr>
          <w:p w14:paraId="17768F79"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Capacitar en herramientas de comunicación</w:t>
            </w:r>
          </w:p>
        </w:tc>
        <w:tc>
          <w:tcPr>
            <w:tcW w:w="0" w:type="auto"/>
            <w:tcBorders>
              <w:top w:val="nil"/>
              <w:left w:val="nil"/>
              <w:bottom w:val="single" w:sz="4" w:space="0" w:color="auto"/>
              <w:right w:val="single" w:sz="4" w:space="0" w:color="auto"/>
            </w:tcBorders>
            <w:shd w:val="clear" w:color="auto" w:fill="auto"/>
            <w:noWrap/>
            <w:vAlign w:val="center"/>
            <w:hideMark/>
          </w:tcPr>
          <w:p w14:paraId="3A6AC357"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ene-24</w:t>
            </w:r>
          </w:p>
        </w:tc>
        <w:tc>
          <w:tcPr>
            <w:tcW w:w="0" w:type="auto"/>
            <w:tcBorders>
              <w:top w:val="nil"/>
              <w:left w:val="nil"/>
              <w:bottom w:val="single" w:sz="4" w:space="0" w:color="auto"/>
              <w:right w:val="single" w:sz="4" w:space="0" w:color="auto"/>
            </w:tcBorders>
            <w:shd w:val="clear" w:color="auto" w:fill="auto"/>
            <w:noWrap/>
            <w:vAlign w:val="center"/>
            <w:hideMark/>
          </w:tcPr>
          <w:p w14:paraId="2CD4A4CB"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ag-25</w:t>
            </w:r>
          </w:p>
        </w:tc>
      </w:tr>
      <w:tr w:rsidR="007B3093" w14:paraId="15295AA2"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18FFA"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C5.4</w:t>
            </w:r>
          </w:p>
        </w:tc>
        <w:tc>
          <w:tcPr>
            <w:tcW w:w="0" w:type="auto"/>
            <w:tcBorders>
              <w:top w:val="nil"/>
              <w:left w:val="nil"/>
              <w:bottom w:val="single" w:sz="4" w:space="0" w:color="auto"/>
              <w:right w:val="single" w:sz="4" w:space="0" w:color="auto"/>
            </w:tcBorders>
            <w:shd w:val="clear" w:color="auto" w:fill="auto"/>
            <w:vAlign w:val="center"/>
            <w:hideMark/>
          </w:tcPr>
          <w:p w14:paraId="32CD653A" w14:textId="77777777" w:rsidR="007B3093" w:rsidRDefault="00000000">
            <w:pPr>
              <w:spacing w:after="0" w:line="240" w:lineRule="auto"/>
              <w:rPr>
                <w:rFonts w:ascii="Calibri" w:eastAsia="Times New Roman" w:hAnsi="Calibri" w:cs="Calibri"/>
                <w:sz w:val="20"/>
                <w:szCs w:val="20"/>
                <w:lang w:eastAsia="es-EC"/>
              </w:rPr>
            </w:pPr>
            <w:r>
              <w:rPr>
                <w:rFonts w:ascii="Calibri" w:eastAsia="Times New Roman" w:hAnsi="Calibri" w:cs="Calibri"/>
                <w:sz w:val="20"/>
                <w:szCs w:val="20"/>
                <w:lang w:eastAsia="es-EC"/>
              </w:rPr>
              <w:t>Realizar una encuesta ciudadana de percepción</w:t>
            </w:r>
          </w:p>
        </w:tc>
        <w:tc>
          <w:tcPr>
            <w:tcW w:w="0" w:type="auto"/>
            <w:tcBorders>
              <w:top w:val="nil"/>
              <w:left w:val="nil"/>
              <w:bottom w:val="single" w:sz="4" w:space="0" w:color="auto"/>
              <w:right w:val="single" w:sz="4" w:space="0" w:color="auto"/>
            </w:tcBorders>
            <w:shd w:val="clear" w:color="auto" w:fill="auto"/>
            <w:noWrap/>
            <w:vAlign w:val="center"/>
            <w:hideMark/>
          </w:tcPr>
          <w:p w14:paraId="0CB14235"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ene-24</w:t>
            </w:r>
          </w:p>
        </w:tc>
        <w:tc>
          <w:tcPr>
            <w:tcW w:w="0" w:type="auto"/>
            <w:tcBorders>
              <w:top w:val="nil"/>
              <w:left w:val="nil"/>
              <w:bottom w:val="single" w:sz="4" w:space="0" w:color="auto"/>
              <w:right w:val="single" w:sz="4" w:space="0" w:color="auto"/>
            </w:tcBorders>
            <w:shd w:val="clear" w:color="auto" w:fill="auto"/>
            <w:noWrap/>
            <w:vAlign w:val="center"/>
            <w:hideMark/>
          </w:tcPr>
          <w:p w14:paraId="0745A075"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sz w:val="20"/>
                <w:szCs w:val="20"/>
                <w:lang w:eastAsia="es-EC"/>
              </w:rPr>
              <w:t>ag-25</w:t>
            </w:r>
          </w:p>
        </w:tc>
      </w:tr>
    </w:tbl>
    <w:p w14:paraId="6E86C02E"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b/>
          <w:sz w:val="20"/>
          <w:szCs w:val="20"/>
          <w:lang w:eastAsia="es-EC"/>
        </w:rPr>
        <w:t>Fuente y elaboración:</w:t>
      </w:r>
      <w:r>
        <w:rPr>
          <w:rFonts w:ascii="Calibri" w:eastAsia="Times New Roman" w:hAnsi="Calibri" w:cs="Calibri"/>
          <w:sz w:val="20"/>
          <w:szCs w:val="20"/>
          <w:lang w:eastAsia="es-EC"/>
        </w:rPr>
        <w:t xml:space="preserve"> EDG PROFIP</w:t>
      </w:r>
    </w:p>
    <w:p w14:paraId="4287A1EB" w14:textId="77777777" w:rsidR="007B3093" w:rsidRDefault="007B3093">
      <w:pPr>
        <w:pStyle w:val="Ttulo2"/>
        <w:spacing w:before="0" w:line="360" w:lineRule="auto"/>
        <w:ind w:left="426"/>
        <w:rPr>
          <w:rFonts w:asciiTheme="minorHAnsi" w:hAnsiTheme="minorHAnsi" w:cstheme="minorHAnsi"/>
          <w:b/>
          <w:color w:val="auto"/>
          <w:sz w:val="22"/>
          <w:szCs w:val="22"/>
        </w:rPr>
      </w:pPr>
    </w:p>
    <w:p w14:paraId="685B7BED" w14:textId="77777777" w:rsidR="007B3093" w:rsidRDefault="00000000">
      <w:pPr>
        <w:pStyle w:val="Ttulo2"/>
        <w:numPr>
          <w:ilvl w:val="1"/>
          <w:numId w:val="83"/>
        </w:numPr>
        <w:spacing w:before="0" w:line="360" w:lineRule="auto"/>
        <w:ind w:left="426"/>
        <w:rPr>
          <w:rFonts w:asciiTheme="minorHAnsi" w:hAnsiTheme="minorHAnsi" w:cstheme="minorHAnsi"/>
          <w:b/>
          <w:color w:val="auto"/>
          <w:sz w:val="22"/>
          <w:szCs w:val="22"/>
        </w:rPr>
      </w:pPr>
      <w:bookmarkStart w:id="101" w:name="_Toc195010109"/>
      <w:r>
        <w:rPr>
          <w:rFonts w:asciiTheme="minorHAnsi" w:hAnsiTheme="minorHAnsi" w:cstheme="minorHAnsi"/>
          <w:b/>
          <w:color w:val="auto"/>
          <w:sz w:val="22"/>
          <w:szCs w:val="22"/>
        </w:rPr>
        <w:t>Evaluación de resultados e impactos</w:t>
      </w:r>
      <w:bookmarkEnd w:id="101"/>
    </w:p>
    <w:p w14:paraId="18AE1ED9" w14:textId="77777777" w:rsidR="007B3093" w:rsidRDefault="00000000">
      <w:pPr>
        <w:pStyle w:val="Prrafodelista"/>
        <w:spacing w:before="120" w:after="120" w:line="360" w:lineRule="auto"/>
        <w:ind w:left="142" w:firstLine="425"/>
        <w:contextualSpacing w:val="0"/>
        <w:jc w:val="both"/>
      </w:pPr>
      <w:r>
        <w:t xml:space="preserve">Las personas </w:t>
      </w:r>
      <w:r>
        <w:rPr>
          <w:rFonts w:eastAsia="Times New Roman" w:cstheme="minorHAnsi"/>
          <w:bCs/>
          <w:color w:val="000000"/>
          <w:lang w:eastAsia="es-EC"/>
        </w:rPr>
        <w:t>responsables</w:t>
      </w:r>
      <w:r>
        <w:t xml:space="preserve"> del seguimiento y evaluación del proyecto presentarán:</w:t>
      </w:r>
    </w:p>
    <w:p w14:paraId="6AE225F3" w14:textId="77777777" w:rsidR="007B3093" w:rsidRDefault="00000000">
      <w:pPr>
        <w:pStyle w:val="Prrafodelista"/>
        <w:numPr>
          <w:ilvl w:val="0"/>
          <w:numId w:val="25"/>
        </w:numPr>
        <w:spacing w:after="0" w:line="360" w:lineRule="auto"/>
        <w:jc w:val="both"/>
      </w:pPr>
      <w:r>
        <w:t>Calificación del grado de desempeño del proyecto, conforme al avance del cumplimiento de indicadores, avance en la ejecución del presupuesto, en ese sentido:</w:t>
      </w:r>
    </w:p>
    <w:p w14:paraId="00D6C12F" w14:textId="77777777" w:rsidR="007B3093" w:rsidRDefault="00000000">
      <w:pPr>
        <w:spacing w:after="0" w:line="360" w:lineRule="auto"/>
        <w:ind w:left="720"/>
        <w:jc w:val="both"/>
      </w:pPr>
      <w:r>
        <w:t>Se evaluará el cumplimiento del indicador propuesto en el propósito en el último año de ejecución del proyecto, esto en concordancia con el indicador general establecido por el organismo financiador BID, que será medido al finalizar el último año de gestión del proyecto.  Es importante precisar que se anualizó la meta del período en cumplimiento de lo que determina la guía de Elaboración de Proyectos, sin embargo, al ser un proyecto financiado con recursos BID el indicador de propósito es coincidente con el indicador general establecido en el contrato de crédito el cual busca medir al final del proyecto el resultado obtenido.</w:t>
      </w:r>
    </w:p>
    <w:p w14:paraId="49BDDCC0" w14:textId="77777777" w:rsidR="007B3093" w:rsidRDefault="00000000">
      <w:pPr>
        <w:spacing w:after="0" w:line="360" w:lineRule="auto"/>
        <w:jc w:val="both"/>
      </w:pPr>
      <w:r>
        <w:t>A nivel de metas de propósito el detalle es el siguiente:</w:t>
      </w:r>
    </w:p>
    <w:p w14:paraId="13CA7FD4" w14:textId="77777777" w:rsidR="007B3093" w:rsidRDefault="00000000">
      <w:pPr>
        <w:autoSpaceDE w:val="0"/>
        <w:autoSpaceDN w:val="0"/>
        <w:adjustRightInd w:val="0"/>
        <w:spacing w:after="0" w:line="360" w:lineRule="auto"/>
        <w:ind w:left="-502" w:right="-1"/>
        <w:jc w:val="center"/>
        <w:rPr>
          <w:rFonts w:cstheme="minorHAnsi"/>
          <w:b/>
        </w:rPr>
      </w:pPr>
      <w:r>
        <w:rPr>
          <w:rFonts w:cstheme="minorHAnsi"/>
          <w:b/>
        </w:rPr>
        <w:t>Tabla 42: Metas de Propósito</w:t>
      </w:r>
    </w:p>
    <w:tbl>
      <w:tblPr>
        <w:tblW w:w="8872" w:type="dxa"/>
        <w:tblLayout w:type="fixed"/>
        <w:tblCellMar>
          <w:top w:w="15" w:type="dxa"/>
          <w:left w:w="70" w:type="dxa"/>
          <w:right w:w="70" w:type="dxa"/>
        </w:tblCellMar>
        <w:tblLook w:val="04A0" w:firstRow="1" w:lastRow="0" w:firstColumn="1" w:lastColumn="0" w:noHBand="0" w:noVBand="1"/>
      </w:tblPr>
      <w:tblGrid>
        <w:gridCol w:w="1705"/>
        <w:gridCol w:w="854"/>
        <w:gridCol w:w="748"/>
        <w:gridCol w:w="676"/>
        <w:gridCol w:w="629"/>
        <w:gridCol w:w="537"/>
        <w:gridCol w:w="611"/>
        <w:gridCol w:w="572"/>
        <w:gridCol w:w="572"/>
        <w:gridCol w:w="517"/>
        <w:gridCol w:w="576"/>
        <w:gridCol w:w="714"/>
        <w:gridCol w:w="161"/>
      </w:tblGrid>
      <w:tr w:rsidR="007B3093" w14:paraId="2F7A3D53" w14:textId="77777777">
        <w:trPr>
          <w:gridAfter w:val="1"/>
          <w:wAfter w:w="161" w:type="dxa"/>
          <w:trHeight w:val="229"/>
        </w:trPr>
        <w:tc>
          <w:tcPr>
            <w:tcW w:w="1705"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5A96B14B"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INDICADOR DE PROPÓSITO</w:t>
            </w:r>
          </w:p>
        </w:tc>
        <w:tc>
          <w:tcPr>
            <w:tcW w:w="854" w:type="dxa"/>
            <w:tcBorders>
              <w:top w:val="single" w:sz="8" w:space="0" w:color="auto"/>
              <w:left w:val="nil"/>
              <w:bottom w:val="single" w:sz="8" w:space="0" w:color="auto"/>
              <w:right w:val="single" w:sz="8" w:space="0" w:color="auto"/>
            </w:tcBorders>
            <w:shd w:val="clear" w:color="000000" w:fill="44546A"/>
            <w:vAlign w:val="center"/>
            <w:hideMark/>
          </w:tcPr>
          <w:p w14:paraId="621C7CCF"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UNIDAD</w:t>
            </w:r>
          </w:p>
        </w:tc>
        <w:tc>
          <w:tcPr>
            <w:tcW w:w="748" w:type="dxa"/>
            <w:tcBorders>
              <w:top w:val="single" w:sz="8" w:space="0" w:color="auto"/>
              <w:left w:val="nil"/>
              <w:bottom w:val="single" w:sz="8" w:space="0" w:color="auto"/>
              <w:right w:val="single" w:sz="8" w:space="0" w:color="auto"/>
            </w:tcBorders>
            <w:shd w:val="clear" w:color="000000" w:fill="44546A"/>
            <w:vAlign w:val="center"/>
            <w:hideMark/>
          </w:tcPr>
          <w:p w14:paraId="79ED06FC"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META</w:t>
            </w:r>
          </w:p>
        </w:tc>
        <w:tc>
          <w:tcPr>
            <w:tcW w:w="676"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1531E012"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POND.</w:t>
            </w:r>
          </w:p>
        </w:tc>
        <w:tc>
          <w:tcPr>
            <w:tcW w:w="629"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356DC305"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2019</w:t>
            </w:r>
          </w:p>
        </w:tc>
        <w:tc>
          <w:tcPr>
            <w:tcW w:w="537"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4EDF5E4C"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2020</w:t>
            </w:r>
          </w:p>
        </w:tc>
        <w:tc>
          <w:tcPr>
            <w:tcW w:w="611"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6A316E63"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2021</w:t>
            </w:r>
          </w:p>
        </w:tc>
        <w:tc>
          <w:tcPr>
            <w:tcW w:w="572"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0564B192"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2022</w:t>
            </w:r>
          </w:p>
        </w:tc>
        <w:tc>
          <w:tcPr>
            <w:tcW w:w="572"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02FCED35"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2023</w:t>
            </w:r>
          </w:p>
        </w:tc>
        <w:tc>
          <w:tcPr>
            <w:tcW w:w="517"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3C24C273"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2024</w:t>
            </w:r>
          </w:p>
        </w:tc>
        <w:tc>
          <w:tcPr>
            <w:tcW w:w="576"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69449875"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2025</w:t>
            </w:r>
          </w:p>
        </w:tc>
        <w:tc>
          <w:tcPr>
            <w:tcW w:w="714"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0799B9D1"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TOTAL</w:t>
            </w:r>
            <w:r>
              <w:rPr>
                <w:rFonts w:ascii="Calibri" w:eastAsia="Times New Roman" w:hAnsi="Calibri" w:cs="Calibri"/>
                <w:color w:val="000000"/>
                <w:sz w:val="16"/>
                <w:szCs w:val="16"/>
                <w:lang w:eastAsia="es-EC"/>
              </w:rPr>
              <w:t> </w:t>
            </w:r>
          </w:p>
        </w:tc>
      </w:tr>
      <w:tr w:rsidR="007B3093" w14:paraId="46C7880B" w14:textId="77777777">
        <w:trPr>
          <w:gridAfter w:val="1"/>
          <w:wAfter w:w="161" w:type="dxa"/>
          <w:trHeight w:val="229"/>
        </w:trPr>
        <w:tc>
          <w:tcPr>
            <w:tcW w:w="1705" w:type="dxa"/>
            <w:vMerge/>
            <w:tcBorders>
              <w:top w:val="single" w:sz="8" w:space="0" w:color="auto"/>
              <w:left w:val="single" w:sz="8" w:space="0" w:color="auto"/>
              <w:bottom w:val="single" w:sz="8" w:space="0" w:color="000000"/>
              <w:right w:val="single" w:sz="8" w:space="0" w:color="auto"/>
            </w:tcBorders>
            <w:vAlign w:val="center"/>
            <w:hideMark/>
          </w:tcPr>
          <w:p w14:paraId="7F8F6E0B" w14:textId="77777777" w:rsidR="007B3093" w:rsidRDefault="007B3093">
            <w:pPr>
              <w:spacing w:after="0" w:line="240" w:lineRule="auto"/>
              <w:rPr>
                <w:rFonts w:ascii="Calibri" w:eastAsia="Times New Roman" w:hAnsi="Calibri" w:cs="Calibri"/>
                <w:color w:val="FFFFFF"/>
                <w:sz w:val="16"/>
                <w:szCs w:val="16"/>
                <w:lang w:eastAsia="es-EC"/>
              </w:rPr>
            </w:pPr>
          </w:p>
        </w:tc>
        <w:tc>
          <w:tcPr>
            <w:tcW w:w="854" w:type="dxa"/>
            <w:tcBorders>
              <w:top w:val="nil"/>
              <w:left w:val="nil"/>
              <w:bottom w:val="single" w:sz="8" w:space="0" w:color="auto"/>
              <w:right w:val="single" w:sz="8" w:space="0" w:color="auto"/>
            </w:tcBorders>
            <w:shd w:val="clear" w:color="000000" w:fill="44546A"/>
            <w:vAlign w:val="center"/>
            <w:hideMark/>
          </w:tcPr>
          <w:p w14:paraId="3C7D947B"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DE MEDIDA</w:t>
            </w:r>
          </w:p>
        </w:tc>
        <w:tc>
          <w:tcPr>
            <w:tcW w:w="748" w:type="dxa"/>
            <w:tcBorders>
              <w:top w:val="nil"/>
              <w:left w:val="nil"/>
              <w:bottom w:val="single" w:sz="8" w:space="0" w:color="auto"/>
              <w:right w:val="single" w:sz="8" w:space="0" w:color="auto"/>
            </w:tcBorders>
            <w:shd w:val="clear" w:color="000000" w:fill="44546A"/>
            <w:vAlign w:val="center"/>
            <w:hideMark/>
          </w:tcPr>
          <w:p w14:paraId="38B60F85" w14:textId="77777777" w:rsidR="007B3093" w:rsidRDefault="00000000">
            <w:pPr>
              <w:spacing w:after="0" w:line="240" w:lineRule="auto"/>
              <w:jc w:val="center"/>
              <w:rPr>
                <w:rFonts w:ascii="Calibri" w:eastAsia="Times New Roman" w:hAnsi="Calibri" w:cs="Calibri"/>
                <w:color w:val="FFFFFF"/>
                <w:sz w:val="16"/>
                <w:szCs w:val="16"/>
                <w:lang w:eastAsia="es-EC"/>
              </w:rPr>
            </w:pPr>
            <w:r>
              <w:rPr>
                <w:rFonts w:ascii="Calibri" w:eastAsia="Times New Roman" w:hAnsi="Calibri" w:cs="Calibri"/>
                <w:color w:val="FFFFFF"/>
                <w:sz w:val="16"/>
                <w:szCs w:val="16"/>
                <w:lang w:eastAsia="es-EC"/>
              </w:rPr>
              <w:t>PROPOSITO</w:t>
            </w:r>
          </w:p>
        </w:tc>
        <w:tc>
          <w:tcPr>
            <w:tcW w:w="676" w:type="dxa"/>
            <w:vMerge/>
            <w:tcBorders>
              <w:top w:val="single" w:sz="8" w:space="0" w:color="auto"/>
              <w:left w:val="single" w:sz="8" w:space="0" w:color="auto"/>
              <w:bottom w:val="single" w:sz="8" w:space="0" w:color="000000"/>
              <w:right w:val="single" w:sz="8" w:space="0" w:color="auto"/>
            </w:tcBorders>
            <w:vAlign w:val="center"/>
            <w:hideMark/>
          </w:tcPr>
          <w:p w14:paraId="3B7E3D2E" w14:textId="77777777" w:rsidR="007B3093" w:rsidRDefault="007B3093">
            <w:pPr>
              <w:spacing w:after="0" w:line="240" w:lineRule="auto"/>
              <w:rPr>
                <w:rFonts w:ascii="Calibri" w:eastAsia="Times New Roman" w:hAnsi="Calibri" w:cs="Calibri"/>
                <w:color w:val="FFFFFF"/>
                <w:sz w:val="16"/>
                <w:szCs w:val="16"/>
                <w:lang w:eastAsia="es-EC"/>
              </w:rPr>
            </w:pPr>
          </w:p>
        </w:tc>
        <w:tc>
          <w:tcPr>
            <w:tcW w:w="629" w:type="dxa"/>
            <w:vMerge/>
            <w:tcBorders>
              <w:top w:val="single" w:sz="8" w:space="0" w:color="auto"/>
              <w:left w:val="single" w:sz="8" w:space="0" w:color="auto"/>
              <w:bottom w:val="single" w:sz="8" w:space="0" w:color="000000"/>
              <w:right w:val="single" w:sz="8" w:space="0" w:color="auto"/>
            </w:tcBorders>
            <w:vAlign w:val="center"/>
            <w:hideMark/>
          </w:tcPr>
          <w:p w14:paraId="74FDDBB5" w14:textId="77777777" w:rsidR="007B3093" w:rsidRDefault="007B3093">
            <w:pPr>
              <w:spacing w:after="0" w:line="240" w:lineRule="auto"/>
              <w:rPr>
                <w:rFonts w:ascii="Calibri" w:eastAsia="Times New Roman" w:hAnsi="Calibri" w:cs="Calibri"/>
                <w:color w:val="FFFFFF"/>
                <w:sz w:val="16"/>
                <w:szCs w:val="16"/>
                <w:lang w:eastAsia="es-EC"/>
              </w:rPr>
            </w:pPr>
          </w:p>
        </w:tc>
        <w:tc>
          <w:tcPr>
            <w:tcW w:w="537" w:type="dxa"/>
            <w:vMerge/>
            <w:tcBorders>
              <w:top w:val="single" w:sz="8" w:space="0" w:color="auto"/>
              <w:left w:val="single" w:sz="8" w:space="0" w:color="auto"/>
              <w:bottom w:val="single" w:sz="8" w:space="0" w:color="000000"/>
              <w:right w:val="single" w:sz="8" w:space="0" w:color="auto"/>
            </w:tcBorders>
            <w:vAlign w:val="center"/>
            <w:hideMark/>
          </w:tcPr>
          <w:p w14:paraId="49E2B254" w14:textId="77777777" w:rsidR="007B3093" w:rsidRDefault="007B3093">
            <w:pPr>
              <w:spacing w:after="0" w:line="240" w:lineRule="auto"/>
              <w:rPr>
                <w:rFonts w:ascii="Calibri" w:eastAsia="Times New Roman" w:hAnsi="Calibri" w:cs="Calibri"/>
                <w:color w:val="FFFFFF"/>
                <w:sz w:val="16"/>
                <w:szCs w:val="16"/>
                <w:lang w:eastAsia="es-EC"/>
              </w:rPr>
            </w:pPr>
          </w:p>
        </w:tc>
        <w:tc>
          <w:tcPr>
            <w:tcW w:w="611" w:type="dxa"/>
            <w:vMerge/>
            <w:tcBorders>
              <w:top w:val="single" w:sz="8" w:space="0" w:color="auto"/>
              <w:left w:val="single" w:sz="8" w:space="0" w:color="auto"/>
              <w:bottom w:val="single" w:sz="8" w:space="0" w:color="000000"/>
              <w:right w:val="single" w:sz="8" w:space="0" w:color="auto"/>
            </w:tcBorders>
            <w:vAlign w:val="center"/>
            <w:hideMark/>
          </w:tcPr>
          <w:p w14:paraId="18E018DC" w14:textId="77777777" w:rsidR="007B3093" w:rsidRDefault="007B3093">
            <w:pPr>
              <w:spacing w:after="0" w:line="240" w:lineRule="auto"/>
              <w:rPr>
                <w:rFonts w:ascii="Calibri" w:eastAsia="Times New Roman" w:hAnsi="Calibri" w:cs="Calibri"/>
                <w:color w:val="FFFFFF"/>
                <w:sz w:val="16"/>
                <w:szCs w:val="16"/>
                <w:lang w:eastAsia="es-EC"/>
              </w:rPr>
            </w:pPr>
          </w:p>
        </w:tc>
        <w:tc>
          <w:tcPr>
            <w:tcW w:w="572" w:type="dxa"/>
            <w:vMerge/>
            <w:tcBorders>
              <w:top w:val="single" w:sz="8" w:space="0" w:color="auto"/>
              <w:left w:val="single" w:sz="8" w:space="0" w:color="auto"/>
              <w:bottom w:val="single" w:sz="8" w:space="0" w:color="000000"/>
              <w:right w:val="single" w:sz="8" w:space="0" w:color="auto"/>
            </w:tcBorders>
            <w:vAlign w:val="center"/>
            <w:hideMark/>
          </w:tcPr>
          <w:p w14:paraId="68266951" w14:textId="77777777" w:rsidR="007B3093" w:rsidRDefault="007B3093">
            <w:pPr>
              <w:spacing w:after="0" w:line="240" w:lineRule="auto"/>
              <w:rPr>
                <w:rFonts w:ascii="Calibri" w:eastAsia="Times New Roman" w:hAnsi="Calibri" w:cs="Calibri"/>
                <w:color w:val="FFFFFF"/>
                <w:sz w:val="16"/>
                <w:szCs w:val="16"/>
                <w:lang w:eastAsia="es-EC"/>
              </w:rPr>
            </w:pPr>
          </w:p>
        </w:tc>
        <w:tc>
          <w:tcPr>
            <w:tcW w:w="572" w:type="dxa"/>
            <w:vMerge/>
            <w:tcBorders>
              <w:top w:val="single" w:sz="8" w:space="0" w:color="auto"/>
              <w:left w:val="single" w:sz="8" w:space="0" w:color="auto"/>
              <w:bottom w:val="single" w:sz="8" w:space="0" w:color="000000"/>
              <w:right w:val="single" w:sz="8" w:space="0" w:color="auto"/>
            </w:tcBorders>
            <w:vAlign w:val="center"/>
            <w:hideMark/>
          </w:tcPr>
          <w:p w14:paraId="24A32783" w14:textId="77777777" w:rsidR="007B3093" w:rsidRDefault="007B3093">
            <w:pPr>
              <w:spacing w:after="0" w:line="240" w:lineRule="auto"/>
              <w:rPr>
                <w:rFonts w:ascii="Calibri" w:eastAsia="Times New Roman" w:hAnsi="Calibri" w:cs="Calibri"/>
                <w:color w:val="FFFFFF"/>
                <w:sz w:val="16"/>
                <w:szCs w:val="16"/>
                <w:lang w:eastAsia="es-EC"/>
              </w:rPr>
            </w:pPr>
          </w:p>
        </w:tc>
        <w:tc>
          <w:tcPr>
            <w:tcW w:w="517" w:type="dxa"/>
            <w:vMerge/>
            <w:tcBorders>
              <w:top w:val="single" w:sz="8" w:space="0" w:color="auto"/>
              <w:left w:val="single" w:sz="8" w:space="0" w:color="auto"/>
              <w:bottom w:val="single" w:sz="8" w:space="0" w:color="000000"/>
              <w:right w:val="single" w:sz="8" w:space="0" w:color="auto"/>
            </w:tcBorders>
            <w:vAlign w:val="center"/>
            <w:hideMark/>
          </w:tcPr>
          <w:p w14:paraId="222F9353" w14:textId="77777777" w:rsidR="007B3093" w:rsidRDefault="007B3093">
            <w:pPr>
              <w:spacing w:after="0" w:line="240" w:lineRule="auto"/>
              <w:rPr>
                <w:rFonts w:ascii="Calibri" w:eastAsia="Times New Roman" w:hAnsi="Calibri" w:cs="Calibri"/>
                <w:color w:val="FFFFFF"/>
                <w:sz w:val="16"/>
                <w:szCs w:val="16"/>
                <w:lang w:eastAsia="es-EC"/>
              </w:rPr>
            </w:pPr>
          </w:p>
        </w:tc>
        <w:tc>
          <w:tcPr>
            <w:tcW w:w="576" w:type="dxa"/>
            <w:vMerge/>
            <w:tcBorders>
              <w:top w:val="single" w:sz="8" w:space="0" w:color="auto"/>
              <w:left w:val="single" w:sz="8" w:space="0" w:color="auto"/>
              <w:bottom w:val="single" w:sz="8" w:space="0" w:color="000000"/>
              <w:right w:val="single" w:sz="8" w:space="0" w:color="auto"/>
            </w:tcBorders>
            <w:vAlign w:val="center"/>
            <w:hideMark/>
          </w:tcPr>
          <w:p w14:paraId="16339C9D" w14:textId="77777777" w:rsidR="007B3093" w:rsidRDefault="007B3093">
            <w:pPr>
              <w:spacing w:after="0" w:line="240" w:lineRule="auto"/>
              <w:rPr>
                <w:rFonts w:ascii="Calibri" w:eastAsia="Times New Roman" w:hAnsi="Calibri" w:cs="Calibri"/>
                <w:color w:val="FFFFFF"/>
                <w:sz w:val="16"/>
                <w:szCs w:val="16"/>
                <w:lang w:eastAsia="es-EC"/>
              </w:rPr>
            </w:pPr>
          </w:p>
        </w:tc>
        <w:tc>
          <w:tcPr>
            <w:tcW w:w="714" w:type="dxa"/>
            <w:vMerge/>
            <w:tcBorders>
              <w:top w:val="single" w:sz="8" w:space="0" w:color="auto"/>
              <w:left w:val="single" w:sz="8" w:space="0" w:color="auto"/>
              <w:bottom w:val="single" w:sz="8" w:space="0" w:color="000000"/>
              <w:right w:val="single" w:sz="8" w:space="0" w:color="auto"/>
            </w:tcBorders>
            <w:vAlign w:val="center"/>
            <w:hideMark/>
          </w:tcPr>
          <w:p w14:paraId="550BF51F" w14:textId="77777777" w:rsidR="007B3093" w:rsidRDefault="007B3093">
            <w:pPr>
              <w:spacing w:after="0" w:line="240" w:lineRule="auto"/>
              <w:rPr>
                <w:rFonts w:ascii="Calibri" w:eastAsia="Times New Roman" w:hAnsi="Calibri" w:cs="Calibri"/>
                <w:color w:val="FFFFFF"/>
                <w:sz w:val="16"/>
                <w:szCs w:val="16"/>
                <w:lang w:eastAsia="es-EC"/>
              </w:rPr>
            </w:pPr>
          </w:p>
        </w:tc>
      </w:tr>
      <w:tr w:rsidR="007B3093" w14:paraId="583FA07A" w14:textId="77777777">
        <w:trPr>
          <w:gridAfter w:val="1"/>
          <w:wAfter w:w="161" w:type="dxa"/>
          <w:trHeight w:val="514"/>
        </w:trPr>
        <w:tc>
          <w:tcPr>
            <w:tcW w:w="1705" w:type="dxa"/>
            <w:vMerge w:val="restart"/>
            <w:tcBorders>
              <w:top w:val="nil"/>
              <w:left w:val="single" w:sz="8" w:space="0" w:color="auto"/>
              <w:bottom w:val="single" w:sz="8" w:space="0" w:color="000000"/>
              <w:right w:val="single" w:sz="8" w:space="0" w:color="auto"/>
            </w:tcBorders>
            <w:shd w:val="clear" w:color="auto" w:fill="auto"/>
            <w:vAlign w:val="center"/>
            <w:hideMark/>
          </w:tcPr>
          <w:p w14:paraId="6FBAE968"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Al terminar el año 2025 se disminuirá el número de casos activos en el stock de la PGE por lo menos en un 10%, en relación con su línea base</w:t>
            </w:r>
          </w:p>
        </w:tc>
        <w:tc>
          <w:tcPr>
            <w:tcW w:w="854" w:type="dxa"/>
            <w:vMerge w:val="restart"/>
            <w:tcBorders>
              <w:top w:val="nil"/>
              <w:left w:val="single" w:sz="8" w:space="0" w:color="auto"/>
              <w:bottom w:val="single" w:sz="8" w:space="0" w:color="000000"/>
              <w:right w:val="single" w:sz="8" w:space="0" w:color="auto"/>
            </w:tcBorders>
            <w:shd w:val="clear" w:color="auto" w:fill="auto"/>
            <w:vAlign w:val="center"/>
            <w:hideMark/>
          </w:tcPr>
          <w:p w14:paraId="70992BB2"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Casos (%)</w:t>
            </w:r>
          </w:p>
        </w:tc>
        <w:tc>
          <w:tcPr>
            <w:tcW w:w="748" w:type="dxa"/>
            <w:vMerge w:val="restart"/>
            <w:tcBorders>
              <w:top w:val="nil"/>
              <w:left w:val="single" w:sz="8" w:space="0" w:color="auto"/>
              <w:bottom w:val="single" w:sz="8" w:space="0" w:color="000000"/>
              <w:right w:val="single" w:sz="8" w:space="0" w:color="auto"/>
            </w:tcBorders>
            <w:shd w:val="clear" w:color="auto" w:fill="auto"/>
            <w:vAlign w:val="center"/>
            <w:hideMark/>
          </w:tcPr>
          <w:p w14:paraId="3F2E41A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-10%</w:t>
            </w:r>
          </w:p>
        </w:tc>
        <w:tc>
          <w:tcPr>
            <w:tcW w:w="676" w:type="dxa"/>
            <w:vMerge w:val="restart"/>
            <w:tcBorders>
              <w:top w:val="nil"/>
              <w:left w:val="single" w:sz="8" w:space="0" w:color="auto"/>
              <w:bottom w:val="single" w:sz="8" w:space="0" w:color="000000"/>
              <w:right w:val="single" w:sz="8" w:space="0" w:color="auto"/>
            </w:tcBorders>
            <w:shd w:val="clear" w:color="auto" w:fill="auto"/>
            <w:vAlign w:val="center"/>
            <w:hideMark/>
          </w:tcPr>
          <w:p w14:paraId="6C9A66F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100%</w:t>
            </w:r>
          </w:p>
        </w:tc>
        <w:tc>
          <w:tcPr>
            <w:tcW w:w="629" w:type="dxa"/>
            <w:vMerge w:val="restart"/>
            <w:tcBorders>
              <w:top w:val="nil"/>
              <w:left w:val="single" w:sz="8" w:space="0" w:color="auto"/>
              <w:bottom w:val="single" w:sz="8" w:space="0" w:color="000000"/>
              <w:right w:val="single" w:sz="8" w:space="0" w:color="auto"/>
            </w:tcBorders>
            <w:shd w:val="clear" w:color="auto" w:fill="auto"/>
            <w:vAlign w:val="center"/>
            <w:hideMark/>
          </w:tcPr>
          <w:p w14:paraId="7A6DA2EA"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537" w:type="dxa"/>
            <w:vMerge w:val="restart"/>
            <w:tcBorders>
              <w:top w:val="nil"/>
              <w:left w:val="single" w:sz="8" w:space="0" w:color="auto"/>
              <w:bottom w:val="single" w:sz="8" w:space="0" w:color="000000"/>
              <w:right w:val="single" w:sz="8" w:space="0" w:color="auto"/>
            </w:tcBorders>
            <w:shd w:val="clear" w:color="auto" w:fill="auto"/>
            <w:vAlign w:val="center"/>
            <w:hideMark/>
          </w:tcPr>
          <w:p w14:paraId="5B0FF566"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611" w:type="dxa"/>
            <w:vMerge w:val="restart"/>
            <w:tcBorders>
              <w:top w:val="nil"/>
              <w:left w:val="single" w:sz="8" w:space="0" w:color="auto"/>
              <w:bottom w:val="single" w:sz="8" w:space="0" w:color="000000"/>
              <w:right w:val="single" w:sz="8" w:space="0" w:color="auto"/>
            </w:tcBorders>
            <w:shd w:val="clear" w:color="auto" w:fill="auto"/>
            <w:vAlign w:val="center"/>
            <w:hideMark/>
          </w:tcPr>
          <w:p w14:paraId="0E4636C7"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572" w:type="dxa"/>
            <w:vMerge w:val="restart"/>
            <w:tcBorders>
              <w:top w:val="nil"/>
              <w:left w:val="single" w:sz="8" w:space="0" w:color="auto"/>
              <w:bottom w:val="single" w:sz="8" w:space="0" w:color="000000"/>
              <w:right w:val="single" w:sz="8" w:space="0" w:color="auto"/>
            </w:tcBorders>
            <w:shd w:val="clear" w:color="auto" w:fill="auto"/>
            <w:vAlign w:val="center"/>
            <w:hideMark/>
          </w:tcPr>
          <w:p w14:paraId="36B03946"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572" w:type="dxa"/>
            <w:vMerge w:val="restart"/>
            <w:tcBorders>
              <w:top w:val="nil"/>
              <w:left w:val="single" w:sz="8" w:space="0" w:color="auto"/>
              <w:bottom w:val="single" w:sz="8" w:space="0" w:color="000000"/>
              <w:right w:val="single" w:sz="8" w:space="0" w:color="auto"/>
            </w:tcBorders>
            <w:shd w:val="clear" w:color="auto" w:fill="auto"/>
            <w:vAlign w:val="center"/>
            <w:hideMark/>
          </w:tcPr>
          <w:p w14:paraId="21920920"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7A74CA2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0,01 </w:t>
            </w:r>
          </w:p>
        </w:tc>
        <w:tc>
          <w:tcPr>
            <w:tcW w:w="576" w:type="dxa"/>
            <w:vMerge w:val="restart"/>
            <w:tcBorders>
              <w:top w:val="nil"/>
              <w:left w:val="single" w:sz="8" w:space="0" w:color="auto"/>
              <w:bottom w:val="single" w:sz="8" w:space="0" w:color="000000"/>
              <w:right w:val="single" w:sz="8" w:space="0" w:color="auto"/>
            </w:tcBorders>
            <w:shd w:val="clear" w:color="auto" w:fill="auto"/>
            <w:vAlign w:val="center"/>
            <w:hideMark/>
          </w:tcPr>
          <w:p w14:paraId="6D7CC0A4"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9,94 </w:t>
            </w:r>
          </w:p>
        </w:tc>
        <w:tc>
          <w:tcPr>
            <w:tcW w:w="714" w:type="dxa"/>
            <w:vMerge w:val="restart"/>
            <w:tcBorders>
              <w:top w:val="nil"/>
              <w:left w:val="single" w:sz="8" w:space="0" w:color="auto"/>
              <w:bottom w:val="single" w:sz="8" w:space="0" w:color="000000"/>
              <w:right w:val="single" w:sz="8" w:space="0" w:color="auto"/>
            </w:tcBorders>
            <w:shd w:val="clear" w:color="auto" w:fill="auto"/>
            <w:vAlign w:val="center"/>
            <w:hideMark/>
          </w:tcPr>
          <w:p w14:paraId="65F73881"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10,00 </w:t>
            </w:r>
          </w:p>
        </w:tc>
      </w:tr>
      <w:tr w:rsidR="007B3093" w14:paraId="37CEB947" w14:textId="77777777">
        <w:trPr>
          <w:trHeight w:val="41"/>
        </w:trPr>
        <w:tc>
          <w:tcPr>
            <w:tcW w:w="1705" w:type="dxa"/>
            <w:vMerge/>
            <w:tcBorders>
              <w:top w:val="nil"/>
              <w:left w:val="single" w:sz="8" w:space="0" w:color="auto"/>
              <w:bottom w:val="single" w:sz="8" w:space="0" w:color="000000"/>
              <w:right w:val="single" w:sz="8" w:space="0" w:color="auto"/>
            </w:tcBorders>
            <w:vAlign w:val="center"/>
            <w:hideMark/>
          </w:tcPr>
          <w:p w14:paraId="1BFC4C94" w14:textId="77777777" w:rsidR="007B3093" w:rsidRDefault="007B3093">
            <w:pPr>
              <w:spacing w:after="0" w:line="240" w:lineRule="auto"/>
              <w:rPr>
                <w:rFonts w:ascii="Calibri" w:eastAsia="Times New Roman" w:hAnsi="Calibri" w:cs="Calibri"/>
                <w:color w:val="000000"/>
                <w:sz w:val="16"/>
                <w:szCs w:val="16"/>
                <w:lang w:eastAsia="es-EC"/>
              </w:rPr>
            </w:pPr>
          </w:p>
        </w:tc>
        <w:tc>
          <w:tcPr>
            <w:tcW w:w="854" w:type="dxa"/>
            <w:vMerge/>
            <w:tcBorders>
              <w:top w:val="nil"/>
              <w:left w:val="single" w:sz="8" w:space="0" w:color="auto"/>
              <w:bottom w:val="single" w:sz="8" w:space="0" w:color="000000"/>
              <w:right w:val="single" w:sz="8" w:space="0" w:color="auto"/>
            </w:tcBorders>
            <w:vAlign w:val="center"/>
            <w:hideMark/>
          </w:tcPr>
          <w:p w14:paraId="39127E97" w14:textId="77777777" w:rsidR="007B3093" w:rsidRDefault="007B3093">
            <w:pPr>
              <w:spacing w:after="0" w:line="240" w:lineRule="auto"/>
              <w:rPr>
                <w:rFonts w:ascii="Calibri" w:eastAsia="Times New Roman" w:hAnsi="Calibri" w:cs="Calibri"/>
                <w:color w:val="000000"/>
                <w:sz w:val="16"/>
                <w:szCs w:val="16"/>
                <w:lang w:eastAsia="es-EC"/>
              </w:rPr>
            </w:pPr>
          </w:p>
        </w:tc>
        <w:tc>
          <w:tcPr>
            <w:tcW w:w="748" w:type="dxa"/>
            <w:vMerge/>
            <w:tcBorders>
              <w:top w:val="nil"/>
              <w:left w:val="single" w:sz="8" w:space="0" w:color="auto"/>
              <w:bottom w:val="single" w:sz="8" w:space="0" w:color="000000"/>
              <w:right w:val="single" w:sz="8" w:space="0" w:color="auto"/>
            </w:tcBorders>
            <w:vAlign w:val="center"/>
            <w:hideMark/>
          </w:tcPr>
          <w:p w14:paraId="158F42DF" w14:textId="77777777" w:rsidR="007B3093" w:rsidRDefault="007B3093">
            <w:pPr>
              <w:spacing w:after="0" w:line="240" w:lineRule="auto"/>
              <w:rPr>
                <w:rFonts w:ascii="Calibri" w:eastAsia="Times New Roman" w:hAnsi="Calibri" w:cs="Calibri"/>
                <w:color w:val="000000"/>
                <w:sz w:val="16"/>
                <w:szCs w:val="16"/>
                <w:lang w:eastAsia="es-EC"/>
              </w:rPr>
            </w:pPr>
          </w:p>
        </w:tc>
        <w:tc>
          <w:tcPr>
            <w:tcW w:w="676" w:type="dxa"/>
            <w:vMerge/>
            <w:tcBorders>
              <w:top w:val="nil"/>
              <w:left w:val="single" w:sz="8" w:space="0" w:color="auto"/>
              <w:bottom w:val="single" w:sz="8" w:space="0" w:color="000000"/>
              <w:right w:val="single" w:sz="8" w:space="0" w:color="auto"/>
            </w:tcBorders>
            <w:vAlign w:val="center"/>
            <w:hideMark/>
          </w:tcPr>
          <w:p w14:paraId="34051A96" w14:textId="77777777" w:rsidR="007B3093" w:rsidRDefault="007B3093">
            <w:pPr>
              <w:spacing w:after="0" w:line="240" w:lineRule="auto"/>
              <w:rPr>
                <w:rFonts w:ascii="Calibri" w:eastAsia="Times New Roman" w:hAnsi="Calibri" w:cs="Calibri"/>
                <w:color w:val="000000"/>
                <w:sz w:val="16"/>
                <w:szCs w:val="16"/>
                <w:lang w:eastAsia="es-EC"/>
              </w:rPr>
            </w:pPr>
          </w:p>
        </w:tc>
        <w:tc>
          <w:tcPr>
            <w:tcW w:w="629" w:type="dxa"/>
            <w:vMerge/>
            <w:tcBorders>
              <w:top w:val="nil"/>
              <w:left w:val="single" w:sz="8" w:space="0" w:color="auto"/>
              <w:bottom w:val="single" w:sz="8" w:space="0" w:color="000000"/>
              <w:right w:val="single" w:sz="8" w:space="0" w:color="auto"/>
            </w:tcBorders>
            <w:vAlign w:val="center"/>
            <w:hideMark/>
          </w:tcPr>
          <w:p w14:paraId="42D9C176" w14:textId="77777777" w:rsidR="007B3093" w:rsidRDefault="007B3093">
            <w:pPr>
              <w:spacing w:after="0" w:line="240" w:lineRule="auto"/>
              <w:rPr>
                <w:rFonts w:ascii="Calibri" w:eastAsia="Times New Roman" w:hAnsi="Calibri" w:cs="Calibri"/>
                <w:color w:val="000000"/>
                <w:sz w:val="16"/>
                <w:szCs w:val="16"/>
                <w:lang w:eastAsia="es-EC"/>
              </w:rPr>
            </w:pPr>
          </w:p>
        </w:tc>
        <w:tc>
          <w:tcPr>
            <w:tcW w:w="537" w:type="dxa"/>
            <w:vMerge/>
            <w:tcBorders>
              <w:top w:val="nil"/>
              <w:left w:val="single" w:sz="8" w:space="0" w:color="auto"/>
              <w:bottom w:val="single" w:sz="8" w:space="0" w:color="000000"/>
              <w:right w:val="single" w:sz="8" w:space="0" w:color="auto"/>
            </w:tcBorders>
            <w:vAlign w:val="center"/>
            <w:hideMark/>
          </w:tcPr>
          <w:p w14:paraId="36DFA4F5" w14:textId="77777777" w:rsidR="007B3093" w:rsidRDefault="007B3093">
            <w:pPr>
              <w:spacing w:after="0" w:line="240" w:lineRule="auto"/>
              <w:rPr>
                <w:rFonts w:ascii="Calibri" w:eastAsia="Times New Roman" w:hAnsi="Calibri" w:cs="Calibri"/>
                <w:color w:val="000000"/>
                <w:sz w:val="16"/>
                <w:szCs w:val="16"/>
                <w:lang w:eastAsia="es-EC"/>
              </w:rPr>
            </w:pPr>
          </w:p>
        </w:tc>
        <w:tc>
          <w:tcPr>
            <w:tcW w:w="611" w:type="dxa"/>
            <w:vMerge/>
            <w:tcBorders>
              <w:top w:val="nil"/>
              <w:left w:val="single" w:sz="8" w:space="0" w:color="auto"/>
              <w:bottom w:val="single" w:sz="8" w:space="0" w:color="000000"/>
              <w:right w:val="single" w:sz="8" w:space="0" w:color="auto"/>
            </w:tcBorders>
            <w:vAlign w:val="center"/>
            <w:hideMark/>
          </w:tcPr>
          <w:p w14:paraId="3CC823B8" w14:textId="77777777" w:rsidR="007B3093" w:rsidRDefault="007B3093">
            <w:pPr>
              <w:spacing w:after="0" w:line="240" w:lineRule="auto"/>
              <w:rPr>
                <w:rFonts w:ascii="Calibri" w:eastAsia="Times New Roman" w:hAnsi="Calibri" w:cs="Calibri"/>
                <w:color w:val="000000"/>
                <w:sz w:val="16"/>
                <w:szCs w:val="16"/>
                <w:lang w:eastAsia="es-EC"/>
              </w:rPr>
            </w:pPr>
          </w:p>
        </w:tc>
        <w:tc>
          <w:tcPr>
            <w:tcW w:w="572" w:type="dxa"/>
            <w:vMerge/>
            <w:tcBorders>
              <w:top w:val="nil"/>
              <w:left w:val="single" w:sz="8" w:space="0" w:color="auto"/>
              <w:bottom w:val="single" w:sz="8" w:space="0" w:color="000000"/>
              <w:right w:val="single" w:sz="8" w:space="0" w:color="auto"/>
            </w:tcBorders>
            <w:vAlign w:val="center"/>
            <w:hideMark/>
          </w:tcPr>
          <w:p w14:paraId="650F2614" w14:textId="77777777" w:rsidR="007B3093" w:rsidRDefault="007B3093">
            <w:pPr>
              <w:spacing w:after="0" w:line="240" w:lineRule="auto"/>
              <w:rPr>
                <w:rFonts w:ascii="Calibri" w:eastAsia="Times New Roman" w:hAnsi="Calibri" w:cs="Calibri"/>
                <w:color w:val="000000"/>
                <w:sz w:val="16"/>
                <w:szCs w:val="16"/>
                <w:lang w:eastAsia="es-EC"/>
              </w:rPr>
            </w:pPr>
          </w:p>
        </w:tc>
        <w:tc>
          <w:tcPr>
            <w:tcW w:w="572" w:type="dxa"/>
            <w:vMerge/>
            <w:tcBorders>
              <w:top w:val="nil"/>
              <w:left w:val="single" w:sz="8" w:space="0" w:color="auto"/>
              <w:bottom w:val="single" w:sz="8" w:space="0" w:color="000000"/>
              <w:right w:val="single" w:sz="8" w:space="0" w:color="auto"/>
            </w:tcBorders>
            <w:vAlign w:val="center"/>
            <w:hideMark/>
          </w:tcPr>
          <w:p w14:paraId="1134BE1C" w14:textId="77777777" w:rsidR="007B3093" w:rsidRDefault="007B3093">
            <w:pPr>
              <w:spacing w:after="0" w:line="240" w:lineRule="auto"/>
              <w:rPr>
                <w:rFonts w:ascii="Calibri" w:eastAsia="Times New Roman" w:hAnsi="Calibri" w:cs="Calibri"/>
                <w:color w:val="000000"/>
                <w:sz w:val="16"/>
                <w:szCs w:val="16"/>
                <w:lang w:eastAsia="es-EC"/>
              </w:rPr>
            </w:pPr>
          </w:p>
        </w:tc>
        <w:tc>
          <w:tcPr>
            <w:tcW w:w="517" w:type="dxa"/>
            <w:vMerge/>
            <w:tcBorders>
              <w:top w:val="nil"/>
              <w:left w:val="single" w:sz="8" w:space="0" w:color="auto"/>
              <w:bottom w:val="single" w:sz="8" w:space="0" w:color="000000"/>
              <w:right w:val="single" w:sz="8" w:space="0" w:color="auto"/>
            </w:tcBorders>
            <w:vAlign w:val="center"/>
            <w:hideMark/>
          </w:tcPr>
          <w:p w14:paraId="2F6E00C7" w14:textId="77777777" w:rsidR="007B3093" w:rsidRDefault="007B3093">
            <w:pPr>
              <w:spacing w:after="0" w:line="240" w:lineRule="auto"/>
              <w:rPr>
                <w:rFonts w:ascii="Calibri" w:eastAsia="Times New Roman" w:hAnsi="Calibri" w:cs="Calibri"/>
                <w:color w:val="000000"/>
                <w:sz w:val="16"/>
                <w:szCs w:val="16"/>
                <w:lang w:eastAsia="es-EC"/>
              </w:rPr>
            </w:pPr>
          </w:p>
        </w:tc>
        <w:tc>
          <w:tcPr>
            <w:tcW w:w="576" w:type="dxa"/>
            <w:vMerge/>
            <w:tcBorders>
              <w:top w:val="nil"/>
              <w:left w:val="single" w:sz="8" w:space="0" w:color="auto"/>
              <w:bottom w:val="single" w:sz="8" w:space="0" w:color="000000"/>
              <w:right w:val="single" w:sz="8" w:space="0" w:color="auto"/>
            </w:tcBorders>
            <w:vAlign w:val="center"/>
            <w:hideMark/>
          </w:tcPr>
          <w:p w14:paraId="2A20AC82" w14:textId="77777777" w:rsidR="007B3093" w:rsidRDefault="007B3093">
            <w:pPr>
              <w:spacing w:after="0" w:line="240" w:lineRule="auto"/>
              <w:rPr>
                <w:rFonts w:ascii="Calibri" w:eastAsia="Times New Roman" w:hAnsi="Calibri" w:cs="Calibri"/>
                <w:color w:val="000000"/>
                <w:sz w:val="16"/>
                <w:szCs w:val="16"/>
                <w:lang w:eastAsia="es-EC"/>
              </w:rPr>
            </w:pPr>
          </w:p>
        </w:tc>
        <w:tc>
          <w:tcPr>
            <w:tcW w:w="714" w:type="dxa"/>
            <w:vMerge/>
            <w:tcBorders>
              <w:top w:val="nil"/>
              <w:left w:val="single" w:sz="8" w:space="0" w:color="auto"/>
              <w:bottom w:val="single" w:sz="8" w:space="0" w:color="000000"/>
              <w:right w:val="single" w:sz="8" w:space="0" w:color="auto"/>
            </w:tcBorders>
            <w:vAlign w:val="center"/>
            <w:hideMark/>
          </w:tcPr>
          <w:p w14:paraId="4286C560" w14:textId="77777777" w:rsidR="007B3093" w:rsidRDefault="007B3093">
            <w:pPr>
              <w:spacing w:after="0" w:line="240" w:lineRule="auto"/>
              <w:rPr>
                <w:rFonts w:ascii="Calibri" w:eastAsia="Times New Roman" w:hAnsi="Calibri" w:cs="Calibri"/>
                <w:color w:val="000000"/>
                <w:sz w:val="16"/>
                <w:szCs w:val="16"/>
                <w:lang w:eastAsia="es-EC"/>
              </w:rPr>
            </w:pPr>
          </w:p>
        </w:tc>
        <w:tc>
          <w:tcPr>
            <w:tcW w:w="161" w:type="dxa"/>
            <w:tcBorders>
              <w:top w:val="nil"/>
              <w:left w:val="nil"/>
              <w:bottom w:val="nil"/>
              <w:right w:val="nil"/>
            </w:tcBorders>
            <w:shd w:val="clear" w:color="auto" w:fill="auto"/>
            <w:noWrap/>
            <w:vAlign w:val="bottom"/>
            <w:hideMark/>
          </w:tcPr>
          <w:p w14:paraId="474EDF06" w14:textId="77777777" w:rsidR="007B3093" w:rsidRDefault="007B3093">
            <w:pPr>
              <w:spacing w:after="0" w:line="240" w:lineRule="auto"/>
              <w:jc w:val="center"/>
              <w:rPr>
                <w:rFonts w:ascii="Calibri" w:eastAsia="Times New Roman" w:hAnsi="Calibri" w:cs="Calibri"/>
                <w:color w:val="000000"/>
                <w:sz w:val="16"/>
                <w:szCs w:val="16"/>
                <w:lang w:eastAsia="es-EC"/>
              </w:rPr>
            </w:pPr>
          </w:p>
        </w:tc>
      </w:tr>
      <w:tr w:rsidR="007B3093" w14:paraId="3A0A0890" w14:textId="77777777">
        <w:trPr>
          <w:trHeight w:val="312"/>
        </w:trPr>
        <w:tc>
          <w:tcPr>
            <w:tcW w:w="1705" w:type="dxa"/>
            <w:vMerge/>
            <w:tcBorders>
              <w:top w:val="nil"/>
              <w:left w:val="single" w:sz="8" w:space="0" w:color="auto"/>
              <w:bottom w:val="single" w:sz="8" w:space="0" w:color="000000"/>
              <w:right w:val="single" w:sz="8" w:space="0" w:color="auto"/>
            </w:tcBorders>
            <w:vAlign w:val="center"/>
            <w:hideMark/>
          </w:tcPr>
          <w:p w14:paraId="10A6B94E" w14:textId="77777777" w:rsidR="007B3093" w:rsidRDefault="007B3093">
            <w:pPr>
              <w:spacing w:after="0" w:line="240" w:lineRule="auto"/>
              <w:rPr>
                <w:rFonts w:ascii="Calibri" w:eastAsia="Times New Roman" w:hAnsi="Calibri" w:cs="Calibri"/>
                <w:color w:val="000000"/>
                <w:sz w:val="16"/>
                <w:szCs w:val="16"/>
                <w:lang w:eastAsia="es-EC"/>
              </w:rPr>
            </w:pPr>
          </w:p>
        </w:tc>
        <w:tc>
          <w:tcPr>
            <w:tcW w:w="854" w:type="dxa"/>
            <w:vMerge/>
            <w:tcBorders>
              <w:top w:val="nil"/>
              <w:left w:val="single" w:sz="8" w:space="0" w:color="auto"/>
              <w:bottom w:val="single" w:sz="8" w:space="0" w:color="000000"/>
              <w:right w:val="single" w:sz="8" w:space="0" w:color="auto"/>
            </w:tcBorders>
            <w:vAlign w:val="center"/>
            <w:hideMark/>
          </w:tcPr>
          <w:p w14:paraId="671F9703" w14:textId="77777777" w:rsidR="007B3093" w:rsidRDefault="007B3093">
            <w:pPr>
              <w:spacing w:after="0" w:line="240" w:lineRule="auto"/>
              <w:rPr>
                <w:rFonts w:ascii="Calibri" w:eastAsia="Times New Roman" w:hAnsi="Calibri" w:cs="Calibri"/>
                <w:color w:val="000000"/>
                <w:sz w:val="16"/>
                <w:szCs w:val="16"/>
                <w:lang w:eastAsia="es-EC"/>
              </w:rPr>
            </w:pPr>
          </w:p>
        </w:tc>
        <w:tc>
          <w:tcPr>
            <w:tcW w:w="142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F13857"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Meta Ponderada</w:t>
            </w:r>
          </w:p>
        </w:tc>
        <w:tc>
          <w:tcPr>
            <w:tcW w:w="629" w:type="dxa"/>
            <w:vMerge w:val="restart"/>
            <w:tcBorders>
              <w:top w:val="nil"/>
              <w:left w:val="single" w:sz="8" w:space="0" w:color="auto"/>
              <w:bottom w:val="single" w:sz="8" w:space="0" w:color="000000"/>
              <w:right w:val="single" w:sz="8" w:space="0" w:color="auto"/>
            </w:tcBorders>
            <w:shd w:val="clear" w:color="auto" w:fill="auto"/>
            <w:vAlign w:val="center"/>
            <w:hideMark/>
          </w:tcPr>
          <w:p w14:paraId="5E0B2ACF"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537" w:type="dxa"/>
            <w:vMerge w:val="restart"/>
            <w:tcBorders>
              <w:top w:val="nil"/>
              <w:left w:val="single" w:sz="8" w:space="0" w:color="auto"/>
              <w:bottom w:val="single" w:sz="8" w:space="0" w:color="000000"/>
              <w:right w:val="single" w:sz="8" w:space="0" w:color="auto"/>
            </w:tcBorders>
            <w:shd w:val="clear" w:color="auto" w:fill="auto"/>
            <w:vAlign w:val="center"/>
            <w:hideMark/>
          </w:tcPr>
          <w:p w14:paraId="6D7632C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611" w:type="dxa"/>
            <w:vMerge w:val="restart"/>
            <w:tcBorders>
              <w:top w:val="nil"/>
              <w:left w:val="single" w:sz="8" w:space="0" w:color="auto"/>
              <w:bottom w:val="single" w:sz="8" w:space="0" w:color="000000"/>
              <w:right w:val="single" w:sz="8" w:space="0" w:color="auto"/>
            </w:tcBorders>
            <w:shd w:val="clear" w:color="auto" w:fill="auto"/>
            <w:vAlign w:val="center"/>
            <w:hideMark/>
          </w:tcPr>
          <w:p w14:paraId="6A878FA7"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572" w:type="dxa"/>
            <w:vMerge w:val="restart"/>
            <w:tcBorders>
              <w:top w:val="nil"/>
              <w:left w:val="single" w:sz="8" w:space="0" w:color="auto"/>
              <w:bottom w:val="single" w:sz="8" w:space="0" w:color="000000"/>
              <w:right w:val="single" w:sz="8" w:space="0" w:color="auto"/>
            </w:tcBorders>
            <w:shd w:val="clear" w:color="auto" w:fill="auto"/>
            <w:vAlign w:val="center"/>
            <w:hideMark/>
          </w:tcPr>
          <w:p w14:paraId="6D9EE7E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572" w:type="dxa"/>
            <w:vMerge w:val="restart"/>
            <w:tcBorders>
              <w:top w:val="nil"/>
              <w:left w:val="single" w:sz="8" w:space="0" w:color="auto"/>
              <w:bottom w:val="single" w:sz="8" w:space="0" w:color="000000"/>
              <w:right w:val="single" w:sz="8" w:space="0" w:color="auto"/>
            </w:tcBorders>
            <w:shd w:val="clear" w:color="auto" w:fill="auto"/>
            <w:vAlign w:val="center"/>
            <w:hideMark/>
          </w:tcPr>
          <w:p w14:paraId="0432D0BA"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2C7E1A5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0,10 </w:t>
            </w:r>
          </w:p>
        </w:tc>
        <w:tc>
          <w:tcPr>
            <w:tcW w:w="576" w:type="dxa"/>
            <w:vMerge w:val="restart"/>
            <w:tcBorders>
              <w:top w:val="nil"/>
              <w:left w:val="single" w:sz="8" w:space="0" w:color="auto"/>
              <w:bottom w:val="single" w:sz="8" w:space="0" w:color="000000"/>
              <w:right w:val="single" w:sz="8" w:space="0" w:color="auto"/>
            </w:tcBorders>
            <w:shd w:val="clear" w:color="auto" w:fill="auto"/>
            <w:vAlign w:val="center"/>
            <w:hideMark/>
          </w:tcPr>
          <w:p w14:paraId="7CC5E408"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99,40 </w:t>
            </w:r>
          </w:p>
        </w:tc>
        <w:tc>
          <w:tcPr>
            <w:tcW w:w="714" w:type="dxa"/>
            <w:vMerge w:val="restart"/>
            <w:tcBorders>
              <w:top w:val="nil"/>
              <w:left w:val="single" w:sz="8" w:space="0" w:color="auto"/>
              <w:bottom w:val="single" w:sz="8" w:space="0" w:color="000000"/>
              <w:right w:val="single" w:sz="8" w:space="0" w:color="auto"/>
            </w:tcBorders>
            <w:shd w:val="clear" w:color="auto" w:fill="auto"/>
            <w:vAlign w:val="center"/>
            <w:hideMark/>
          </w:tcPr>
          <w:p w14:paraId="4EC9F1FA"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    100,00 </w:t>
            </w:r>
          </w:p>
        </w:tc>
        <w:tc>
          <w:tcPr>
            <w:tcW w:w="161" w:type="dxa"/>
            <w:vAlign w:val="center"/>
            <w:hideMark/>
          </w:tcPr>
          <w:p w14:paraId="3454F364" w14:textId="77777777" w:rsidR="007B3093" w:rsidRDefault="007B3093">
            <w:pPr>
              <w:spacing w:after="0" w:line="240" w:lineRule="auto"/>
              <w:rPr>
                <w:rFonts w:ascii="Times New Roman" w:eastAsia="Times New Roman" w:hAnsi="Times New Roman" w:cs="Times New Roman"/>
                <w:sz w:val="20"/>
                <w:szCs w:val="20"/>
                <w:lang w:eastAsia="es-EC"/>
              </w:rPr>
            </w:pPr>
          </w:p>
        </w:tc>
      </w:tr>
      <w:tr w:rsidR="007B3093" w14:paraId="53E0FF61" w14:textId="77777777">
        <w:trPr>
          <w:trHeight w:val="358"/>
        </w:trPr>
        <w:tc>
          <w:tcPr>
            <w:tcW w:w="1705" w:type="dxa"/>
            <w:vMerge/>
            <w:tcBorders>
              <w:top w:val="nil"/>
              <w:left w:val="single" w:sz="8" w:space="0" w:color="auto"/>
              <w:bottom w:val="single" w:sz="8" w:space="0" w:color="000000"/>
              <w:right w:val="single" w:sz="8" w:space="0" w:color="auto"/>
            </w:tcBorders>
            <w:vAlign w:val="center"/>
            <w:hideMark/>
          </w:tcPr>
          <w:p w14:paraId="2DF74FDC" w14:textId="77777777" w:rsidR="007B3093" w:rsidRDefault="007B3093">
            <w:pPr>
              <w:spacing w:after="0" w:line="240" w:lineRule="auto"/>
              <w:rPr>
                <w:rFonts w:ascii="Calibri" w:eastAsia="Times New Roman" w:hAnsi="Calibri" w:cs="Calibri"/>
                <w:color w:val="000000"/>
                <w:sz w:val="16"/>
                <w:szCs w:val="16"/>
                <w:lang w:eastAsia="es-EC"/>
              </w:rPr>
            </w:pPr>
          </w:p>
        </w:tc>
        <w:tc>
          <w:tcPr>
            <w:tcW w:w="854" w:type="dxa"/>
            <w:vMerge/>
            <w:tcBorders>
              <w:top w:val="nil"/>
              <w:left w:val="single" w:sz="8" w:space="0" w:color="auto"/>
              <w:bottom w:val="single" w:sz="8" w:space="0" w:color="000000"/>
              <w:right w:val="single" w:sz="8" w:space="0" w:color="auto"/>
            </w:tcBorders>
            <w:vAlign w:val="center"/>
            <w:hideMark/>
          </w:tcPr>
          <w:p w14:paraId="03BF72B5" w14:textId="77777777" w:rsidR="007B3093" w:rsidRDefault="007B3093">
            <w:pPr>
              <w:spacing w:after="0" w:line="240" w:lineRule="auto"/>
              <w:rPr>
                <w:rFonts w:ascii="Calibri" w:eastAsia="Times New Roman" w:hAnsi="Calibri" w:cs="Calibri"/>
                <w:color w:val="000000"/>
                <w:sz w:val="16"/>
                <w:szCs w:val="16"/>
                <w:lang w:eastAsia="es-EC"/>
              </w:rPr>
            </w:pPr>
          </w:p>
        </w:tc>
        <w:tc>
          <w:tcPr>
            <w:tcW w:w="1424" w:type="dxa"/>
            <w:gridSpan w:val="2"/>
            <w:vMerge/>
            <w:tcBorders>
              <w:top w:val="single" w:sz="8" w:space="0" w:color="auto"/>
              <w:left w:val="single" w:sz="8" w:space="0" w:color="auto"/>
              <w:bottom w:val="single" w:sz="8" w:space="0" w:color="000000"/>
              <w:right w:val="single" w:sz="8" w:space="0" w:color="000000"/>
            </w:tcBorders>
            <w:vAlign w:val="center"/>
            <w:hideMark/>
          </w:tcPr>
          <w:p w14:paraId="62A03DAD" w14:textId="77777777" w:rsidR="007B3093" w:rsidRDefault="007B3093">
            <w:pPr>
              <w:spacing w:after="0" w:line="240" w:lineRule="auto"/>
              <w:rPr>
                <w:rFonts w:ascii="Calibri" w:eastAsia="Times New Roman" w:hAnsi="Calibri" w:cs="Calibri"/>
                <w:color w:val="000000"/>
                <w:sz w:val="16"/>
                <w:szCs w:val="16"/>
                <w:lang w:eastAsia="es-EC"/>
              </w:rPr>
            </w:pPr>
          </w:p>
        </w:tc>
        <w:tc>
          <w:tcPr>
            <w:tcW w:w="629" w:type="dxa"/>
            <w:vMerge/>
            <w:tcBorders>
              <w:top w:val="nil"/>
              <w:left w:val="single" w:sz="8" w:space="0" w:color="auto"/>
              <w:bottom w:val="single" w:sz="8" w:space="0" w:color="000000"/>
              <w:right w:val="single" w:sz="8" w:space="0" w:color="auto"/>
            </w:tcBorders>
            <w:vAlign w:val="center"/>
            <w:hideMark/>
          </w:tcPr>
          <w:p w14:paraId="386B1155" w14:textId="77777777" w:rsidR="007B3093" w:rsidRDefault="007B3093">
            <w:pPr>
              <w:spacing w:after="0" w:line="240" w:lineRule="auto"/>
              <w:rPr>
                <w:rFonts w:ascii="Calibri" w:eastAsia="Times New Roman" w:hAnsi="Calibri" w:cs="Calibri"/>
                <w:color w:val="000000"/>
                <w:sz w:val="16"/>
                <w:szCs w:val="16"/>
                <w:lang w:eastAsia="es-EC"/>
              </w:rPr>
            </w:pPr>
          </w:p>
        </w:tc>
        <w:tc>
          <w:tcPr>
            <w:tcW w:w="537" w:type="dxa"/>
            <w:vMerge/>
            <w:tcBorders>
              <w:top w:val="nil"/>
              <w:left w:val="single" w:sz="8" w:space="0" w:color="auto"/>
              <w:bottom w:val="single" w:sz="8" w:space="0" w:color="000000"/>
              <w:right w:val="single" w:sz="8" w:space="0" w:color="auto"/>
            </w:tcBorders>
            <w:vAlign w:val="center"/>
            <w:hideMark/>
          </w:tcPr>
          <w:p w14:paraId="7E84AA8A" w14:textId="77777777" w:rsidR="007B3093" w:rsidRDefault="007B3093">
            <w:pPr>
              <w:spacing w:after="0" w:line="240" w:lineRule="auto"/>
              <w:rPr>
                <w:rFonts w:ascii="Calibri" w:eastAsia="Times New Roman" w:hAnsi="Calibri" w:cs="Calibri"/>
                <w:color w:val="000000"/>
                <w:sz w:val="16"/>
                <w:szCs w:val="16"/>
                <w:lang w:eastAsia="es-EC"/>
              </w:rPr>
            </w:pPr>
          </w:p>
        </w:tc>
        <w:tc>
          <w:tcPr>
            <w:tcW w:w="611" w:type="dxa"/>
            <w:vMerge/>
            <w:tcBorders>
              <w:top w:val="nil"/>
              <w:left w:val="single" w:sz="8" w:space="0" w:color="auto"/>
              <w:bottom w:val="single" w:sz="8" w:space="0" w:color="000000"/>
              <w:right w:val="single" w:sz="8" w:space="0" w:color="auto"/>
            </w:tcBorders>
            <w:vAlign w:val="center"/>
            <w:hideMark/>
          </w:tcPr>
          <w:p w14:paraId="428F66F8" w14:textId="77777777" w:rsidR="007B3093" w:rsidRDefault="007B3093">
            <w:pPr>
              <w:spacing w:after="0" w:line="240" w:lineRule="auto"/>
              <w:rPr>
                <w:rFonts w:ascii="Calibri" w:eastAsia="Times New Roman" w:hAnsi="Calibri" w:cs="Calibri"/>
                <w:color w:val="000000"/>
                <w:sz w:val="16"/>
                <w:szCs w:val="16"/>
                <w:lang w:eastAsia="es-EC"/>
              </w:rPr>
            </w:pPr>
          </w:p>
        </w:tc>
        <w:tc>
          <w:tcPr>
            <w:tcW w:w="572" w:type="dxa"/>
            <w:vMerge/>
            <w:tcBorders>
              <w:top w:val="nil"/>
              <w:left w:val="single" w:sz="8" w:space="0" w:color="auto"/>
              <w:bottom w:val="single" w:sz="8" w:space="0" w:color="000000"/>
              <w:right w:val="single" w:sz="8" w:space="0" w:color="auto"/>
            </w:tcBorders>
            <w:vAlign w:val="center"/>
            <w:hideMark/>
          </w:tcPr>
          <w:p w14:paraId="126E153C" w14:textId="77777777" w:rsidR="007B3093" w:rsidRDefault="007B3093">
            <w:pPr>
              <w:spacing w:after="0" w:line="240" w:lineRule="auto"/>
              <w:rPr>
                <w:rFonts w:ascii="Calibri" w:eastAsia="Times New Roman" w:hAnsi="Calibri" w:cs="Calibri"/>
                <w:color w:val="000000"/>
                <w:sz w:val="16"/>
                <w:szCs w:val="16"/>
                <w:lang w:eastAsia="es-EC"/>
              </w:rPr>
            </w:pPr>
          </w:p>
        </w:tc>
        <w:tc>
          <w:tcPr>
            <w:tcW w:w="572" w:type="dxa"/>
            <w:vMerge/>
            <w:tcBorders>
              <w:top w:val="nil"/>
              <w:left w:val="single" w:sz="8" w:space="0" w:color="auto"/>
              <w:bottom w:val="single" w:sz="8" w:space="0" w:color="000000"/>
              <w:right w:val="single" w:sz="8" w:space="0" w:color="auto"/>
            </w:tcBorders>
            <w:vAlign w:val="center"/>
            <w:hideMark/>
          </w:tcPr>
          <w:p w14:paraId="243149CF" w14:textId="77777777" w:rsidR="007B3093" w:rsidRDefault="007B3093">
            <w:pPr>
              <w:spacing w:after="0" w:line="240" w:lineRule="auto"/>
              <w:rPr>
                <w:rFonts w:ascii="Calibri" w:eastAsia="Times New Roman" w:hAnsi="Calibri" w:cs="Calibri"/>
                <w:color w:val="000000"/>
                <w:sz w:val="16"/>
                <w:szCs w:val="16"/>
                <w:lang w:eastAsia="es-EC"/>
              </w:rPr>
            </w:pPr>
          </w:p>
        </w:tc>
        <w:tc>
          <w:tcPr>
            <w:tcW w:w="517" w:type="dxa"/>
            <w:vMerge/>
            <w:tcBorders>
              <w:top w:val="nil"/>
              <w:left w:val="single" w:sz="8" w:space="0" w:color="auto"/>
              <w:bottom w:val="single" w:sz="8" w:space="0" w:color="000000"/>
              <w:right w:val="single" w:sz="8" w:space="0" w:color="auto"/>
            </w:tcBorders>
            <w:vAlign w:val="center"/>
            <w:hideMark/>
          </w:tcPr>
          <w:p w14:paraId="11E947B8" w14:textId="77777777" w:rsidR="007B3093" w:rsidRDefault="007B3093">
            <w:pPr>
              <w:spacing w:after="0" w:line="240" w:lineRule="auto"/>
              <w:rPr>
                <w:rFonts w:ascii="Calibri" w:eastAsia="Times New Roman" w:hAnsi="Calibri" w:cs="Calibri"/>
                <w:color w:val="000000"/>
                <w:sz w:val="16"/>
                <w:szCs w:val="16"/>
                <w:lang w:eastAsia="es-EC"/>
              </w:rPr>
            </w:pPr>
          </w:p>
        </w:tc>
        <w:tc>
          <w:tcPr>
            <w:tcW w:w="576" w:type="dxa"/>
            <w:vMerge/>
            <w:tcBorders>
              <w:top w:val="nil"/>
              <w:left w:val="single" w:sz="8" w:space="0" w:color="auto"/>
              <w:bottom w:val="single" w:sz="8" w:space="0" w:color="000000"/>
              <w:right w:val="single" w:sz="8" w:space="0" w:color="auto"/>
            </w:tcBorders>
            <w:vAlign w:val="center"/>
            <w:hideMark/>
          </w:tcPr>
          <w:p w14:paraId="3D711631" w14:textId="77777777" w:rsidR="007B3093" w:rsidRDefault="007B3093">
            <w:pPr>
              <w:spacing w:after="0" w:line="240" w:lineRule="auto"/>
              <w:rPr>
                <w:rFonts w:ascii="Calibri" w:eastAsia="Times New Roman" w:hAnsi="Calibri" w:cs="Calibri"/>
                <w:color w:val="000000"/>
                <w:sz w:val="16"/>
                <w:szCs w:val="16"/>
                <w:lang w:eastAsia="es-EC"/>
              </w:rPr>
            </w:pPr>
          </w:p>
        </w:tc>
        <w:tc>
          <w:tcPr>
            <w:tcW w:w="714" w:type="dxa"/>
            <w:vMerge/>
            <w:tcBorders>
              <w:top w:val="nil"/>
              <w:left w:val="single" w:sz="8" w:space="0" w:color="auto"/>
              <w:bottom w:val="single" w:sz="8" w:space="0" w:color="000000"/>
              <w:right w:val="single" w:sz="8" w:space="0" w:color="auto"/>
            </w:tcBorders>
            <w:vAlign w:val="center"/>
            <w:hideMark/>
          </w:tcPr>
          <w:p w14:paraId="366D200E" w14:textId="77777777" w:rsidR="007B3093" w:rsidRDefault="007B3093">
            <w:pPr>
              <w:spacing w:after="0" w:line="240" w:lineRule="auto"/>
              <w:rPr>
                <w:rFonts w:ascii="Calibri" w:eastAsia="Times New Roman" w:hAnsi="Calibri" w:cs="Calibri"/>
                <w:color w:val="000000"/>
                <w:sz w:val="16"/>
                <w:szCs w:val="16"/>
                <w:lang w:eastAsia="es-EC"/>
              </w:rPr>
            </w:pPr>
          </w:p>
        </w:tc>
        <w:tc>
          <w:tcPr>
            <w:tcW w:w="161" w:type="dxa"/>
            <w:tcBorders>
              <w:top w:val="nil"/>
              <w:left w:val="nil"/>
              <w:bottom w:val="nil"/>
              <w:right w:val="nil"/>
            </w:tcBorders>
            <w:shd w:val="clear" w:color="auto" w:fill="auto"/>
            <w:noWrap/>
            <w:vAlign w:val="bottom"/>
            <w:hideMark/>
          </w:tcPr>
          <w:p w14:paraId="13739327" w14:textId="77777777" w:rsidR="007B3093" w:rsidRDefault="007B3093">
            <w:pPr>
              <w:spacing w:after="0" w:line="240" w:lineRule="auto"/>
              <w:rPr>
                <w:rFonts w:ascii="Calibri" w:eastAsia="Times New Roman" w:hAnsi="Calibri" w:cs="Calibri"/>
                <w:color w:val="000000"/>
                <w:sz w:val="16"/>
                <w:szCs w:val="16"/>
                <w:lang w:eastAsia="es-EC"/>
              </w:rPr>
            </w:pPr>
          </w:p>
        </w:tc>
      </w:tr>
      <w:tr w:rsidR="007B3093" w14:paraId="14D5D010" w14:textId="77777777">
        <w:trPr>
          <w:trHeight w:val="358"/>
        </w:trPr>
        <w:tc>
          <w:tcPr>
            <w:tcW w:w="1705" w:type="dxa"/>
            <w:vMerge/>
            <w:tcBorders>
              <w:top w:val="nil"/>
              <w:left w:val="single" w:sz="8" w:space="0" w:color="auto"/>
              <w:bottom w:val="single" w:sz="8" w:space="0" w:color="000000"/>
              <w:right w:val="single" w:sz="8" w:space="0" w:color="auto"/>
            </w:tcBorders>
            <w:vAlign w:val="center"/>
            <w:hideMark/>
          </w:tcPr>
          <w:p w14:paraId="79B21FA0" w14:textId="77777777" w:rsidR="007B3093" w:rsidRDefault="007B3093">
            <w:pPr>
              <w:spacing w:after="0" w:line="240" w:lineRule="auto"/>
              <w:rPr>
                <w:rFonts w:ascii="Calibri" w:eastAsia="Times New Roman" w:hAnsi="Calibri" w:cs="Calibri"/>
                <w:color w:val="000000"/>
                <w:sz w:val="16"/>
                <w:szCs w:val="16"/>
                <w:lang w:eastAsia="es-EC"/>
              </w:rPr>
            </w:pPr>
          </w:p>
        </w:tc>
        <w:tc>
          <w:tcPr>
            <w:tcW w:w="854" w:type="dxa"/>
            <w:vMerge/>
            <w:tcBorders>
              <w:top w:val="nil"/>
              <w:left w:val="single" w:sz="8" w:space="0" w:color="auto"/>
              <w:bottom w:val="single" w:sz="8" w:space="0" w:color="000000"/>
              <w:right w:val="single" w:sz="8" w:space="0" w:color="auto"/>
            </w:tcBorders>
            <w:vAlign w:val="center"/>
            <w:hideMark/>
          </w:tcPr>
          <w:p w14:paraId="417432D6" w14:textId="77777777" w:rsidR="007B3093" w:rsidRDefault="007B3093">
            <w:pPr>
              <w:spacing w:after="0" w:line="240" w:lineRule="auto"/>
              <w:rPr>
                <w:rFonts w:ascii="Calibri" w:eastAsia="Times New Roman" w:hAnsi="Calibri" w:cs="Calibri"/>
                <w:color w:val="000000"/>
                <w:sz w:val="16"/>
                <w:szCs w:val="16"/>
                <w:lang w:eastAsia="es-EC"/>
              </w:rPr>
            </w:pPr>
          </w:p>
        </w:tc>
        <w:tc>
          <w:tcPr>
            <w:tcW w:w="1424" w:type="dxa"/>
            <w:gridSpan w:val="2"/>
            <w:vMerge/>
            <w:tcBorders>
              <w:top w:val="single" w:sz="8" w:space="0" w:color="auto"/>
              <w:left w:val="single" w:sz="8" w:space="0" w:color="auto"/>
              <w:bottom w:val="single" w:sz="8" w:space="0" w:color="000000"/>
              <w:right w:val="single" w:sz="8" w:space="0" w:color="000000"/>
            </w:tcBorders>
            <w:vAlign w:val="center"/>
            <w:hideMark/>
          </w:tcPr>
          <w:p w14:paraId="21CF235F" w14:textId="77777777" w:rsidR="007B3093" w:rsidRDefault="007B3093">
            <w:pPr>
              <w:spacing w:after="0" w:line="240" w:lineRule="auto"/>
              <w:rPr>
                <w:rFonts w:ascii="Calibri" w:eastAsia="Times New Roman" w:hAnsi="Calibri" w:cs="Calibri"/>
                <w:color w:val="000000"/>
                <w:sz w:val="16"/>
                <w:szCs w:val="16"/>
                <w:lang w:eastAsia="es-EC"/>
              </w:rPr>
            </w:pPr>
          </w:p>
        </w:tc>
        <w:tc>
          <w:tcPr>
            <w:tcW w:w="629" w:type="dxa"/>
            <w:vMerge/>
            <w:tcBorders>
              <w:top w:val="nil"/>
              <w:left w:val="single" w:sz="8" w:space="0" w:color="auto"/>
              <w:bottom w:val="single" w:sz="8" w:space="0" w:color="000000"/>
              <w:right w:val="single" w:sz="8" w:space="0" w:color="auto"/>
            </w:tcBorders>
            <w:vAlign w:val="center"/>
            <w:hideMark/>
          </w:tcPr>
          <w:p w14:paraId="228CAF02" w14:textId="77777777" w:rsidR="007B3093" w:rsidRDefault="007B3093">
            <w:pPr>
              <w:spacing w:after="0" w:line="240" w:lineRule="auto"/>
              <w:rPr>
                <w:rFonts w:ascii="Calibri" w:eastAsia="Times New Roman" w:hAnsi="Calibri" w:cs="Calibri"/>
                <w:color w:val="000000"/>
                <w:sz w:val="16"/>
                <w:szCs w:val="16"/>
                <w:lang w:eastAsia="es-EC"/>
              </w:rPr>
            </w:pPr>
          </w:p>
        </w:tc>
        <w:tc>
          <w:tcPr>
            <w:tcW w:w="537" w:type="dxa"/>
            <w:vMerge/>
            <w:tcBorders>
              <w:top w:val="nil"/>
              <w:left w:val="single" w:sz="8" w:space="0" w:color="auto"/>
              <w:bottom w:val="single" w:sz="8" w:space="0" w:color="000000"/>
              <w:right w:val="single" w:sz="8" w:space="0" w:color="auto"/>
            </w:tcBorders>
            <w:vAlign w:val="center"/>
            <w:hideMark/>
          </w:tcPr>
          <w:p w14:paraId="0A229BBF" w14:textId="77777777" w:rsidR="007B3093" w:rsidRDefault="007B3093">
            <w:pPr>
              <w:spacing w:after="0" w:line="240" w:lineRule="auto"/>
              <w:rPr>
                <w:rFonts w:ascii="Calibri" w:eastAsia="Times New Roman" w:hAnsi="Calibri" w:cs="Calibri"/>
                <w:color w:val="000000"/>
                <w:sz w:val="16"/>
                <w:szCs w:val="16"/>
                <w:lang w:eastAsia="es-EC"/>
              </w:rPr>
            </w:pPr>
          </w:p>
        </w:tc>
        <w:tc>
          <w:tcPr>
            <w:tcW w:w="611" w:type="dxa"/>
            <w:vMerge/>
            <w:tcBorders>
              <w:top w:val="nil"/>
              <w:left w:val="single" w:sz="8" w:space="0" w:color="auto"/>
              <w:bottom w:val="single" w:sz="8" w:space="0" w:color="000000"/>
              <w:right w:val="single" w:sz="8" w:space="0" w:color="auto"/>
            </w:tcBorders>
            <w:vAlign w:val="center"/>
            <w:hideMark/>
          </w:tcPr>
          <w:p w14:paraId="6CBDB4D1" w14:textId="77777777" w:rsidR="007B3093" w:rsidRDefault="007B3093">
            <w:pPr>
              <w:spacing w:after="0" w:line="240" w:lineRule="auto"/>
              <w:rPr>
                <w:rFonts w:ascii="Calibri" w:eastAsia="Times New Roman" w:hAnsi="Calibri" w:cs="Calibri"/>
                <w:color w:val="000000"/>
                <w:sz w:val="16"/>
                <w:szCs w:val="16"/>
                <w:lang w:eastAsia="es-EC"/>
              </w:rPr>
            </w:pPr>
          </w:p>
        </w:tc>
        <w:tc>
          <w:tcPr>
            <w:tcW w:w="572" w:type="dxa"/>
            <w:vMerge/>
            <w:tcBorders>
              <w:top w:val="nil"/>
              <w:left w:val="single" w:sz="8" w:space="0" w:color="auto"/>
              <w:bottom w:val="single" w:sz="8" w:space="0" w:color="000000"/>
              <w:right w:val="single" w:sz="8" w:space="0" w:color="auto"/>
            </w:tcBorders>
            <w:vAlign w:val="center"/>
            <w:hideMark/>
          </w:tcPr>
          <w:p w14:paraId="44CEAC3D" w14:textId="77777777" w:rsidR="007B3093" w:rsidRDefault="007B3093">
            <w:pPr>
              <w:spacing w:after="0" w:line="240" w:lineRule="auto"/>
              <w:rPr>
                <w:rFonts w:ascii="Calibri" w:eastAsia="Times New Roman" w:hAnsi="Calibri" w:cs="Calibri"/>
                <w:color w:val="000000"/>
                <w:sz w:val="16"/>
                <w:szCs w:val="16"/>
                <w:lang w:eastAsia="es-EC"/>
              </w:rPr>
            </w:pPr>
          </w:p>
        </w:tc>
        <w:tc>
          <w:tcPr>
            <w:tcW w:w="572" w:type="dxa"/>
            <w:vMerge/>
            <w:tcBorders>
              <w:top w:val="nil"/>
              <w:left w:val="single" w:sz="8" w:space="0" w:color="auto"/>
              <w:bottom w:val="single" w:sz="8" w:space="0" w:color="000000"/>
              <w:right w:val="single" w:sz="8" w:space="0" w:color="auto"/>
            </w:tcBorders>
            <w:vAlign w:val="center"/>
            <w:hideMark/>
          </w:tcPr>
          <w:p w14:paraId="47B272CE" w14:textId="77777777" w:rsidR="007B3093" w:rsidRDefault="007B3093">
            <w:pPr>
              <w:spacing w:after="0" w:line="240" w:lineRule="auto"/>
              <w:rPr>
                <w:rFonts w:ascii="Calibri" w:eastAsia="Times New Roman" w:hAnsi="Calibri" w:cs="Calibri"/>
                <w:color w:val="000000"/>
                <w:sz w:val="16"/>
                <w:szCs w:val="16"/>
                <w:lang w:eastAsia="es-EC"/>
              </w:rPr>
            </w:pPr>
          </w:p>
        </w:tc>
        <w:tc>
          <w:tcPr>
            <w:tcW w:w="517" w:type="dxa"/>
            <w:vMerge/>
            <w:tcBorders>
              <w:top w:val="nil"/>
              <w:left w:val="single" w:sz="8" w:space="0" w:color="auto"/>
              <w:bottom w:val="single" w:sz="8" w:space="0" w:color="000000"/>
              <w:right w:val="single" w:sz="8" w:space="0" w:color="auto"/>
            </w:tcBorders>
            <w:vAlign w:val="center"/>
            <w:hideMark/>
          </w:tcPr>
          <w:p w14:paraId="23EB3017" w14:textId="77777777" w:rsidR="007B3093" w:rsidRDefault="007B3093">
            <w:pPr>
              <w:spacing w:after="0" w:line="240" w:lineRule="auto"/>
              <w:rPr>
                <w:rFonts w:ascii="Calibri" w:eastAsia="Times New Roman" w:hAnsi="Calibri" w:cs="Calibri"/>
                <w:color w:val="000000"/>
                <w:sz w:val="16"/>
                <w:szCs w:val="16"/>
                <w:lang w:eastAsia="es-EC"/>
              </w:rPr>
            </w:pPr>
          </w:p>
        </w:tc>
        <w:tc>
          <w:tcPr>
            <w:tcW w:w="576" w:type="dxa"/>
            <w:vMerge/>
            <w:tcBorders>
              <w:top w:val="nil"/>
              <w:left w:val="single" w:sz="8" w:space="0" w:color="auto"/>
              <w:bottom w:val="single" w:sz="8" w:space="0" w:color="000000"/>
              <w:right w:val="single" w:sz="8" w:space="0" w:color="auto"/>
            </w:tcBorders>
            <w:vAlign w:val="center"/>
            <w:hideMark/>
          </w:tcPr>
          <w:p w14:paraId="10A0A160" w14:textId="77777777" w:rsidR="007B3093" w:rsidRDefault="007B3093">
            <w:pPr>
              <w:spacing w:after="0" w:line="240" w:lineRule="auto"/>
              <w:rPr>
                <w:rFonts w:ascii="Calibri" w:eastAsia="Times New Roman" w:hAnsi="Calibri" w:cs="Calibri"/>
                <w:color w:val="000000"/>
                <w:sz w:val="16"/>
                <w:szCs w:val="16"/>
                <w:lang w:eastAsia="es-EC"/>
              </w:rPr>
            </w:pPr>
          </w:p>
        </w:tc>
        <w:tc>
          <w:tcPr>
            <w:tcW w:w="714" w:type="dxa"/>
            <w:vMerge/>
            <w:tcBorders>
              <w:top w:val="nil"/>
              <w:left w:val="single" w:sz="8" w:space="0" w:color="auto"/>
              <w:bottom w:val="single" w:sz="8" w:space="0" w:color="000000"/>
              <w:right w:val="single" w:sz="8" w:space="0" w:color="auto"/>
            </w:tcBorders>
            <w:vAlign w:val="center"/>
            <w:hideMark/>
          </w:tcPr>
          <w:p w14:paraId="7D5B8A22" w14:textId="77777777" w:rsidR="007B3093" w:rsidRDefault="007B3093">
            <w:pPr>
              <w:spacing w:after="0" w:line="240" w:lineRule="auto"/>
              <w:rPr>
                <w:rFonts w:ascii="Calibri" w:eastAsia="Times New Roman" w:hAnsi="Calibri" w:cs="Calibri"/>
                <w:color w:val="000000"/>
                <w:sz w:val="16"/>
                <w:szCs w:val="16"/>
                <w:lang w:eastAsia="es-EC"/>
              </w:rPr>
            </w:pPr>
          </w:p>
        </w:tc>
        <w:tc>
          <w:tcPr>
            <w:tcW w:w="161" w:type="dxa"/>
            <w:tcBorders>
              <w:top w:val="nil"/>
              <w:left w:val="nil"/>
              <w:bottom w:val="nil"/>
              <w:right w:val="nil"/>
            </w:tcBorders>
            <w:shd w:val="clear" w:color="auto" w:fill="auto"/>
            <w:noWrap/>
            <w:vAlign w:val="bottom"/>
            <w:hideMark/>
          </w:tcPr>
          <w:p w14:paraId="3BCF2546" w14:textId="77777777" w:rsidR="007B3093" w:rsidRDefault="007B3093">
            <w:pPr>
              <w:spacing w:after="0" w:line="240" w:lineRule="auto"/>
              <w:rPr>
                <w:rFonts w:ascii="Times New Roman" w:eastAsia="Times New Roman" w:hAnsi="Times New Roman" w:cs="Times New Roman"/>
                <w:sz w:val="20"/>
                <w:szCs w:val="20"/>
                <w:lang w:eastAsia="es-EC"/>
              </w:rPr>
            </w:pPr>
          </w:p>
        </w:tc>
      </w:tr>
    </w:tbl>
    <w:p w14:paraId="699BC349" w14:textId="77777777" w:rsidR="007B3093" w:rsidRDefault="007B3093">
      <w:pPr>
        <w:autoSpaceDE w:val="0"/>
        <w:autoSpaceDN w:val="0"/>
        <w:adjustRightInd w:val="0"/>
        <w:spacing w:after="0" w:line="360" w:lineRule="auto"/>
        <w:ind w:left="-502" w:right="-1"/>
        <w:jc w:val="center"/>
        <w:rPr>
          <w:rFonts w:cstheme="minorHAnsi"/>
          <w:b/>
        </w:rPr>
      </w:pPr>
    </w:p>
    <w:p w14:paraId="179FC0AE" w14:textId="77777777" w:rsidR="007B3093" w:rsidRDefault="00000000">
      <w:pPr>
        <w:spacing w:after="0" w:line="360" w:lineRule="auto"/>
        <w:jc w:val="both"/>
      </w:pPr>
      <w:r>
        <w:lastRenderedPageBreak/>
        <w:t xml:space="preserve">Con respecto a los componentes del marco lógico del proyecto, se ha realizado el monitoreo </w:t>
      </w:r>
      <w:proofErr w:type="gramStart"/>
      <w:r>
        <w:t>de acuerdo a</w:t>
      </w:r>
      <w:proofErr w:type="gramEnd"/>
      <w:r>
        <w:t xml:space="preserve"> la periodicidad definida por el ente rector de la planificación nacional, con base en metas propuestas en la citada matriz, considerando además que estas tienen plena consistencia con las de la Matriz de Resultados establecida con el organismo financiador BID.</w:t>
      </w:r>
    </w:p>
    <w:p w14:paraId="66AFA209" w14:textId="77777777" w:rsidR="007B3093" w:rsidRDefault="007B3093">
      <w:pPr>
        <w:spacing w:after="0" w:line="360" w:lineRule="auto"/>
        <w:ind w:left="720"/>
        <w:jc w:val="both"/>
      </w:pPr>
    </w:p>
    <w:p w14:paraId="7AE81067" w14:textId="77777777" w:rsidR="007B3093" w:rsidRDefault="00000000">
      <w:pPr>
        <w:spacing w:line="360" w:lineRule="auto"/>
        <w:jc w:val="both"/>
      </w:pPr>
      <w:r>
        <w:t>Es importante mencionar que la PGE ha cumplido cabalmente desde 2019 hasta la fecha actual con los lineamientos de seguimiento dictados para el reporte del cumplimiento de metas de manera trimestral, conforme el dictamen original emitido en 2019 hasta el año 2022; es decir que los reportes realizados al cumplimiento de las metas fueron aplicados de acuerdo con la matriz de marco lógico que estuvo vigente hasta la actualización del dictamen de prioridad de agosto 2022, en la que se contemplaban otros indicadores y metas, así como otra ponderación porcentual por cada uno de los componentes, de acuerdo a lo que se evidencia en el siguiente cuadro:</w:t>
      </w:r>
    </w:p>
    <w:p w14:paraId="33CA3728" w14:textId="77777777" w:rsidR="007B3093" w:rsidRDefault="00000000">
      <w:pPr>
        <w:spacing w:after="0" w:line="360" w:lineRule="auto"/>
        <w:jc w:val="center"/>
        <w:rPr>
          <w:rFonts w:eastAsia="Times New Roman" w:cstheme="minorHAnsi"/>
          <w:b/>
          <w:bCs/>
          <w:color w:val="000000"/>
          <w:lang w:eastAsia="es-EC"/>
        </w:rPr>
      </w:pPr>
      <w:r>
        <w:rPr>
          <w:rFonts w:eastAsia="Times New Roman" w:cstheme="minorHAnsi"/>
          <w:b/>
          <w:bCs/>
          <w:color w:val="000000"/>
          <w:lang w:eastAsia="es-EC"/>
        </w:rPr>
        <w:t>Tabla 43: Cumplimiento de las metas/componente conforme a dictamen original de 2019</w:t>
      </w:r>
    </w:p>
    <w:tbl>
      <w:tblPr>
        <w:tblW w:w="5546" w:type="pct"/>
        <w:tblInd w:w="-284" w:type="dxa"/>
        <w:tblLayout w:type="fixed"/>
        <w:tblCellMar>
          <w:left w:w="70" w:type="dxa"/>
          <w:right w:w="70" w:type="dxa"/>
        </w:tblCellMar>
        <w:tblLook w:val="04A0" w:firstRow="1" w:lastRow="0" w:firstColumn="1" w:lastColumn="0" w:noHBand="0" w:noVBand="1"/>
      </w:tblPr>
      <w:tblGrid>
        <w:gridCol w:w="2733"/>
        <w:gridCol w:w="1097"/>
        <w:gridCol w:w="818"/>
        <w:gridCol w:w="682"/>
        <w:gridCol w:w="682"/>
        <w:gridCol w:w="823"/>
        <w:gridCol w:w="957"/>
        <w:gridCol w:w="818"/>
        <w:gridCol w:w="812"/>
      </w:tblGrid>
      <w:tr w:rsidR="007B3093" w14:paraId="0D0A87F6" w14:textId="77777777">
        <w:trPr>
          <w:trHeight w:val="207"/>
        </w:trPr>
        <w:tc>
          <w:tcPr>
            <w:tcW w:w="1450" w:type="pct"/>
            <w:tcBorders>
              <w:top w:val="nil"/>
              <w:left w:val="nil"/>
              <w:bottom w:val="nil"/>
              <w:right w:val="nil"/>
            </w:tcBorders>
            <w:shd w:val="clear" w:color="auto" w:fill="auto"/>
            <w:noWrap/>
            <w:vAlign w:val="center"/>
            <w:hideMark/>
          </w:tcPr>
          <w:p w14:paraId="6FB2B732" w14:textId="77777777" w:rsidR="007B3093" w:rsidRDefault="007B3093">
            <w:pPr>
              <w:spacing w:after="0" w:line="240" w:lineRule="auto"/>
              <w:rPr>
                <w:rFonts w:ascii="Times New Roman" w:eastAsia="Times New Roman" w:hAnsi="Times New Roman" w:cs="Times New Roman"/>
                <w:sz w:val="16"/>
                <w:szCs w:val="16"/>
                <w:lang w:eastAsia="es-EC"/>
              </w:rPr>
            </w:pPr>
          </w:p>
        </w:tc>
        <w:tc>
          <w:tcPr>
            <w:tcW w:w="2177" w:type="pct"/>
            <w:gridSpan w:val="5"/>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362AE5D0"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ANTERIOR MARCO LÓGICO - DICTAMEN ORIGINAL</w:t>
            </w:r>
          </w:p>
        </w:tc>
        <w:tc>
          <w:tcPr>
            <w:tcW w:w="1373" w:type="pct"/>
            <w:gridSpan w:val="3"/>
            <w:tcBorders>
              <w:top w:val="single" w:sz="8" w:space="0" w:color="auto"/>
              <w:left w:val="nil"/>
              <w:bottom w:val="single" w:sz="8" w:space="0" w:color="auto"/>
              <w:right w:val="single" w:sz="8" w:space="0" w:color="000000"/>
            </w:tcBorders>
            <w:shd w:val="clear" w:color="000000" w:fill="FFD966"/>
            <w:noWrap/>
            <w:vAlign w:val="center"/>
            <w:hideMark/>
          </w:tcPr>
          <w:p w14:paraId="26BF1EBA"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CAMBIO DE MARCO LÓGICO</w:t>
            </w:r>
          </w:p>
        </w:tc>
      </w:tr>
      <w:tr w:rsidR="007B3093" w14:paraId="19833C39" w14:textId="77777777">
        <w:trPr>
          <w:trHeight w:val="398"/>
        </w:trPr>
        <w:tc>
          <w:tcPr>
            <w:tcW w:w="1450"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0E994B"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COMPONENTES</w:t>
            </w:r>
          </w:p>
        </w:tc>
        <w:tc>
          <w:tcPr>
            <w:tcW w:w="582" w:type="pct"/>
            <w:tcBorders>
              <w:top w:val="nil"/>
              <w:left w:val="nil"/>
              <w:bottom w:val="single" w:sz="4" w:space="0" w:color="auto"/>
              <w:right w:val="single" w:sz="4" w:space="0" w:color="auto"/>
            </w:tcBorders>
            <w:shd w:val="clear" w:color="000000" w:fill="FFF2CC"/>
            <w:noWrap/>
            <w:vAlign w:val="center"/>
            <w:hideMark/>
          </w:tcPr>
          <w:p w14:paraId="131BC38A"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Ponderación</w:t>
            </w:r>
          </w:p>
        </w:tc>
        <w:tc>
          <w:tcPr>
            <w:tcW w:w="434" w:type="pct"/>
            <w:tcBorders>
              <w:top w:val="nil"/>
              <w:left w:val="nil"/>
              <w:bottom w:val="single" w:sz="4" w:space="0" w:color="auto"/>
              <w:right w:val="single" w:sz="4" w:space="0" w:color="auto"/>
            </w:tcBorders>
            <w:shd w:val="clear" w:color="000000" w:fill="FFF2CC"/>
            <w:noWrap/>
            <w:vAlign w:val="center"/>
            <w:hideMark/>
          </w:tcPr>
          <w:p w14:paraId="2B295130"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2019</w:t>
            </w:r>
          </w:p>
        </w:tc>
        <w:tc>
          <w:tcPr>
            <w:tcW w:w="362" w:type="pct"/>
            <w:tcBorders>
              <w:top w:val="nil"/>
              <w:left w:val="nil"/>
              <w:bottom w:val="single" w:sz="4" w:space="0" w:color="auto"/>
              <w:right w:val="single" w:sz="4" w:space="0" w:color="auto"/>
            </w:tcBorders>
            <w:shd w:val="clear" w:color="000000" w:fill="FFF2CC"/>
            <w:noWrap/>
            <w:vAlign w:val="center"/>
            <w:hideMark/>
          </w:tcPr>
          <w:p w14:paraId="6B1C5FEC"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2020</w:t>
            </w:r>
          </w:p>
        </w:tc>
        <w:tc>
          <w:tcPr>
            <w:tcW w:w="362" w:type="pct"/>
            <w:tcBorders>
              <w:top w:val="nil"/>
              <w:left w:val="nil"/>
              <w:bottom w:val="single" w:sz="4" w:space="0" w:color="auto"/>
              <w:right w:val="single" w:sz="4" w:space="0" w:color="auto"/>
            </w:tcBorders>
            <w:shd w:val="clear" w:color="000000" w:fill="FFF2CC"/>
            <w:noWrap/>
            <w:vAlign w:val="center"/>
            <w:hideMark/>
          </w:tcPr>
          <w:p w14:paraId="3A98D77F"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2021</w:t>
            </w:r>
          </w:p>
        </w:tc>
        <w:tc>
          <w:tcPr>
            <w:tcW w:w="435" w:type="pct"/>
            <w:tcBorders>
              <w:top w:val="nil"/>
              <w:left w:val="nil"/>
              <w:bottom w:val="single" w:sz="4" w:space="0" w:color="auto"/>
              <w:right w:val="nil"/>
            </w:tcBorders>
            <w:shd w:val="clear" w:color="000000" w:fill="FFF2CC"/>
            <w:noWrap/>
            <w:vAlign w:val="center"/>
            <w:hideMark/>
          </w:tcPr>
          <w:p w14:paraId="148FF93B"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2022</w:t>
            </w:r>
          </w:p>
        </w:tc>
        <w:tc>
          <w:tcPr>
            <w:tcW w:w="508" w:type="pct"/>
            <w:tcBorders>
              <w:top w:val="nil"/>
              <w:left w:val="single" w:sz="8" w:space="0" w:color="auto"/>
              <w:bottom w:val="single" w:sz="4" w:space="0" w:color="auto"/>
              <w:right w:val="single" w:sz="8" w:space="0" w:color="auto"/>
            </w:tcBorders>
            <w:shd w:val="clear" w:color="000000" w:fill="FFF2CC"/>
            <w:vAlign w:val="center"/>
            <w:hideMark/>
          </w:tcPr>
          <w:p w14:paraId="72591AF5"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Cambio Ponderación</w:t>
            </w:r>
          </w:p>
        </w:tc>
        <w:tc>
          <w:tcPr>
            <w:tcW w:w="434" w:type="pct"/>
            <w:tcBorders>
              <w:top w:val="nil"/>
              <w:left w:val="nil"/>
              <w:bottom w:val="single" w:sz="4" w:space="0" w:color="auto"/>
              <w:right w:val="single" w:sz="4" w:space="0" w:color="auto"/>
            </w:tcBorders>
            <w:shd w:val="clear" w:color="000000" w:fill="FFF2CC"/>
            <w:noWrap/>
            <w:vAlign w:val="center"/>
            <w:hideMark/>
          </w:tcPr>
          <w:p w14:paraId="5F6C10A1"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2023</w:t>
            </w:r>
          </w:p>
        </w:tc>
        <w:tc>
          <w:tcPr>
            <w:tcW w:w="430" w:type="pct"/>
            <w:tcBorders>
              <w:top w:val="nil"/>
              <w:left w:val="nil"/>
              <w:bottom w:val="single" w:sz="4" w:space="0" w:color="auto"/>
              <w:right w:val="single" w:sz="4" w:space="0" w:color="auto"/>
            </w:tcBorders>
            <w:shd w:val="clear" w:color="000000" w:fill="FFF2CC"/>
            <w:noWrap/>
            <w:vAlign w:val="center"/>
            <w:hideMark/>
          </w:tcPr>
          <w:p w14:paraId="4FC6D26B"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2024</w:t>
            </w:r>
          </w:p>
        </w:tc>
      </w:tr>
      <w:tr w:rsidR="007B3093" w14:paraId="2F765BD5" w14:textId="77777777">
        <w:trPr>
          <w:trHeight w:val="19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5AAA1904"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1:</w:t>
            </w:r>
            <w:r>
              <w:rPr>
                <w:rFonts w:ascii="Calibri" w:eastAsia="Times New Roman" w:hAnsi="Calibri" w:cs="Calibri"/>
                <w:color w:val="000000"/>
                <w:sz w:val="16"/>
                <w:szCs w:val="16"/>
                <w:lang w:eastAsia="es-EC"/>
              </w:rPr>
              <w:t xml:space="preserve"> Diseñar e implementar el modelo de gestión de la PGE.</w:t>
            </w:r>
          </w:p>
        </w:tc>
        <w:tc>
          <w:tcPr>
            <w:tcW w:w="582" w:type="pct"/>
            <w:tcBorders>
              <w:top w:val="nil"/>
              <w:left w:val="nil"/>
              <w:bottom w:val="single" w:sz="4" w:space="0" w:color="auto"/>
              <w:right w:val="single" w:sz="4" w:space="0" w:color="auto"/>
            </w:tcBorders>
            <w:shd w:val="clear" w:color="auto" w:fill="auto"/>
            <w:noWrap/>
            <w:vAlign w:val="center"/>
            <w:hideMark/>
          </w:tcPr>
          <w:p w14:paraId="4A8EA524"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65,00</w:t>
            </w:r>
          </w:p>
        </w:tc>
        <w:tc>
          <w:tcPr>
            <w:tcW w:w="434" w:type="pct"/>
            <w:tcBorders>
              <w:top w:val="nil"/>
              <w:left w:val="nil"/>
              <w:bottom w:val="single" w:sz="4" w:space="0" w:color="auto"/>
              <w:right w:val="single" w:sz="4" w:space="0" w:color="auto"/>
            </w:tcBorders>
            <w:shd w:val="clear" w:color="auto" w:fill="auto"/>
            <w:noWrap/>
            <w:vAlign w:val="center"/>
            <w:hideMark/>
          </w:tcPr>
          <w:p w14:paraId="5D622520"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0,23</w:t>
            </w:r>
          </w:p>
        </w:tc>
        <w:tc>
          <w:tcPr>
            <w:tcW w:w="362" w:type="pct"/>
            <w:tcBorders>
              <w:top w:val="nil"/>
              <w:left w:val="nil"/>
              <w:bottom w:val="single" w:sz="4" w:space="0" w:color="auto"/>
              <w:right w:val="single" w:sz="4" w:space="0" w:color="auto"/>
            </w:tcBorders>
            <w:shd w:val="clear" w:color="auto" w:fill="auto"/>
            <w:noWrap/>
            <w:vAlign w:val="center"/>
            <w:hideMark/>
          </w:tcPr>
          <w:p w14:paraId="19372EA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5,20</w:t>
            </w:r>
          </w:p>
        </w:tc>
        <w:tc>
          <w:tcPr>
            <w:tcW w:w="362" w:type="pct"/>
            <w:tcBorders>
              <w:top w:val="nil"/>
              <w:left w:val="nil"/>
              <w:bottom w:val="single" w:sz="4" w:space="0" w:color="auto"/>
              <w:right w:val="single" w:sz="4" w:space="0" w:color="auto"/>
            </w:tcBorders>
            <w:shd w:val="clear" w:color="auto" w:fill="auto"/>
            <w:noWrap/>
            <w:vAlign w:val="center"/>
            <w:hideMark/>
          </w:tcPr>
          <w:p w14:paraId="75061B21"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9,1</w:t>
            </w:r>
          </w:p>
        </w:tc>
        <w:tc>
          <w:tcPr>
            <w:tcW w:w="435" w:type="pct"/>
            <w:tcBorders>
              <w:top w:val="nil"/>
              <w:left w:val="nil"/>
              <w:bottom w:val="single" w:sz="4" w:space="0" w:color="auto"/>
              <w:right w:val="nil"/>
            </w:tcBorders>
            <w:shd w:val="clear" w:color="auto" w:fill="auto"/>
            <w:noWrap/>
            <w:vAlign w:val="center"/>
            <w:hideMark/>
          </w:tcPr>
          <w:p w14:paraId="064BA5FF"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9,75</w:t>
            </w:r>
          </w:p>
        </w:tc>
        <w:tc>
          <w:tcPr>
            <w:tcW w:w="508" w:type="pct"/>
            <w:tcBorders>
              <w:top w:val="nil"/>
              <w:left w:val="single" w:sz="8" w:space="0" w:color="auto"/>
              <w:bottom w:val="single" w:sz="4" w:space="0" w:color="auto"/>
              <w:right w:val="single" w:sz="8" w:space="0" w:color="auto"/>
            </w:tcBorders>
            <w:shd w:val="clear" w:color="000000" w:fill="EDEDED"/>
            <w:noWrap/>
            <w:vAlign w:val="center"/>
            <w:hideMark/>
          </w:tcPr>
          <w:p w14:paraId="1F2BD56C"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64,50</w:t>
            </w:r>
          </w:p>
        </w:tc>
        <w:tc>
          <w:tcPr>
            <w:tcW w:w="434" w:type="pct"/>
            <w:tcBorders>
              <w:top w:val="nil"/>
              <w:left w:val="nil"/>
              <w:bottom w:val="single" w:sz="4" w:space="0" w:color="auto"/>
              <w:right w:val="single" w:sz="4" w:space="0" w:color="auto"/>
            </w:tcBorders>
            <w:shd w:val="clear" w:color="auto" w:fill="auto"/>
            <w:noWrap/>
            <w:vAlign w:val="center"/>
            <w:hideMark/>
          </w:tcPr>
          <w:p w14:paraId="6FA74308"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20</w:t>
            </w:r>
          </w:p>
        </w:tc>
        <w:tc>
          <w:tcPr>
            <w:tcW w:w="430" w:type="pct"/>
            <w:tcBorders>
              <w:top w:val="nil"/>
              <w:left w:val="nil"/>
              <w:bottom w:val="single" w:sz="4" w:space="0" w:color="auto"/>
              <w:right w:val="single" w:sz="4" w:space="0" w:color="auto"/>
            </w:tcBorders>
            <w:shd w:val="clear" w:color="auto" w:fill="auto"/>
            <w:noWrap/>
            <w:vAlign w:val="center"/>
            <w:hideMark/>
          </w:tcPr>
          <w:p w14:paraId="7EC38FF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5,16</w:t>
            </w:r>
          </w:p>
        </w:tc>
      </w:tr>
      <w:tr w:rsidR="007B3093" w14:paraId="626589A0" w14:textId="77777777">
        <w:trPr>
          <w:trHeight w:val="19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6AADCC46"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2:</w:t>
            </w:r>
            <w:r>
              <w:rPr>
                <w:rFonts w:ascii="Calibri" w:eastAsia="Times New Roman" w:hAnsi="Calibri" w:cs="Calibri"/>
                <w:color w:val="000000"/>
                <w:sz w:val="16"/>
                <w:szCs w:val="16"/>
                <w:lang w:eastAsia="es-EC"/>
              </w:rPr>
              <w:t xml:space="preserve"> Fortalecer la Defensa legal del Estado</w:t>
            </w:r>
          </w:p>
        </w:tc>
        <w:tc>
          <w:tcPr>
            <w:tcW w:w="582" w:type="pct"/>
            <w:tcBorders>
              <w:top w:val="nil"/>
              <w:left w:val="nil"/>
              <w:bottom w:val="single" w:sz="4" w:space="0" w:color="auto"/>
              <w:right w:val="single" w:sz="4" w:space="0" w:color="auto"/>
            </w:tcBorders>
            <w:shd w:val="clear" w:color="auto" w:fill="auto"/>
            <w:noWrap/>
            <w:vAlign w:val="center"/>
            <w:hideMark/>
          </w:tcPr>
          <w:p w14:paraId="288287BA"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13,80</w:t>
            </w:r>
          </w:p>
        </w:tc>
        <w:tc>
          <w:tcPr>
            <w:tcW w:w="434" w:type="pct"/>
            <w:tcBorders>
              <w:top w:val="nil"/>
              <w:left w:val="nil"/>
              <w:bottom w:val="single" w:sz="4" w:space="0" w:color="auto"/>
              <w:right w:val="single" w:sz="4" w:space="0" w:color="auto"/>
            </w:tcBorders>
            <w:shd w:val="clear" w:color="auto" w:fill="auto"/>
            <w:noWrap/>
            <w:vAlign w:val="center"/>
            <w:hideMark/>
          </w:tcPr>
          <w:p w14:paraId="329DAC6F"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362" w:type="pct"/>
            <w:tcBorders>
              <w:top w:val="nil"/>
              <w:left w:val="nil"/>
              <w:bottom w:val="single" w:sz="4" w:space="0" w:color="auto"/>
              <w:right w:val="single" w:sz="4" w:space="0" w:color="auto"/>
            </w:tcBorders>
            <w:shd w:val="clear" w:color="auto" w:fill="auto"/>
            <w:noWrap/>
            <w:vAlign w:val="center"/>
            <w:hideMark/>
          </w:tcPr>
          <w:p w14:paraId="65ECEB3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0,28</w:t>
            </w:r>
          </w:p>
        </w:tc>
        <w:tc>
          <w:tcPr>
            <w:tcW w:w="362" w:type="pct"/>
            <w:tcBorders>
              <w:top w:val="nil"/>
              <w:left w:val="nil"/>
              <w:bottom w:val="single" w:sz="4" w:space="0" w:color="auto"/>
              <w:right w:val="single" w:sz="4" w:space="0" w:color="auto"/>
            </w:tcBorders>
            <w:shd w:val="clear" w:color="auto" w:fill="auto"/>
            <w:noWrap/>
            <w:vAlign w:val="center"/>
            <w:hideMark/>
          </w:tcPr>
          <w:p w14:paraId="4D07EB4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1,92</w:t>
            </w:r>
          </w:p>
        </w:tc>
        <w:tc>
          <w:tcPr>
            <w:tcW w:w="435" w:type="pct"/>
            <w:tcBorders>
              <w:top w:val="nil"/>
              <w:left w:val="nil"/>
              <w:bottom w:val="single" w:sz="4" w:space="0" w:color="auto"/>
              <w:right w:val="nil"/>
            </w:tcBorders>
            <w:shd w:val="clear" w:color="auto" w:fill="auto"/>
            <w:noWrap/>
            <w:vAlign w:val="center"/>
            <w:hideMark/>
          </w:tcPr>
          <w:p w14:paraId="43DAD8C4"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11,18</w:t>
            </w:r>
          </w:p>
        </w:tc>
        <w:tc>
          <w:tcPr>
            <w:tcW w:w="508" w:type="pct"/>
            <w:tcBorders>
              <w:top w:val="nil"/>
              <w:left w:val="single" w:sz="8" w:space="0" w:color="auto"/>
              <w:bottom w:val="single" w:sz="4" w:space="0" w:color="auto"/>
              <w:right w:val="single" w:sz="8" w:space="0" w:color="auto"/>
            </w:tcBorders>
            <w:shd w:val="clear" w:color="000000" w:fill="EDEDED"/>
            <w:noWrap/>
            <w:vAlign w:val="center"/>
            <w:hideMark/>
          </w:tcPr>
          <w:p w14:paraId="3DBAB158"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14,00</w:t>
            </w:r>
          </w:p>
        </w:tc>
        <w:tc>
          <w:tcPr>
            <w:tcW w:w="434" w:type="pct"/>
            <w:tcBorders>
              <w:top w:val="nil"/>
              <w:left w:val="nil"/>
              <w:bottom w:val="single" w:sz="4" w:space="0" w:color="auto"/>
              <w:right w:val="single" w:sz="4" w:space="0" w:color="auto"/>
            </w:tcBorders>
            <w:shd w:val="clear" w:color="auto" w:fill="auto"/>
            <w:noWrap/>
            <w:vAlign w:val="center"/>
            <w:hideMark/>
          </w:tcPr>
          <w:p w14:paraId="3E324427"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c>
          <w:tcPr>
            <w:tcW w:w="430" w:type="pct"/>
            <w:tcBorders>
              <w:top w:val="nil"/>
              <w:left w:val="nil"/>
              <w:bottom w:val="single" w:sz="4" w:space="0" w:color="auto"/>
              <w:right w:val="single" w:sz="4" w:space="0" w:color="auto"/>
            </w:tcBorders>
            <w:shd w:val="clear" w:color="auto" w:fill="auto"/>
            <w:noWrap/>
            <w:vAlign w:val="center"/>
            <w:hideMark/>
          </w:tcPr>
          <w:p w14:paraId="296D551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r>
      <w:tr w:rsidR="007B3093" w14:paraId="1F067F28" w14:textId="77777777">
        <w:trPr>
          <w:trHeight w:val="19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6C5DA327"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3:</w:t>
            </w:r>
            <w:r>
              <w:rPr>
                <w:rFonts w:ascii="Calibri" w:eastAsia="Times New Roman" w:hAnsi="Calibri" w:cs="Calibri"/>
                <w:color w:val="000000"/>
                <w:sz w:val="16"/>
                <w:szCs w:val="16"/>
                <w:lang w:eastAsia="es-EC"/>
              </w:rPr>
              <w:t xml:space="preserve"> Fortalecer la capacidad de asesoría y respuesta a consultas legales de la PGE.</w:t>
            </w:r>
          </w:p>
        </w:tc>
        <w:tc>
          <w:tcPr>
            <w:tcW w:w="582" w:type="pct"/>
            <w:tcBorders>
              <w:top w:val="nil"/>
              <w:left w:val="nil"/>
              <w:bottom w:val="single" w:sz="4" w:space="0" w:color="auto"/>
              <w:right w:val="single" w:sz="4" w:space="0" w:color="auto"/>
            </w:tcBorders>
            <w:shd w:val="clear" w:color="auto" w:fill="auto"/>
            <w:noWrap/>
            <w:vAlign w:val="center"/>
            <w:hideMark/>
          </w:tcPr>
          <w:p w14:paraId="5F48FBD0"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10,60</w:t>
            </w:r>
          </w:p>
        </w:tc>
        <w:tc>
          <w:tcPr>
            <w:tcW w:w="434" w:type="pct"/>
            <w:tcBorders>
              <w:top w:val="nil"/>
              <w:left w:val="nil"/>
              <w:bottom w:val="single" w:sz="4" w:space="0" w:color="auto"/>
              <w:right w:val="single" w:sz="4" w:space="0" w:color="auto"/>
            </w:tcBorders>
            <w:shd w:val="clear" w:color="auto" w:fill="auto"/>
            <w:noWrap/>
            <w:vAlign w:val="center"/>
            <w:hideMark/>
          </w:tcPr>
          <w:p w14:paraId="0DF14317"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362" w:type="pct"/>
            <w:tcBorders>
              <w:top w:val="nil"/>
              <w:left w:val="nil"/>
              <w:bottom w:val="single" w:sz="4" w:space="0" w:color="auto"/>
              <w:right w:val="single" w:sz="4" w:space="0" w:color="auto"/>
            </w:tcBorders>
            <w:shd w:val="clear" w:color="auto" w:fill="auto"/>
            <w:noWrap/>
            <w:vAlign w:val="center"/>
            <w:hideMark/>
          </w:tcPr>
          <w:p w14:paraId="7BA78BB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0,53</w:t>
            </w:r>
          </w:p>
        </w:tc>
        <w:tc>
          <w:tcPr>
            <w:tcW w:w="362" w:type="pct"/>
            <w:tcBorders>
              <w:top w:val="nil"/>
              <w:left w:val="nil"/>
              <w:bottom w:val="single" w:sz="4" w:space="0" w:color="auto"/>
              <w:right w:val="single" w:sz="4" w:space="0" w:color="auto"/>
            </w:tcBorders>
            <w:shd w:val="clear" w:color="auto" w:fill="auto"/>
            <w:noWrap/>
            <w:vAlign w:val="center"/>
            <w:hideMark/>
          </w:tcPr>
          <w:p w14:paraId="65A8CF50"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c>
          <w:tcPr>
            <w:tcW w:w="435" w:type="pct"/>
            <w:tcBorders>
              <w:top w:val="nil"/>
              <w:left w:val="nil"/>
              <w:bottom w:val="single" w:sz="4" w:space="0" w:color="auto"/>
              <w:right w:val="nil"/>
            </w:tcBorders>
            <w:shd w:val="clear" w:color="auto" w:fill="auto"/>
            <w:noWrap/>
            <w:vAlign w:val="center"/>
            <w:hideMark/>
          </w:tcPr>
          <w:p w14:paraId="1826216F"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1,06</w:t>
            </w:r>
          </w:p>
        </w:tc>
        <w:tc>
          <w:tcPr>
            <w:tcW w:w="508" w:type="pct"/>
            <w:tcBorders>
              <w:top w:val="nil"/>
              <w:left w:val="single" w:sz="8" w:space="0" w:color="auto"/>
              <w:bottom w:val="single" w:sz="4" w:space="0" w:color="auto"/>
              <w:right w:val="single" w:sz="8" w:space="0" w:color="auto"/>
            </w:tcBorders>
            <w:shd w:val="clear" w:color="000000" w:fill="EDEDED"/>
            <w:noWrap/>
            <w:vAlign w:val="center"/>
            <w:hideMark/>
          </w:tcPr>
          <w:p w14:paraId="09DD4BFC"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11,00</w:t>
            </w:r>
          </w:p>
        </w:tc>
        <w:tc>
          <w:tcPr>
            <w:tcW w:w="434" w:type="pct"/>
            <w:tcBorders>
              <w:top w:val="nil"/>
              <w:left w:val="nil"/>
              <w:bottom w:val="single" w:sz="4" w:space="0" w:color="auto"/>
              <w:right w:val="single" w:sz="4" w:space="0" w:color="auto"/>
            </w:tcBorders>
            <w:shd w:val="clear" w:color="auto" w:fill="auto"/>
            <w:noWrap/>
            <w:vAlign w:val="center"/>
            <w:hideMark/>
          </w:tcPr>
          <w:p w14:paraId="09B8BFE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2,75</w:t>
            </w:r>
          </w:p>
        </w:tc>
        <w:tc>
          <w:tcPr>
            <w:tcW w:w="430" w:type="pct"/>
            <w:tcBorders>
              <w:top w:val="nil"/>
              <w:left w:val="nil"/>
              <w:bottom w:val="single" w:sz="4" w:space="0" w:color="auto"/>
              <w:right w:val="single" w:sz="4" w:space="0" w:color="auto"/>
            </w:tcBorders>
            <w:shd w:val="clear" w:color="auto" w:fill="auto"/>
            <w:noWrap/>
            <w:vAlign w:val="center"/>
            <w:hideMark/>
          </w:tcPr>
          <w:p w14:paraId="0FA744C9"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r>
      <w:tr w:rsidR="007B3093" w14:paraId="4D858777" w14:textId="77777777">
        <w:trPr>
          <w:trHeight w:val="19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5748D47B"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4:</w:t>
            </w:r>
            <w:r>
              <w:rPr>
                <w:rFonts w:ascii="Calibri" w:eastAsia="Times New Roman" w:hAnsi="Calibri" w:cs="Calibri"/>
                <w:color w:val="000000"/>
                <w:sz w:val="16"/>
                <w:szCs w:val="16"/>
                <w:lang w:eastAsia="es-EC"/>
              </w:rPr>
              <w:t xml:space="preserve"> Fortalecer los centros de mediación de la PGE.</w:t>
            </w:r>
          </w:p>
        </w:tc>
        <w:tc>
          <w:tcPr>
            <w:tcW w:w="582" w:type="pct"/>
            <w:tcBorders>
              <w:top w:val="nil"/>
              <w:left w:val="nil"/>
              <w:bottom w:val="single" w:sz="4" w:space="0" w:color="auto"/>
              <w:right w:val="single" w:sz="4" w:space="0" w:color="auto"/>
            </w:tcBorders>
            <w:shd w:val="clear" w:color="auto" w:fill="auto"/>
            <w:noWrap/>
            <w:vAlign w:val="center"/>
            <w:hideMark/>
          </w:tcPr>
          <w:p w14:paraId="200C604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4,80</w:t>
            </w:r>
          </w:p>
        </w:tc>
        <w:tc>
          <w:tcPr>
            <w:tcW w:w="434" w:type="pct"/>
            <w:tcBorders>
              <w:top w:val="nil"/>
              <w:left w:val="nil"/>
              <w:bottom w:val="single" w:sz="4" w:space="0" w:color="auto"/>
              <w:right w:val="single" w:sz="4" w:space="0" w:color="auto"/>
            </w:tcBorders>
            <w:shd w:val="clear" w:color="auto" w:fill="auto"/>
            <w:noWrap/>
            <w:vAlign w:val="center"/>
            <w:hideMark/>
          </w:tcPr>
          <w:p w14:paraId="15D76036"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362" w:type="pct"/>
            <w:tcBorders>
              <w:top w:val="nil"/>
              <w:left w:val="nil"/>
              <w:bottom w:val="single" w:sz="4" w:space="0" w:color="auto"/>
              <w:right w:val="single" w:sz="4" w:space="0" w:color="auto"/>
            </w:tcBorders>
            <w:shd w:val="clear" w:color="auto" w:fill="auto"/>
            <w:noWrap/>
            <w:vAlign w:val="center"/>
            <w:hideMark/>
          </w:tcPr>
          <w:p w14:paraId="0292C339"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362" w:type="pct"/>
            <w:tcBorders>
              <w:top w:val="nil"/>
              <w:left w:val="nil"/>
              <w:bottom w:val="single" w:sz="4" w:space="0" w:color="auto"/>
              <w:right w:val="single" w:sz="4" w:space="0" w:color="auto"/>
            </w:tcBorders>
            <w:shd w:val="clear" w:color="auto" w:fill="auto"/>
            <w:noWrap/>
            <w:vAlign w:val="center"/>
            <w:hideMark/>
          </w:tcPr>
          <w:p w14:paraId="53581FBF"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c>
          <w:tcPr>
            <w:tcW w:w="435" w:type="pct"/>
            <w:tcBorders>
              <w:top w:val="nil"/>
              <w:left w:val="nil"/>
              <w:bottom w:val="single" w:sz="4" w:space="0" w:color="auto"/>
              <w:right w:val="nil"/>
            </w:tcBorders>
            <w:shd w:val="clear" w:color="auto" w:fill="auto"/>
            <w:noWrap/>
            <w:vAlign w:val="center"/>
            <w:hideMark/>
          </w:tcPr>
          <w:p w14:paraId="76C6CB8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0,22</w:t>
            </w:r>
          </w:p>
        </w:tc>
        <w:tc>
          <w:tcPr>
            <w:tcW w:w="508" w:type="pct"/>
            <w:tcBorders>
              <w:top w:val="nil"/>
              <w:left w:val="single" w:sz="8" w:space="0" w:color="auto"/>
              <w:bottom w:val="single" w:sz="4" w:space="0" w:color="auto"/>
              <w:right w:val="single" w:sz="8" w:space="0" w:color="auto"/>
            </w:tcBorders>
            <w:shd w:val="clear" w:color="000000" w:fill="EDEDED"/>
            <w:noWrap/>
            <w:vAlign w:val="center"/>
            <w:hideMark/>
          </w:tcPr>
          <w:p w14:paraId="437A4B5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4,50</w:t>
            </w:r>
          </w:p>
        </w:tc>
        <w:tc>
          <w:tcPr>
            <w:tcW w:w="434" w:type="pct"/>
            <w:tcBorders>
              <w:top w:val="nil"/>
              <w:left w:val="nil"/>
              <w:bottom w:val="single" w:sz="4" w:space="0" w:color="auto"/>
              <w:right w:val="single" w:sz="4" w:space="0" w:color="auto"/>
            </w:tcBorders>
            <w:shd w:val="clear" w:color="auto" w:fill="auto"/>
            <w:noWrap/>
            <w:vAlign w:val="center"/>
            <w:hideMark/>
          </w:tcPr>
          <w:p w14:paraId="45AA027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0,75</w:t>
            </w:r>
          </w:p>
        </w:tc>
        <w:tc>
          <w:tcPr>
            <w:tcW w:w="430" w:type="pct"/>
            <w:tcBorders>
              <w:top w:val="nil"/>
              <w:left w:val="nil"/>
              <w:bottom w:val="single" w:sz="4" w:space="0" w:color="auto"/>
              <w:right w:val="single" w:sz="4" w:space="0" w:color="auto"/>
            </w:tcBorders>
            <w:shd w:val="clear" w:color="auto" w:fill="auto"/>
            <w:noWrap/>
            <w:vAlign w:val="center"/>
            <w:hideMark/>
          </w:tcPr>
          <w:p w14:paraId="262DFE67"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0,45</w:t>
            </w:r>
          </w:p>
        </w:tc>
      </w:tr>
      <w:tr w:rsidR="007B3093" w14:paraId="4306DA79" w14:textId="77777777">
        <w:trPr>
          <w:trHeight w:val="19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16AAB61A"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5:</w:t>
            </w:r>
            <w:r>
              <w:rPr>
                <w:rFonts w:ascii="Calibri" w:eastAsia="Times New Roman" w:hAnsi="Calibri" w:cs="Calibri"/>
                <w:color w:val="000000"/>
                <w:sz w:val="16"/>
                <w:szCs w:val="16"/>
                <w:lang w:eastAsia="es-EC"/>
              </w:rPr>
              <w:t xml:space="preserve"> Diseñar e implementar la estrategia de comunicación de la PGE.</w:t>
            </w:r>
          </w:p>
        </w:tc>
        <w:tc>
          <w:tcPr>
            <w:tcW w:w="582" w:type="pct"/>
            <w:tcBorders>
              <w:top w:val="nil"/>
              <w:left w:val="nil"/>
              <w:bottom w:val="single" w:sz="4" w:space="0" w:color="auto"/>
              <w:right w:val="single" w:sz="4" w:space="0" w:color="auto"/>
            </w:tcBorders>
            <w:shd w:val="clear" w:color="auto" w:fill="auto"/>
            <w:noWrap/>
            <w:vAlign w:val="center"/>
            <w:hideMark/>
          </w:tcPr>
          <w:p w14:paraId="2E18BD11"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5,80</w:t>
            </w:r>
          </w:p>
        </w:tc>
        <w:tc>
          <w:tcPr>
            <w:tcW w:w="434" w:type="pct"/>
            <w:tcBorders>
              <w:top w:val="nil"/>
              <w:left w:val="nil"/>
              <w:bottom w:val="single" w:sz="4" w:space="0" w:color="auto"/>
              <w:right w:val="single" w:sz="4" w:space="0" w:color="auto"/>
            </w:tcBorders>
            <w:shd w:val="clear" w:color="auto" w:fill="auto"/>
            <w:noWrap/>
            <w:vAlign w:val="center"/>
            <w:hideMark/>
          </w:tcPr>
          <w:p w14:paraId="061A02C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362" w:type="pct"/>
            <w:tcBorders>
              <w:top w:val="nil"/>
              <w:left w:val="nil"/>
              <w:bottom w:val="single" w:sz="4" w:space="0" w:color="auto"/>
              <w:right w:val="single" w:sz="4" w:space="0" w:color="auto"/>
            </w:tcBorders>
            <w:shd w:val="clear" w:color="auto" w:fill="auto"/>
            <w:noWrap/>
            <w:vAlign w:val="center"/>
            <w:hideMark/>
          </w:tcPr>
          <w:p w14:paraId="2EEA5335"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0,99</w:t>
            </w:r>
          </w:p>
        </w:tc>
        <w:tc>
          <w:tcPr>
            <w:tcW w:w="362" w:type="pct"/>
            <w:tcBorders>
              <w:top w:val="nil"/>
              <w:left w:val="nil"/>
              <w:bottom w:val="single" w:sz="4" w:space="0" w:color="auto"/>
              <w:right w:val="single" w:sz="4" w:space="0" w:color="auto"/>
            </w:tcBorders>
            <w:shd w:val="clear" w:color="auto" w:fill="auto"/>
            <w:noWrap/>
            <w:vAlign w:val="center"/>
            <w:hideMark/>
          </w:tcPr>
          <w:p w14:paraId="6E86DED5"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1,16</w:t>
            </w:r>
          </w:p>
        </w:tc>
        <w:tc>
          <w:tcPr>
            <w:tcW w:w="435" w:type="pct"/>
            <w:tcBorders>
              <w:top w:val="nil"/>
              <w:left w:val="nil"/>
              <w:bottom w:val="single" w:sz="4" w:space="0" w:color="auto"/>
              <w:right w:val="nil"/>
            </w:tcBorders>
            <w:shd w:val="clear" w:color="auto" w:fill="auto"/>
            <w:noWrap/>
            <w:vAlign w:val="center"/>
            <w:hideMark/>
          </w:tcPr>
          <w:p w14:paraId="471F95A1"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2,03</w:t>
            </w:r>
          </w:p>
        </w:tc>
        <w:tc>
          <w:tcPr>
            <w:tcW w:w="508" w:type="pct"/>
            <w:tcBorders>
              <w:top w:val="nil"/>
              <w:left w:val="single" w:sz="8" w:space="0" w:color="auto"/>
              <w:bottom w:val="single" w:sz="4" w:space="0" w:color="auto"/>
              <w:right w:val="single" w:sz="8" w:space="0" w:color="auto"/>
            </w:tcBorders>
            <w:shd w:val="clear" w:color="000000" w:fill="EDEDED"/>
            <w:noWrap/>
            <w:vAlign w:val="center"/>
            <w:hideMark/>
          </w:tcPr>
          <w:p w14:paraId="21BC0BE5"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6,00</w:t>
            </w:r>
          </w:p>
        </w:tc>
        <w:tc>
          <w:tcPr>
            <w:tcW w:w="434" w:type="pct"/>
            <w:tcBorders>
              <w:top w:val="nil"/>
              <w:left w:val="nil"/>
              <w:bottom w:val="single" w:sz="4" w:space="0" w:color="auto"/>
              <w:right w:val="single" w:sz="4" w:space="0" w:color="auto"/>
            </w:tcBorders>
            <w:shd w:val="clear" w:color="auto" w:fill="auto"/>
            <w:noWrap/>
            <w:vAlign w:val="center"/>
            <w:hideMark/>
          </w:tcPr>
          <w:p w14:paraId="462111D4"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1,56</w:t>
            </w:r>
          </w:p>
        </w:tc>
        <w:tc>
          <w:tcPr>
            <w:tcW w:w="430" w:type="pct"/>
            <w:tcBorders>
              <w:top w:val="nil"/>
              <w:left w:val="nil"/>
              <w:bottom w:val="single" w:sz="4" w:space="0" w:color="auto"/>
              <w:right w:val="single" w:sz="4" w:space="0" w:color="auto"/>
            </w:tcBorders>
            <w:shd w:val="clear" w:color="auto" w:fill="auto"/>
            <w:noWrap/>
            <w:vAlign w:val="center"/>
            <w:hideMark/>
          </w:tcPr>
          <w:p w14:paraId="7DB5D059"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r>
      <w:tr w:rsidR="007B3093" w14:paraId="5C7926AC" w14:textId="77777777">
        <w:trPr>
          <w:trHeight w:val="207"/>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78F81C69" w14:textId="77777777" w:rsidR="007B3093" w:rsidRDefault="00000000">
            <w:pPr>
              <w:spacing w:after="0" w:line="240" w:lineRule="auto"/>
              <w:jc w:val="center"/>
              <w:rPr>
                <w:rFonts w:ascii="Calibri" w:eastAsia="Times New Roman" w:hAnsi="Calibri" w:cs="Calibri"/>
                <w:b/>
                <w:color w:val="000000"/>
                <w:sz w:val="16"/>
                <w:szCs w:val="16"/>
                <w:lang w:eastAsia="es-EC"/>
              </w:rPr>
            </w:pPr>
            <w:r>
              <w:rPr>
                <w:rFonts w:ascii="Calibri" w:eastAsia="Times New Roman" w:hAnsi="Calibri" w:cs="Calibri"/>
                <w:b/>
                <w:color w:val="000000"/>
                <w:sz w:val="16"/>
                <w:szCs w:val="16"/>
                <w:lang w:eastAsia="es-EC"/>
              </w:rPr>
              <w:t> TOTAL</w:t>
            </w:r>
          </w:p>
        </w:tc>
        <w:tc>
          <w:tcPr>
            <w:tcW w:w="582" w:type="pct"/>
            <w:tcBorders>
              <w:top w:val="nil"/>
              <w:left w:val="nil"/>
              <w:bottom w:val="single" w:sz="4" w:space="0" w:color="auto"/>
              <w:right w:val="single" w:sz="4" w:space="0" w:color="auto"/>
            </w:tcBorders>
            <w:shd w:val="clear" w:color="auto" w:fill="auto"/>
            <w:noWrap/>
            <w:vAlign w:val="center"/>
            <w:hideMark/>
          </w:tcPr>
          <w:p w14:paraId="6166DAC8"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100</w:t>
            </w:r>
          </w:p>
        </w:tc>
        <w:tc>
          <w:tcPr>
            <w:tcW w:w="434" w:type="pct"/>
            <w:tcBorders>
              <w:top w:val="nil"/>
              <w:left w:val="nil"/>
              <w:bottom w:val="single" w:sz="4" w:space="0" w:color="auto"/>
              <w:right w:val="single" w:sz="4" w:space="0" w:color="auto"/>
            </w:tcBorders>
            <w:shd w:val="clear" w:color="auto" w:fill="auto"/>
            <w:noWrap/>
            <w:vAlign w:val="center"/>
            <w:hideMark/>
          </w:tcPr>
          <w:p w14:paraId="41E42790"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0,23</w:t>
            </w:r>
          </w:p>
        </w:tc>
        <w:tc>
          <w:tcPr>
            <w:tcW w:w="362" w:type="pct"/>
            <w:tcBorders>
              <w:top w:val="nil"/>
              <w:left w:val="nil"/>
              <w:bottom w:val="single" w:sz="4" w:space="0" w:color="auto"/>
              <w:right w:val="single" w:sz="4" w:space="0" w:color="auto"/>
            </w:tcBorders>
            <w:shd w:val="clear" w:color="auto" w:fill="auto"/>
            <w:noWrap/>
            <w:vAlign w:val="center"/>
            <w:hideMark/>
          </w:tcPr>
          <w:p w14:paraId="68CE9148"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7,00</w:t>
            </w:r>
          </w:p>
        </w:tc>
        <w:tc>
          <w:tcPr>
            <w:tcW w:w="362" w:type="pct"/>
            <w:tcBorders>
              <w:top w:val="nil"/>
              <w:left w:val="nil"/>
              <w:bottom w:val="single" w:sz="4" w:space="0" w:color="auto"/>
              <w:right w:val="single" w:sz="4" w:space="0" w:color="auto"/>
            </w:tcBorders>
            <w:shd w:val="clear" w:color="auto" w:fill="auto"/>
            <w:noWrap/>
            <w:vAlign w:val="center"/>
            <w:hideMark/>
          </w:tcPr>
          <w:p w14:paraId="57A86C6B"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12,18</w:t>
            </w:r>
          </w:p>
        </w:tc>
        <w:tc>
          <w:tcPr>
            <w:tcW w:w="435" w:type="pct"/>
            <w:tcBorders>
              <w:top w:val="nil"/>
              <w:left w:val="nil"/>
              <w:bottom w:val="single" w:sz="4" w:space="0" w:color="auto"/>
              <w:right w:val="nil"/>
            </w:tcBorders>
            <w:shd w:val="clear" w:color="auto" w:fill="auto"/>
            <w:noWrap/>
            <w:vAlign w:val="center"/>
            <w:hideMark/>
          </w:tcPr>
          <w:p w14:paraId="735428F9"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24,24</w:t>
            </w:r>
          </w:p>
        </w:tc>
        <w:tc>
          <w:tcPr>
            <w:tcW w:w="508" w:type="pct"/>
            <w:tcBorders>
              <w:top w:val="nil"/>
              <w:left w:val="single" w:sz="8" w:space="0" w:color="auto"/>
              <w:bottom w:val="single" w:sz="8" w:space="0" w:color="auto"/>
              <w:right w:val="single" w:sz="8" w:space="0" w:color="auto"/>
            </w:tcBorders>
            <w:shd w:val="clear" w:color="000000" w:fill="EDEDED"/>
            <w:noWrap/>
            <w:vAlign w:val="center"/>
            <w:hideMark/>
          </w:tcPr>
          <w:p w14:paraId="7EB4CC11"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100</w:t>
            </w:r>
          </w:p>
        </w:tc>
        <w:tc>
          <w:tcPr>
            <w:tcW w:w="434" w:type="pct"/>
            <w:tcBorders>
              <w:top w:val="nil"/>
              <w:left w:val="nil"/>
              <w:bottom w:val="single" w:sz="4" w:space="0" w:color="auto"/>
              <w:right w:val="single" w:sz="4" w:space="0" w:color="auto"/>
            </w:tcBorders>
            <w:shd w:val="clear" w:color="auto" w:fill="auto"/>
            <w:noWrap/>
            <w:vAlign w:val="center"/>
            <w:hideMark/>
          </w:tcPr>
          <w:p w14:paraId="7905B2DD"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25,06</w:t>
            </w:r>
          </w:p>
        </w:tc>
        <w:tc>
          <w:tcPr>
            <w:tcW w:w="430" w:type="pct"/>
            <w:tcBorders>
              <w:top w:val="nil"/>
              <w:left w:val="nil"/>
              <w:bottom w:val="single" w:sz="4" w:space="0" w:color="auto"/>
              <w:right w:val="single" w:sz="4" w:space="0" w:color="auto"/>
            </w:tcBorders>
            <w:shd w:val="clear" w:color="auto" w:fill="auto"/>
            <w:noWrap/>
            <w:vAlign w:val="center"/>
            <w:hideMark/>
          </w:tcPr>
          <w:p w14:paraId="6AABD0E1"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5,61</w:t>
            </w:r>
          </w:p>
        </w:tc>
      </w:tr>
    </w:tbl>
    <w:p w14:paraId="2ECD73A5"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b/>
          <w:sz w:val="20"/>
          <w:szCs w:val="20"/>
          <w:lang w:eastAsia="es-EC"/>
        </w:rPr>
        <w:t>Fuente y elaboración:</w:t>
      </w:r>
      <w:r>
        <w:rPr>
          <w:rFonts w:ascii="Calibri" w:eastAsia="Times New Roman" w:hAnsi="Calibri" w:cs="Calibri"/>
          <w:sz w:val="20"/>
          <w:szCs w:val="20"/>
          <w:lang w:eastAsia="es-EC"/>
        </w:rPr>
        <w:t xml:space="preserve"> Reportes </w:t>
      </w:r>
      <w:proofErr w:type="spellStart"/>
      <w:r>
        <w:rPr>
          <w:rFonts w:ascii="Calibri" w:eastAsia="Times New Roman" w:hAnsi="Calibri" w:cs="Calibri"/>
          <w:sz w:val="20"/>
          <w:szCs w:val="20"/>
          <w:lang w:eastAsia="es-EC"/>
        </w:rPr>
        <w:t>SIPeIP</w:t>
      </w:r>
      <w:proofErr w:type="spellEnd"/>
      <w:r>
        <w:rPr>
          <w:rFonts w:ascii="Calibri" w:eastAsia="Times New Roman" w:hAnsi="Calibri" w:cs="Calibri"/>
          <w:sz w:val="20"/>
          <w:szCs w:val="20"/>
          <w:lang w:eastAsia="es-EC"/>
        </w:rPr>
        <w:t>, Dirección Nacional de Seguimiento y Evaluación</w:t>
      </w:r>
    </w:p>
    <w:p w14:paraId="1ADA4EA5" w14:textId="77777777" w:rsidR="007B3093" w:rsidRDefault="007B3093">
      <w:pPr>
        <w:spacing w:line="360" w:lineRule="auto"/>
        <w:jc w:val="both"/>
      </w:pPr>
    </w:p>
    <w:p w14:paraId="4407D147" w14:textId="77777777" w:rsidR="007B3093" w:rsidRDefault="00000000">
      <w:pPr>
        <w:spacing w:line="360" w:lineRule="auto"/>
        <w:jc w:val="both"/>
      </w:pPr>
      <w:r>
        <w:t xml:space="preserve">A partir del 2023 se realizó el reporte en </w:t>
      </w:r>
      <w:proofErr w:type="spellStart"/>
      <w:r>
        <w:t>SIPeIP</w:t>
      </w:r>
      <w:proofErr w:type="spellEnd"/>
      <w:r>
        <w:t xml:space="preserve"> en función de la matriz de margo lógico actualizada en agosto 2022, es importante mencionar que en la programación del I trimestre 2023 se elaboró el Informe Justificativo para Ajuste del Avance Acumulado Real del Proyecto de Inversión, en el que se mostraba que hasta el año 2022 se avanzó en el 54,88%; sin embargo, para el componente No. 1 y No. 5 se consideró el presupuesto asignado y devengado.</w:t>
      </w:r>
    </w:p>
    <w:p w14:paraId="7AF4799D" w14:textId="77777777" w:rsidR="007B3093" w:rsidRDefault="007B3093">
      <w:pPr>
        <w:spacing w:line="360" w:lineRule="auto"/>
        <w:jc w:val="both"/>
      </w:pPr>
    </w:p>
    <w:p w14:paraId="0FEA80A9" w14:textId="77777777" w:rsidR="007B3093" w:rsidRDefault="007B3093">
      <w:pPr>
        <w:spacing w:line="360" w:lineRule="auto"/>
        <w:jc w:val="both"/>
      </w:pPr>
    </w:p>
    <w:p w14:paraId="32569A5A" w14:textId="77777777" w:rsidR="007B3093" w:rsidRDefault="007B3093">
      <w:pPr>
        <w:spacing w:line="360" w:lineRule="auto"/>
        <w:jc w:val="both"/>
      </w:pPr>
    </w:p>
    <w:p w14:paraId="3F6C490F" w14:textId="77777777" w:rsidR="007B3093" w:rsidRDefault="00000000">
      <w:pPr>
        <w:spacing w:line="360" w:lineRule="auto"/>
        <w:jc w:val="both"/>
      </w:pPr>
      <w:r>
        <w:rPr>
          <w:rFonts w:eastAsia="Times New Roman" w:cstheme="minorHAnsi"/>
          <w:b/>
          <w:bCs/>
          <w:color w:val="000000"/>
          <w:lang w:eastAsia="es-EC"/>
        </w:rPr>
        <w:lastRenderedPageBreak/>
        <w:t>Tabla 44. Resultados Alcanzados Informe Justificativo Avance Real Acumulado 2019 -20222</w:t>
      </w:r>
    </w:p>
    <w:tbl>
      <w:tblPr>
        <w:tblW w:w="565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407"/>
        <w:gridCol w:w="1104"/>
        <w:gridCol w:w="954"/>
        <w:gridCol w:w="950"/>
        <w:gridCol w:w="568"/>
        <w:gridCol w:w="638"/>
        <w:gridCol w:w="638"/>
        <w:gridCol w:w="638"/>
        <w:gridCol w:w="763"/>
        <w:gridCol w:w="819"/>
      </w:tblGrid>
      <w:tr w:rsidR="007B3093" w14:paraId="5683B327" w14:textId="77777777">
        <w:trPr>
          <w:trHeight w:val="430"/>
        </w:trPr>
        <w:tc>
          <w:tcPr>
            <w:tcW w:w="590" w:type="pct"/>
            <w:shd w:val="clear" w:color="000000" w:fill="D0CECE"/>
            <w:vAlign w:val="center"/>
            <w:hideMark/>
          </w:tcPr>
          <w:p w14:paraId="383BA089"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Componente</w:t>
            </w:r>
          </w:p>
        </w:tc>
        <w:tc>
          <w:tcPr>
            <w:tcW w:w="732" w:type="pct"/>
            <w:shd w:val="clear" w:color="000000" w:fill="D0CECE"/>
            <w:vAlign w:val="center"/>
            <w:hideMark/>
          </w:tcPr>
          <w:p w14:paraId="628A8AAC"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Indicador</w:t>
            </w:r>
            <w:proofErr w:type="spellEnd"/>
            <w:r>
              <w:rPr>
                <w:rFonts w:ascii="Calibri" w:eastAsia="Times New Roman" w:hAnsi="Calibri" w:cs="Calibri"/>
                <w:b/>
                <w:bCs/>
                <w:sz w:val="14"/>
                <w:szCs w:val="14"/>
                <w:lang w:val="en-US"/>
              </w:rPr>
              <w:t xml:space="preserve"> / </w:t>
            </w:r>
            <w:proofErr w:type="spellStart"/>
            <w:r>
              <w:rPr>
                <w:rFonts w:ascii="Calibri" w:eastAsia="Times New Roman" w:hAnsi="Calibri" w:cs="Calibri"/>
                <w:b/>
                <w:bCs/>
                <w:sz w:val="14"/>
                <w:szCs w:val="14"/>
                <w:lang w:val="en-US"/>
              </w:rPr>
              <w:t>Producto</w:t>
            </w:r>
            <w:proofErr w:type="spellEnd"/>
          </w:p>
        </w:tc>
        <w:tc>
          <w:tcPr>
            <w:tcW w:w="574" w:type="pct"/>
            <w:shd w:val="clear" w:color="000000" w:fill="D0CECE"/>
            <w:vAlign w:val="center"/>
            <w:hideMark/>
          </w:tcPr>
          <w:p w14:paraId="77F6DFB1"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Unidad de </w:t>
            </w:r>
            <w:proofErr w:type="spellStart"/>
            <w:r>
              <w:rPr>
                <w:rFonts w:ascii="Calibri" w:eastAsia="Times New Roman" w:hAnsi="Calibri" w:cs="Calibri"/>
                <w:b/>
                <w:bCs/>
                <w:sz w:val="14"/>
                <w:szCs w:val="14"/>
                <w:lang w:val="en-US"/>
              </w:rPr>
              <w:t>Medida</w:t>
            </w:r>
            <w:proofErr w:type="spellEnd"/>
          </w:p>
        </w:tc>
        <w:tc>
          <w:tcPr>
            <w:tcW w:w="496" w:type="pct"/>
            <w:shd w:val="clear" w:color="000000" w:fill="D0CECE"/>
            <w:vAlign w:val="center"/>
            <w:hideMark/>
          </w:tcPr>
          <w:p w14:paraId="54F08921"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Meta </w:t>
            </w:r>
          </w:p>
        </w:tc>
        <w:tc>
          <w:tcPr>
            <w:tcW w:w="494" w:type="pct"/>
            <w:shd w:val="clear" w:color="000000" w:fill="D0CECE"/>
            <w:vAlign w:val="center"/>
            <w:hideMark/>
          </w:tcPr>
          <w:p w14:paraId="2AC98C55"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Ponderación</w:t>
            </w:r>
            <w:proofErr w:type="spellEnd"/>
            <w:r>
              <w:rPr>
                <w:rFonts w:ascii="Calibri" w:eastAsia="Times New Roman" w:hAnsi="Calibri" w:cs="Calibri"/>
                <w:b/>
                <w:bCs/>
                <w:sz w:val="14"/>
                <w:szCs w:val="14"/>
                <w:lang w:val="en-US"/>
              </w:rPr>
              <w:t xml:space="preserve"> </w:t>
            </w:r>
          </w:p>
        </w:tc>
        <w:tc>
          <w:tcPr>
            <w:tcW w:w="295" w:type="pct"/>
            <w:shd w:val="clear" w:color="000000" w:fill="D0CECE"/>
            <w:vAlign w:val="center"/>
            <w:hideMark/>
          </w:tcPr>
          <w:p w14:paraId="11196E73"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AÑO 2019</w:t>
            </w:r>
          </w:p>
        </w:tc>
        <w:tc>
          <w:tcPr>
            <w:tcW w:w="332" w:type="pct"/>
            <w:shd w:val="clear" w:color="000000" w:fill="D0CECE"/>
            <w:vAlign w:val="center"/>
            <w:hideMark/>
          </w:tcPr>
          <w:p w14:paraId="17AEF5E4"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AÑO 2020</w:t>
            </w:r>
          </w:p>
        </w:tc>
        <w:tc>
          <w:tcPr>
            <w:tcW w:w="332" w:type="pct"/>
            <w:shd w:val="clear" w:color="000000" w:fill="D0CECE"/>
            <w:vAlign w:val="center"/>
            <w:hideMark/>
          </w:tcPr>
          <w:p w14:paraId="2E1BE394"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AÑO 2021</w:t>
            </w:r>
          </w:p>
        </w:tc>
        <w:tc>
          <w:tcPr>
            <w:tcW w:w="332" w:type="pct"/>
            <w:shd w:val="clear" w:color="000000" w:fill="D0CECE"/>
            <w:vAlign w:val="center"/>
            <w:hideMark/>
          </w:tcPr>
          <w:p w14:paraId="7EF65DA2"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AÑO 2022</w:t>
            </w:r>
          </w:p>
        </w:tc>
        <w:tc>
          <w:tcPr>
            <w:tcW w:w="397" w:type="pct"/>
            <w:shd w:val="clear" w:color="000000" w:fill="D0CECE"/>
            <w:vAlign w:val="center"/>
            <w:hideMark/>
          </w:tcPr>
          <w:p w14:paraId="4C730AE2"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Unidades</w:t>
            </w:r>
            <w:proofErr w:type="spellEnd"/>
          </w:p>
        </w:tc>
        <w:tc>
          <w:tcPr>
            <w:tcW w:w="426" w:type="pct"/>
            <w:shd w:val="clear" w:color="000000" w:fill="D0CECE"/>
            <w:vAlign w:val="center"/>
            <w:hideMark/>
          </w:tcPr>
          <w:p w14:paraId="747563D4"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Operación</w:t>
            </w:r>
            <w:proofErr w:type="spellEnd"/>
          </w:p>
        </w:tc>
      </w:tr>
      <w:tr w:rsidR="007B3093" w14:paraId="7D3E33E4" w14:textId="77777777">
        <w:trPr>
          <w:trHeight w:val="1378"/>
        </w:trPr>
        <w:tc>
          <w:tcPr>
            <w:tcW w:w="590" w:type="pct"/>
            <w:shd w:val="clear" w:color="auto" w:fill="auto"/>
            <w:vAlign w:val="center"/>
            <w:hideMark/>
          </w:tcPr>
          <w:p w14:paraId="157CB1D1"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C1.  Diseñar e implementar el modelo de gestión de la PGE.</w:t>
            </w:r>
          </w:p>
        </w:tc>
        <w:tc>
          <w:tcPr>
            <w:tcW w:w="732" w:type="pct"/>
            <w:shd w:val="clear" w:color="auto" w:fill="auto"/>
            <w:vAlign w:val="center"/>
            <w:hideMark/>
          </w:tcPr>
          <w:p w14:paraId="6BBE5FD0" w14:textId="77777777" w:rsidR="007B3093" w:rsidRDefault="00000000">
            <w:pPr>
              <w:spacing w:after="0" w:line="240" w:lineRule="auto"/>
              <w:jc w:val="center"/>
              <w:rPr>
                <w:rFonts w:ascii="Calibri" w:eastAsia="Times New Roman" w:hAnsi="Calibri" w:cs="Calibri"/>
                <w:sz w:val="14"/>
                <w:szCs w:val="14"/>
              </w:rPr>
            </w:pPr>
            <w:proofErr w:type="gramStart"/>
            <w:r>
              <w:rPr>
                <w:rFonts w:ascii="Calibri" w:eastAsia="Times New Roman" w:hAnsi="Calibri" w:cs="Calibri"/>
                <w:sz w:val="14"/>
                <w:szCs w:val="14"/>
              </w:rPr>
              <w:t>A  2024</w:t>
            </w:r>
            <w:proofErr w:type="gramEnd"/>
            <w:r>
              <w:rPr>
                <w:rFonts w:ascii="Calibri" w:eastAsia="Times New Roman" w:hAnsi="Calibri" w:cs="Calibri"/>
                <w:sz w:val="14"/>
                <w:szCs w:val="14"/>
              </w:rPr>
              <w:t xml:space="preserve"> se contará con un nuevo Modelo de gestión Institucional e instrumentos 100% implementados a nivel nacional.</w:t>
            </w:r>
          </w:p>
        </w:tc>
        <w:tc>
          <w:tcPr>
            <w:tcW w:w="574" w:type="pct"/>
            <w:shd w:val="clear" w:color="auto" w:fill="auto"/>
            <w:vAlign w:val="center"/>
            <w:hideMark/>
          </w:tcPr>
          <w:p w14:paraId="016E93F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w:t>
            </w:r>
            <w:proofErr w:type="spellStart"/>
            <w:r>
              <w:rPr>
                <w:rFonts w:ascii="Calibri" w:eastAsia="Times New Roman" w:hAnsi="Calibri" w:cs="Calibri"/>
                <w:sz w:val="14"/>
                <w:szCs w:val="14"/>
                <w:lang w:val="en-US"/>
              </w:rPr>
              <w:t>Modelo</w:t>
            </w:r>
            <w:proofErr w:type="spellEnd"/>
            <w:r>
              <w:rPr>
                <w:rFonts w:ascii="Calibri" w:eastAsia="Times New Roman" w:hAnsi="Calibri" w:cs="Calibri"/>
                <w:sz w:val="14"/>
                <w:szCs w:val="14"/>
                <w:lang w:val="en-US"/>
              </w:rPr>
              <w:t xml:space="preserve"> de </w:t>
            </w:r>
            <w:proofErr w:type="spellStart"/>
            <w:r>
              <w:rPr>
                <w:rFonts w:ascii="Calibri" w:eastAsia="Times New Roman" w:hAnsi="Calibri" w:cs="Calibri"/>
                <w:sz w:val="14"/>
                <w:szCs w:val="14"/>
                <w:lang w:val="en-US"/>
              </w:rPr>
              <w:t>Gestión</w:t>
            </w:r>
            <w:proofErr w:type="spellEnd"/>
            <w:r>
              <w:rPr>
                <w:rFonts w:ascii="Calibri" w:eastAsia="Times New Roman" w:hAnsi="Calibri" w:cs="Calibri"/>
                <w:sz w:val="14"/>
                <w:szCs w:val="14"/>
                <w:lang w:val="en-US"/>
              </w:rPr>
              <w:t xml:space="preserve"> </w:t>
            </w:r>
            <w:proofErr w:type="spellStart"/>
            <w:r>
              <w:rPr>
                <w:rFonts w:ascii="Calibri" w:eastAsia="Times New Roman" w:hAnsi="Calibri" w:cs="Calibri"/>
                <w:sz w:val="14"/>
                <w:szCs w:val="14"/>
                <w:lang w:val="en-US"/>
              </w:rPr>
              <w:t>Implementado</w:t>
            </w:r>
            <w:proofErr w:type="spellEnd"/>
          </w:p>
        </w:tc>
        <w:tc>
          <w:tcPr>
            <w:tcW w:w="496" w:type="pct"/>
            <w:shd w:val="clear" w:color="auto" w:fill="auto"/>
            <w:noWrap/>
            <w:vAlign w:val="center"/>
            <w:hideMark/>
          </w:tcPr>
          <w:p w14:paraId="0A2E5541"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100%</w:t>
            </w:r>
          </w:p>
        </w:tc>
        <w:tc>
          <w:tcPr>
            <w:tcW w:w="494" w:type="pct"/>
            <w:shd w:val="clear" w:color="auto" w:fill="auto"/>
            <w:noWrap/>
            <w:vAlign w:val="center"/>
            <w:hideMark/>
          </w:tcPr>
          <w:p w14:paraId="2E8943C8"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64,5%</w:t>
            </w:r>
          </w:p>
        </w:tc>
        <w:tc>
          <w:tcPr>
            <w:tcW w:w="295" w:type="pct"/>
            <w:shd w:val="clear" w:color="auto" w:fill="auto"/>
            <w:noWrap/>
            <w:vAlign w:val="center"/>
            <w:hideMark/>
          </w:tcPr>
          <w:p w14:paraId="62FA123A" w14:textId="77777777" w:rsidR="007B3093" w:rsidRDefault="00000000">
            <w:pPr>
              <w:spacing w:after="0" w:line="240" w:lineRule="auto"/>
              <w:jc w:val="right"/>
              <w:rPr>
                <w:rFonts w:ascii="Calibri" w:eastAsia="Times New Roman" w:hAnsi="Calibri" w:cs="Calibri"/>
                <w:sz w:val="14"/>
                <w:szCs w:val="14"/>
                <w:lang w:val="en-US"/>
              </w:rPr>
            </w:pPr>
            <w:r>
              <w:rPr>
                <w:rFonts w:ascii="Calibri" w:eastAsia="Times New Roman" w:hAnsi="Calibri" w:cs="Calibri"/>
                <w:sz w:val="14"/>
                <w:szCs w:val="14"/>
                <w:lang w:val="en-US"/>
              </w:rPr>
              <w:t>0,40%</w:t>
            </w:r>
          </w:p>
        </w:tc>
        <w:tc>
          <w:tcPr>
            <w:tcW w:w="332" w:type="pct"/>
            <w:shd w:val="clear" w:color="auto" w:fill="auto"/>
            <w:noWrap/>
            <w:vAlign w:val="center"/>
            <w:hideMark/>
          </w:tcPr>
          <w:p w14:paraId="2E9A36F7" w14:textId="77777777" w:rsidR="007B3093" w:rsidRDefault="00000000">
            <w:pPr>
              <w:spacing w:after="0" w:line="240" w:lineRule="auto"/>
              <w:jc w:val="right"/>
              <w:rPr>
                <w:rFonts w:ascii="Calibri" w:eastAsia="Times New Roman" w:hAnsi="Calibri" w:cs="Calibri"/>
                <w:sz w:val="14"/>
                <w:szCs w:val="14"/>
                <w:lang w:val="en-US"/>
              </w:rPr>
            </w:pPr>
            <w:r>
              <w:rPr>
                <w:rFonts w:ascii="Calibri" w:eastAsia="Times New Roman" w:hAnsi="Calibri" w:cs="Calibri"/>
                <w:sz w:val="14"/>
                <w:szCs w:val="14"/>
                <w:lang w:val="en-US"/>
              </w:rPr>
              <w:t>4,20%</w:t>
            </w:r>
          </w:p>
        </w:tc>
        <w:tc>
          <w:tcPr>
            <w:tcW w:w="332" w:type="pct"/>
            <w:shd w:val="clear" w:color="auto" w:fill="auto"/>
            <w:noWrap/>
            <w:vAlign w:val="center"/>
            <w:hideMark/>
          </w:tcPr>
          <w:p w14:paraId="6D3B757F" w14:textId="77777777" w:rsidR="007B3093" w:rsidRDefault="00000000">
            <w:pPr>
              <w:spacing w:after="0" w:line="240" w:lineRule="auto"/>
              <w:jc w:val="right"/>
              <w:rPr>
                <w:rFonts w:ascii="Calibri" w:eastAsia="Times New Roman" w:hAnsi="Calibri" w:cs="Calibri"/>
                <w:sz w:val="14"/>
                <w:szCs w:val="14"/>
                <w:lang w:val="en-US"/>
              </w:rPr>
            </w:pPr>
            <w:r>
              <w:rPr>
                <w:rFonts w:ascii="Calibri" w:eastAsia="Times New Roman" w:hAnsi="Calibri" w:cs="Calibri"/>
                <w:sz w:val="14"/>
                <w:szCs w:val="14"/>
                <w:lang w:val="en-US"/>
              </w:rPr>
              <w:t>12,50%</w:t>
            </w:r>
          </w:p>
        </w:tc>
        <w:tc>
          <w:tcPr>
            <w:tcW w:w="332" w:type="pct"/>
            <w:shd w:val="clear" w:color="auto" w:fill="auto"/>
            <w:noWrap/>
            <w:vAlign w:val="center"/>
            <w:hideMark/>
          </w:tcPr>
          <w:p w14:paraId="1D178C30" w14:textId="77777777" w:rsidR="007B3093" w:rsidRDefault="00000000">
            <w:pPr>
              <w:spacing w:after="0" w:line="240" w:lineRule="auto"/>
              <w:jc w:val="right"/>
              <w:rPr>
                <w:rFonts w:ascii="Calibri" w:eastAsia="Times New Roman" w:hAnsi="Calibri" w:cs="Calibri"/>
                <w:sz w:val="14"/>
                <w:szCs w:val="14"/>
                <w:lang w:val="en-US"/>
              </w:rPr>
            </w:pPr>
            <w:r>
              <w:rPr>
                <w:rFonts w:ascii="Calibri" w:eastAsia="Times New Roman" w:hAnsi="Calibri" w:cs="Calibri"/>
                <w:sz w:val="14"/>
                <w:szCs w:val="14"/>
                <w:lang w:val="en-US"/>
              </w:rPr>
              <w:t>19,30%</w:t>
            </w:r>
          </w:p>
        </w:tc>
        <w:tc>
          <w:tcPr>
            <w:tcW w:w="397" w:type="pct"/>
            <w:shd w:val="clear" w:color="auto" w:fill="auto"/>
            <w:noWrap/>
            <w:vAlign w:val="center"/>
            <w:hideMark/>
          </w:tcPr>
          <w:p w14:paraId="2B69DB70"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36,40%</w:t>
            </w:r>
          </w:p>
        </w:tc>
        <w:tc>
          <w:tcPr>
            <w:tcW w:w="426" w:type="pct"/>
            <w:shd w:val="clear" w:color="auto" w:fill="auto"/>
            <w:noWrap/>
            <w:vAlign w:val="center"/>
            <w:hideMark/>
          </w:tcPr>
          <w:p w14:paraId="171434E7"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23,48%</w:t>
            </w:r>
          </w:p>
        </w:tc>
      </w:tr>
      <w:tr w:rsidR="007B3093" w14:paraId="77DE3095" w14:textId="77777777">
        <w:trPr>
          <w:trHeight w:val="1541"/>
        </w:trPr>
        <w:tc>
          <w:tcPr>
            <w:tcW w:w="590" w:type="pct"/>
            <w:shd w:val="clear" w:color="auto" w:fill="auto"/>
            <w:vAlign w:val="center"/>
            <w:hideMark/>
          </w:tcPr>
          <w:p w14:paraId="5659B7F3"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C2. Fortalecer la Defensa legal del Estado</w:t>
            </w:r>
          </w:p>
        </w:tc>
        <w:tc>
          <w:tcPr>
            <w:tcW w:w="732" w:type="pct"/>
            <w:shd w:val="clear" w:color="auto" w:fill="auto"/>
            <w:vAlign w:val="center"/>
            <w:hideMark/>
          </w:tcPr>
          <w:p w14:paraId="4AF2C483"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A 2024 se contará por lo menos con cuatro actividades implementadas de fortalecimiento de la defensa legal del Estado conforme el contrato de crédito 4812.</w:t>
            </w:r>
          </w:p>
        </w:tc>
        <w:tc>
          <w:tcPr>
            <w:tcW w:w="574" w:type="pct"/>
            <w:shd w:val="clear" w:color="auto" w:fill="auto"/>
            <w:vAlign w:val="center"/>
            <w:hideMark/>
          </w:tcPr>
          <w:p w14:paraId="5E69AA4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w:t>
            </w:r>
            <w:proofErr w:type="gramStart"/>
            <w:r>
              <w:rPr>
                <w:rFonts w:ascii="Calibri" w:eastAsia="Times New Roman" w:hAnsi="Calibri" w:cs="Calibri"/>
                <w:sz w:val="14"/>
                <w:szCs w:val="14"/>
                <w:lang w:val="en-US"/>
              </w:rPr>
              <w:t>de</w:t>
            </w:r>
            <w:proofErr w:type="gramEnd"/>
            <w:r>
              <w:rPr>
                <w:rFonts w:ascii="Calibri" w:eastAsia="Times New Roman" w:hAnsi="Calibri" w:cs="Calibri"/>
                <w:sz w:val="14"/>
                <w:szCs w:val="14"/>
                <w:lang w:val="en-US"/>
              </w:rPr>
              <w:t xml:space="preserve"> </w:t>
            </w:r>
            <w:proofErr w:type="spellStart"/>
            <w:r>
              <w:rPr>
                <w:rFonts w:ascii="Calibri" w:eastAsia="Times New Roman" w:hAnsi="Calibri" w:cs="Calibri"/>
                <w:sz w:val="14"/>
                <w:szCs w:val="14"/>
                <w:lang w:val="en-US"/>
              </w:rPr>
              <w:t>Actividades</w:t>
            </w:r>
            <w:proofErr w:type="spellEnd"/>
            <w:r>
              <w:rPr>
                <w:rFonts w:ascii="Calibri" w:eastAsia="Times New Roman" w:hAnsi="Calibri" w:cs="Calibri"/>
                <w:sz w:val="14"/>
                <w:szCs w:val="14"/>
                <w:lang w:val="en-US"/>
              </w:rPr>
              <w:t xml:space="preserve"> </w:t>
            </w:r>
            <w:proofErr w:type="spellStart"/>
            <w:r>
              <w:rPr>
                <w:rFonts w:ascii="Calibri" w:eastAsia="Times New Roman" w:hAnsi="Calibri" w:cs="Calibri"/>
                <w:sz w:val="14"/>
                <w:szCs w:val="14"/>
                <w:lang w:val="en-US"/>
              </w:rPr>
              <w:t>Implementadas</w:t>
            </w:r>
            <w:proofErr w:type="spellEnd"/>
          </w:p>
        </w:tc>
        <w:tc>
          <w:tcPr>
            <w:tcW w:w="496" w:type="pct"/>
            <w:shd w:val="clear" w:color="auto" w:fill="auto"/>
            <w:vAlign w:val="center"/>
            <w:hideMark/>
          </w:tcPr>
          <w:p w14:paraId="16B5898F"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4 </w:t>
            </w:r>
          </w:p>
        </w:tc>
        <w:tc>
          <w:tcPr>
            <w:tcW w:w="494" w:type="pct"/>
            <w:shd w:val="clear" w:color="auto" w:fill="auto"/>
            <w:vAlign w:val="center"/>
            <w:hideMark/>
          </w:tcPr>
          <w:p w14:paraId="4D6AF5C9"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14,0%</w:t>
            </w:r>
          </w:p>
        </w:tc>
        <w:tc>
          <w:tcPr>
            <w:tcW w:w="295" w:type="pct"/>
            <w:shd w:val="clear" w:color="auto" w:fill="auto"/>
            <w:noWrap/>
            <w:vAlign w:val="center"/>
            <w:hideMark/>
          </w:tcPr>
          <w:p w14:paraId="1B63FAC3"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0</w:t>
            </w:r>
          </w:p>
        </w:tc>
        <w:tc>
          <w:tcPr>
            <w:tcW w:w="332" w:type="pct"/>
            <w:shd w:val="clear" w:color="auto" w:fill="auto"/>
            <w:noWrap/>
            <w:vAlign w:val="center"/>
            <w:hideMark/>
          </w:tcPr>
          <w:p w14:paraId="6597BD0A"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1</w:t>
            </w:r>
          </w:p>
        </w:tc>
        <w:tc>
          <w:tcPr>
            <w:tcW w:w="332" w:type="pct"/>
            <w:shd w:val="clear" w:color="auto" w:fill="auto"/>
            <w:noWrap/>
            <w:vAlign w:val="center"/>
            <w:hideMark/>
          </w:tcPr>
          <w:p w14:paraId="093C1D4D"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2</w:t>
            </w:r>
          </w:p>
        </w:tc>
        <w:tc>
          <w:tcPr>
            <w:tcW w:w="332" w:type="pct"/>
            <w:shd w:val="clear" w:color="auto" w:fill="auto"/>
            <w:noWrap/>
            <w:vAlign w:val="center"/>
            <w:hideMark/>
          </w:tcPr>
          <w:p w14:paraId="623CBF54"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2</w:t>
            </w:r>
          </w:p>
        </w:tc>
        <w:tc>
          <w:tcPr>
            <w:tcW w:w="397" w:type="pct"/>
            <w:shd w:val="clear" w:color="auto" w:fill="auto"/>
            <w:noWrap/>
            <w:vAlign w:val="center"/>
            <w:hideMark/>
          </w:tcPr>
          <w:p w14:paraId="4F84E7BC"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5</w:t>
            </w:r>
          </w:p>
        </w:tc>
        <w:tc>
          <w:tcPr>
            <w:tcW w:w="426" w:type="pct"/>
            <w:shd w:val="clear" w:color="auto" w:fill="auto"/>
            <w:noWrap/>
            <w:vAlign w:val="center"/>
            <w:hideMark/>
          </w:tcPr>
          <w:p w14:paraId="38BAF88E"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17,50%</w:t>
            </w:r>
          </w:p>
        </w:tc>
      </w:tr>
      <w:tr w:rsidR="007B3093" w14:paraId="27A82E7E" w14:textId="77777777">
        <w:trPr>
          <w:trHeight w:val="312"/>
        </w:trPr>
        <w:tc>
          <w:tcPr>
            <w:tcW w:w="590" w:type="pct"/>
            <w:shd w:val="clear" w:color="auto" w:fill="auto"/>
            <w:vAlign w:val="center"/>
            <w:hideMark/>
          </w:tcPr>
          <w:p w14:paraId="21FAAB88"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C3. Fortalecer la capacidad de asesoría y respuesta a consultas legales de la PGE.</w:t>
            </w:r>
          </w:p>
        </w:tc>
        <w:tc>
          <w:tcPr>
            <w:tcW w:w="732" w:type="pct"/>
            <w:shd w:val="clear" w:color="auto" w:fill="auto"/>
            <w:vAlign w:val="center"/>
            <w:hideMark/>
          </w:tcPr>
          <w:p w14:paraId="28934D5C"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 xml:space="preserve">A 2024 se contará por lo menos con cuatro actividades implementadas de fortalecimiento de la capacidad de asesoría y respuesta a consultas legales. </w:t>
            </w:r>
          </w:p>
        </w:tc>
        <w:tc>
          <w:tcPr>
            <w:tcW w:w="574" w:type="pct"/>
            <w:shd w:val="clear" w:color="auto" w:fill="auto"/>
            <w:vAlign w:val="center"/>
            <w:hideMark/>
          </w:tcPr>
          <w:p w14:paraId="360B8AC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w:t>
            </w:r>
            <w:proofErr w:type="gramStart"/>
            <w:r>
              <w:rPr>
                <w:rFonts w:ascii="Calibri" w:eastAsia="Times New Roman" w:hAnsi="Calibri" w:cs="Calibri"/>
                <w:sz w:val="14"/>
                <w:szCs w:val="14"/>
                <w:lang w:val="en-US"/>
              </w:rPr>
              <w:t>de</w:t>
            </w:r>
            <w:proofErr w:type="gramEnd"/>
            <w:r>
              <w:rPr>
                <w:rFonts w:ascii="Calibri" w:eastAsia="Times New Roman" w:hAnsi="Calibri" w:cs="Calibri"/>
                <w:sz w:val="14"/>
                <w:szCs w:val="14"/>
                <w:lang w:val="en-US"/>
              </w:rPr>
              <w:t xml:space="preserve"> </w:t>
            </w:r>
            <w:proofErr w:type="spellStart"/>
            <w:r>
              <w:rPr>
                <w:rFonts w:ascii="Calibri" w:eastAsia="Times New Roman" w:hAnsi="Calibri" w:cs="Calibri"/>
                <w:sz w:val="14"/>
                <w:szCs w:val="14"/>
                <w:lang w:val="en-US"/>
              </w:rPr>
              <w:t>Actividades</w:t>
            </w:r>
            <w:proofErr w:type="spellEnd"/>
            <w:r>
              <w:rPr>
                <w:rFonts w:ascii="Calibri" w:eastAsia="Times New Roman" w:hAnsi="Calibri" w:cs="Calibri"/>
                <w:sz w:val="14"/>
                <w:szCs w:val="14"/>
                <w:lang w:val="en-US"/>
              </w:rPr>
              <w:t xml:space="preserve"> </w:t>
            </w:r>
            <w:proofErr w:type="spellStart"/>
            <w:r>
              <w:rPr>
                <w:rFonts w:ascii="Calibri" w:eastAsia="Times New Roman" w:hAnsi="Calibri" w:cs="Calibri"/>
                <w:sz w:val="14"/>
                <w:szCs w:val="14"/>
                <w:lang w:val="en-US"/>
              </w:rPr>
              <w:t>Implementadas</w:t>
            </w:r>
            <w:proofErr w:type="spellEnd"/>
          </w:p>
        </w:tc>
        <w:tc>
          <w:tcPr>
            <w:tcW w:w="496" w:type="pct"/>
            <w:shd w:val="clear" w:color="auto" w:fill="auto"/>
            <w:noWrap/>
            <w:vAlign w:val="center"/>
            <w:hideMark/>
          </w:tcPr>
          <w:p w14:paraId="73D8C624"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xml:space="preserve">                     4 </w:t>
            </w:r>
          </w:p>
        </w:tc>
        <w:tc>
          <w:tcPr>
            <w:tcW w:w="494" w:type="pct"/>
            <w:shd w:val="clear" w:color="auto" w:fill="auto"/>
            <w:noWrap/>
            <w:vAlign w:val="center"/>
            <w:hideMark/>
          </w:tcPr>
          <w:p w14:paraId="5E3653F4"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11,0%</w:t>
            </w:r>
          </w:p>
        </w:tc>
        <w:tc>
          <w:tcPr>
            <w:tcW w:w="295" w:type="pct"/>
            <w:shd w:val="clear" w:color="auto" w:fill="auto"/>
            <w:noWrap/>
            <w:vAlign w:val="center"/>
            <w:hideMark/>
          </w:tcPr>
          <w:p w14:paraId="653FA1AA"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0</w:t>
            </w:r>
          </w:p>
        </w:tc>
        <w:tc>
          <w:tcPr>
            <w:tcW w:w="332" w:type="pct"/>
            <w:shd w:val="clear" w:color="auto" w:fill="auto"/>
            <w:noWrap/>
            <w:vAlign w:val="center"/>
            <w:hideMark/>
          </w:tcPr>
          <w:p w14:paraId="5529D16C"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1</w:t>
            </w:r>
          </w:p>
        </w:tc>
        <w:tc>
          <w:tcPr>
            <w:tcW w:w="332" w:type="pct"/>
            <w:shd w:val="clear" w:color="auto" w:fill="auto"/>
            <w:noWrap/>
            <w:vAlign w:val="center"/>
            <w:hideMark/>
          </w:tcPr>
          <w:p w14:paraId="4053EDD5"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0</w:t>
            </w:r>
          </w:p>
        </w:tc>
        <w:tc>
          <w:tcPr>
            <w:tcW w:w="332" w:type="pct"/>
            <w:shd w:val="clear" w:color="auto" w:fill="auto"/>
            <w:noWrap/>
            <w:vAlign w:val="center"/>
            <w:hideMark/>
          </w:tcPr>
          <w:p w14:paraId="6ED7D6CC"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2</w:t>
            </w:r>
          </w:p>
        </w:tc>
        <w:tc>
          <w:tcPr>
            <w:tcW w:w="397" w:type="pct"/>
            <w:shd w:val="clear" w:color="auto" w:fill="auto"/>
            <w:noWrap/>
            <w:vAlign w:val="center"/>
            <w:hideMark/>
          </w:tcPr>
          <w:p w14:paraId="695848D1"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3</w:t>
            </w:r>
          </w:p>
        </w:tc>
        <w:tc>
          <w:tcPr>
            <w:tcW w:w="426" w:type="pct"/>
            <w:shd w:val="clear" w:color="auto" w:fill="auto"/>
            <w:noWrap/>
            <w:vAlign w:val="center"/>
            <w:hideMark/>
          </w:tcPr>
          <w:p w14:paraId="7AEE6BBD"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8,25%</w:t>
            </w:r>
          </w:p>
        </w:tc>
      </w:tr>
      <w:tr w:rsidR="007B3093" w14:paraId="7EEF2CF6" w14:textId="77777777">
        <w:trPr>
          <w:trHeight w:val="1292"/>
        </w:trPr>
        <w:tc>
          <w:tcPr>
            <w:tcW w:w="590" w:type="pct"/>
            <w:shd w:val="clear" w:color="auto" w:fill="auto"/>
            <w:vAlign w:val="center"/>
            <w:hideMark/>
          </w:tcPr>
          <w:p w14:paraId="7A0C62EC"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C4. Fortalecer los centros de mediación de la PGE.</w:t>
            </w:r>
          </w:p>
        </w:tc>
        <w:tc>
          <w:tcPr>
            <w:tcW w:w="732" w:type="pct"/>
            <w:shd w:val="clear" w:color="auto" w:fill="auto"/>
            <w:vAlign w:val="center"/>
            <w:hideMark/>
          </w:tcPr>
          <w:p w14:paraId="483BFF0E"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A 2024 se contará por lo menos con 3 Centros de Mediación a nivel nacional fortalecidos.</w:t>
            </w:r>
          </w:p>
        </w:tc>
        <w:tc>
          <w:tcPr>
            <w:tcW w:w="574" w:type="pct"/>
            <w:shd w:val="clear" w:color="auto" w:fill="auto"/>
            <w:vAlign w:val="center"/>
            <w:hideMark/>
          </w:tcPr>
          <w:p w14:paraId="40B497B9"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 xml:space="preserve"># de Centros de Mediación fortalecidos </w:t>
            </w:r>
          </w:p>
        </w:tc>
        <w:tc>
          <w:tcPr>
            <w:tcW w:w="496" w:type="pct"/>
            <w:shd w:val="clear" w:color="auto" w:fill="auto"/>
            <w:noWrap/>
            <w:vAlign w:val="center"/>
            <w:hideMark/>
          </w:tcPr>
          <w:p w14:paraId="6B2D73AA"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rPr>
              <w:t xml:space="preserve">                     </w:t>
            </w:r>
            <w:r>
              <w:rPr>
                <w:rFonts w:ascii="Calibri" w:eastAsia="Times New Roman" w:hAnsi="Calibri" w:cs="Calibri"/>
                <w:sz w:val="14"/>
                <w:szCs w:val="14"/>
                <w:lang w:val="en-US"/>
              </w:rPr>
              <w:t xml:space="preserve">3 </w:t>
            </w:r>
          </w:p>
        </w:tc>
        <w:tc>
          <w:tcPr>
            <w:tcW w:w="494" w:type="pct"/>
            <w:shd w:val="clear" w:color="auto" w:fill="auto"/>
            <w:noWrap/>
            <w:vAlign w:val="center"/>
            <w:hideMark/>
          </w:tcPr>
          <w:p w14:paraId="49BB2A55"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4,5%</w:t>
            </w:r>
          </w:p>
        </w:tc>
        <w:tc>
          <w:tcPr>
            <w:tcW w:w="295" w:type="pct"/>
            <w:shd w:val="clear" w:color="auto" w:fill="auto"/>
            <w:noWrap/>
            <w:vAlign w:val="center"/>
            <w:hideMark/>
          </w:tcPr>
          <w:p w14:paraId="2C53D62C"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0</w:t>
            </w:r>
          </w:p>
        </w:tc>
        <w:tc>
          <w:tcPr>
            <w:tcW w:w="332" w:type="pct"/>
            <w:shd w:val="clear" w:color="auto" w:fill="auto"/>
            <w:noWrap/>
            <w:vAlign w:val="center"/>
            <w:hideMark/>
          </w:tcPr>
          <w:p w14:paraId="274C20EA"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0</w:t>
            </w:r>
          </w:p>
        </w:tc>
        <w:tc>
          <w:tcPr>
            <w:tcW w:w="332" w:type="pct"/>
            <w:shd w:val="clear" w:color="auto" w:fill="auto"/>
            <w:noWrap/>
            <w:vAlign w:val="center"/>
            <w:hideMark/>
          </w:tcPr>
          <w:p w14:paraId="2E977D10"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0</w:t>
            </w:r>
          </w:p>
        </w:tc>
        <w:tc>
          <w:tcPr>
            <w:tcW w:w="332" w:type="pct"/>
            <w:shd w:val="clear" w:color="auto" w:fill="auto"/>
            <w:noWrap/>
            <w:vAlign w:val="center"/>
            <w:hideMark/>
          </w:tcPr>
          <w:p w14:paraId="04A5904E"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1</w:t>
            </w:r>
          </w:p>
        </w:tc>
        <w:tc>
          <w:tcPr>
            <w:tcW w:w="397" w:type="pct"/>
            <w:shd w:val="clear" w:color="auto" w:fill="auto"/>
            <w:noWrap/>
            <w:vAlign w:val="center"/>
            <w:hideMark/>
          </w:tcPr>
          <w:p w14:paraId="5E9DAA5F"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1</w:t>
            </w:r>
          </w:p>
        </w:tc>
        <w:tc>
          <w:tcPr>
            <w:tcW w:w="426" w:type="pct"/>
            <w:shd w:val="clear" w:color="auto" w:fill="auto"/>
            <w:noWrap/>
            <w:vAlign w:val="center"/>
            <w:hideMark/>
          </w:tcPr>
          <w:p w14:paraId="619DD487" w14:textId="77777777" w:rsidR="007B3093" w:rsidRDefault="00000000">
            <w:pPr>
              <w:spacing w:after="0" w:line="240" w:lineRule="auto"/>
              <w:jc w:val="center"/>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1,50%</w:t>
            </w:r>
          </w:p>
        </w:tc>
      </w:tr>
      <w:tr w:rsidR="007B3093" w14:paraId="653901E7" w14:textId="77777777">
        <w:trPr>
          <w:trHeight w:val="1077"/>
        </w:trPr>
        <w:tc>
          <w:tcPr>
            <w:tcW w:w="590" w:type="pct"/>
            <w:shd w:val="clear" w:color="auto" w:fill="auto"/>
            <w:vAlign w:val="center"/>
            <w:hideMark/>
          </w:tcPr>
          <w:p w14:paraId="389CC51D"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C5. Diseñar e implementar la estrategia de comunicación de la PGE.</w:t>
            </w:r>
          </w:p>
        </w:tc>
        <w:tc>
          <w:tcPr>
            <w:tcW w:w="732" w:type="pct"/>
            <w:shd w:val="clear" w:color="auto" w:fill="auto"/>
            <w:vAlign w:val="center"/>
            <w:hideMark/>
          </w:tcPr>
          <w:p w14:paraId="7142CB2A"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 xml:space="preserve">A 2024 contar con una estrategia de </w:t>
            </w:r>
            <w:proofErr w:type="gramStart"/>
            <w:r>
              <w:rPr>
                <w:rFonts w:ascii="Calibri" w:eastAsia="Times New Roman" w:hAnsi="Calibri" w:cs="Calibri"/>
                <w:sz w:val="14"/>
                <w:szCs w:val="14"/>
              </w:rPr>
              <w:t>comunicación  100</w:t>
            </w:r>
            <w:proofErr w:type="gramEnd"/>
            <w:r>
              <w:rPr>
                <w:rFonts w:ascii="Calibri" w:eastAsia="Times New Roman" w:hAnsi="Calibri" w:cs="Calibri"/>
                <w:sz w:val="14"/>
                <w:szCs w:val="14"/>
              </w:rPr>
              <w:t>% implementada.</w:t>
            </w:r>
          </w:p>
        </w:tc>
        <w:tc>
          <w:tcPr>
            <w:tcW w:w="574" w:type="pct"/>
            <w:shd w:val="clear" w:color="auto" w:fill="auto"/>
            <w:vAlign w:val="center"/>
            <w:hideMark/>
          </w:tcPr>
          <w:p w14:paraId="2A78FE19"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 de Estrategia de Comunicación Implementada</w:t>
            </w:r>
          </w:p>
        </w:tc>
        <w:tc>
          <w:tcPr>
            <w:tcW w:w="496" w:type="pct"/>
            <w:shd w:val="clear" w:color="auto" w:fill="auto"/>
            <w:noWrap/>
            <w:vAlign w:val="center"/>
            <w:hideMark/>
          </w:tcPr>
          <w:p w14:paraId="7EB8D806"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100%</w:t>
            </w:r>
          </w:p>
        </w:tc>
        <w:tc>
          <w:tcPr>
            <w:tcW w:w="494" w:type="pct"/>
            <w:shd w:val="clear" w:color="auto" w:fill="auto"/>
            <w:noWrap/>
            <w:vAlign w:val="center"/>
            <w:hideMark/>
          </w:tcPr>
          <w:p w14:paraId="1444614F"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6,0%</w:t>
            </w:r>
          </w:p>
        </w:tc>
        <w:tc>
          <w:tcPr>
            <w:tcW w:w="295" w:type="pct"/>
            <w:shd w:val="clear" w:color="auto" w:fill="auto"/>
            <w:noWrap/>
            <w:vAlign w:val="center"/>
            <w:hideMark/>
          </w:tcPr>
          <w:p w14:paraId="1E55C26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0,0%</w:t>
            </w:r>
          </w:p>
        </w:tc>
        <w:tc>
          <w:tcPr>
            <w:tcW w:w="332" w:type="pct"/>
            <w:shd w:val="clear" w:color="auto" w:fill="auto"/>
            <w:noWrap/>
            <w:vAlign w:val="center"/>
            <w:hideMark/>
          </w:tcPr>
          <w:p w14:paraId="5B0EE34C"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23,8%</w:t>
            </w:r>
          </w:p>
        </w:tc>
        <w:tc>
          <w:tcPr>
            <w:tcW w:w="332" w:type="pct"/>
            <w:shd w:val="clear" w:color="auto" w:fill="auto"/>
            <w:noWrap/>
            <w:vAlign w:val="center"/>
            <w:hideMark/>
          </w:tcPr>
          <w:p w14:paraId="6532AF34"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9,6%</w:t>
            </w:r>
          </w:p>
        </w:tc>
        <w:tc>
          <w:tcPr>
            <w:tcW w:w="332" w:type="pct"/>
            <w:shd w:val="clear" w:color="auto" w:fill="auto"/>
            <w:noWrap/>
            <w:vAlign w:val="center"/>
            <w:hideMark/>
          </w:tcPr>
          <w:p w14:paraId="64783A80"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35,7%</w:t>
            </w:r>
          </w:p>
        </w:tc>
        <w:tc>
          <w:tcPr>
            <w:tcW w:w="397" w:type="pct"/>
            <w:shd w:val="clear" w:color="auto" w:fill="auto"/>
            <w:noWrap/>
            <w:vAlign w:val="center"/>
            <w:hideMark/>
          </w:tcPr>
          <w:p w14:paraId="73692DD1"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69,1%</w:t>
            </w:r>
          </w:p>
        </w:tc>
        <w:tc>
          <w:tcPr>
            <w:tcW w:w="426" w:type="pct"/>
            <w:shd w:val="clear" w:color="auto" w:fill="auto"/>
            <w:noWrap/>
            <w:vAlign w:val="center"/>
            <w:hideMark/>
          </w:tcPr>
          <w:p w14:paraId="250FABA8"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4,15%</w:t>
            </w:r>
          </w:p>
        </w:tc>
      </w:tr>
      <w:tr w:rsidR="007B3093" w14:paraId="4F942EEA" w14:textId="77777777">
        <w:trPr>
          <w:trHeight w:val="253"/>
        </w:trPr>
        <w:tc>
          <w:tcPr>
            <w:tcW w:w="2886" w:type="pct"/>
            <w:gridSpan w:val="5"/>
            <w:shd w:val="clear" w:color="auto" w:fill="auto"/>
            <w:noWrap/>
            <w:vAlign w:val="center"/>
            <w:hideMark/>
          </w:tcPr>
          <w:p w14:paraId="570AEBC2"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Avance </w:t>
            </w:r>
            <w:proofErr w:type="spellStart"/>
            <w:r>
              <w:rPr>
                <w:rFonts w:ascii="Calibri" w:eastAsia="Times New Roman" w:hAnsi="Calibri" w:cs="Calibri"/>
                <w:b/>
                <w:bCs/>
                <w:sz w:val="14"/>
                <w:szCs w:val="14"/>
                <w:lang w:val="en-US"/>
              </w:rPr>
              <w:t>Ponderado</w:t>
            </w:r>
            <w:proofErr w:type="spellEnd"/>
            <w:r>
              <w:rPr>
                <w:rFonts w:ascii="Calibri" w:eastAsia="Times New Roman" w:hAnsi="Calibri" w:cs="Calibri"/>
                <w:b/>
                <w:bCs/>
                <w:sz w:val="14"/>
                <w:szCs w:val="14"/>
                <w:lang w:val="en-US"/>
              </w:rPr>
              <w:t xml:space="preserve"> </w:t>
            </w:r>
            <w:proofErr w:type="spellStart"/>
            <w:r>
              <w:rPr>
                <w:rFonts w:ascii="Calibri" w:eastAsia="Times New Roman" w:hAnsi="Calibri" w:cs="Calibri"/>
                <w:b/>
                <w:bCs/>
                <w:sz w:val="14"/>
                <w:szCs w:val="14"/>
                <w:lang w:val="en-US"/>
              </w:rPr>
              <w:t>por</w:t>
            </w:r>
            <w:proofErr w:type="spellEnd"/>
            <w:r>
              <w:rPr>
                <w:rFonts w:ascii="Calibri" w:eastAsia="Times New Roman" w:hAnsi="Calibri" w:cs="Calibri"/>
                <w:b/>
                <w:bCs/>
                <w:sz w:val="14"/>
                <w:szCs w:val="14"/>
                <w:lang w:val="en-US"/>
              </w:rPr>
              <w:t xml:space="preserve"> Año %</w:t>
            </w:r>
          </w:p>
        </w:tc>
        <w:tc>
          <w:tcPr>
            <w:tcW w:w="295" w:type="pct"/>
            <w:shd w:val="clear" w:color="auto" w:fill="auto"/>
            <w:noWrap/>
            <w:vAlign w:val="center"/>
            <w:hideMark/>
          </w:tcPr>
          <w:p w14:paraId="59036072" w14:textId="77777777" w:rsidR="007B3093" w:rsidRDefault="00000000">
            <w:pPr>
              <w:spacing w:after="0" w:line="240" w:lineRule="auto"/>
              <w:jc w:val="right"/>
              <w:rPr>
                <w:rFonts w:ascii="Calibri" w:eastAsia="Times New Roman" w:hAnsi="Calibri" w:cs="Calibri"/>
                <w:b/>
                <w:bCs/>
                <w:sz w:val="14"/>
                <w:szCs w:val="14"/>
                <w:lang w:val="en-US"/>
              </w:rPr>
            </w:pPr>
            <w:r>
              <w:rPr>
                <w:rFonts w:ascii="Calibri" w:eastAsia="Times New Roman" w:hAnsi="Calibri" w:cs="Calibri"/>
                <w:b/>
                <w:bCs/>
                <w:sz w:val="14"/>
                <w:szCs w:val="14"/>
                <w:lang w:val="en-US"/>
              </w:rPr>
              <w:t>0,26%</w:t>
            </w:r>
          </w:p>
        </w:tc>
        <w:tc>
          <w:tcPr>
            <w:tcW w:w="332" w:type="pct"/>
            <w:shd w:val="clear" w:color="auto" w:fill="auto"/>
            <w:noWrap/>
            <w:vAlign w:val="center"/>
            <w:hideMark/>
          </w:tcPr>
          <w:p w14:paraId="7197CFA0" w14:textId="77777777" w:rsidR="007B3093" w:rsidRDefault="00000000">
            <w:pPr>
              <w:spacing w:after="0" w:line="240" w:lineRule="auto"/>
              <w:jc w:val="right"/>
              <w:rPr>
                <w:rFonts w:ascii="Calibri" w:eastAsia="Times New Roman" w:hAnsi="Calibri" w:cs="Calibri"/>
                <w:b/>
                <w:bCs/>
                <w:color w:val="000000"/>
                <w:sz w:val="14"/>
                <w:szCs w:val="14"/>
                <w:lang w:val="en-US"/>
              </w:rPr>
            </w:pPr>
            <w:r>
              <w:rPr>
                <w:rFonts w:ascii="Calibri" w:eastAsia="Times New Roman" w:hAnsi="Calibri" w:cs="Calibri"/>
                <w:b/>
                <w:bCs/>
                <w:color w:val="000000"/>
                <w:sz w:val="14"/>
                <w:szCs w:val="14"/>
                <w:lang w:val="en-US"/>
              </w:rPr>
              <w:t>10,39%</w:t>
            </w:r>
          </w:p>
        </w:tc>
        <w:tc>
          <w:tcPr>
            <w:tcW w:w="332" w:type="pct"/>
            <w:shd w:val="clear" w:color="auto" w:fill="auto"/>
            <w:noWrap/>
            <w:vAlign w:val="center"/>
            <w:hideMark/>
          </w:tcPr>
          <w:p w14:paraId="680521A3" w14:textId="77777777" w:rsidR="007B3093" w:rsidRDefault="00000000">
            <w:pPr>
              <w:spacing w:after="0" w:line="240" w:lineRule="auto"/>
              <w:jc w:val="right"/>
              <w:rPr>
                <w:rFonts w:ascii="Calibri" w:eastAsia="Times New Roman" w:hAnsi="Calibri" w:cs="Calibri"/>
                <w:b/>
                <w:bCs/>
                <w:color w:val="000000"/>
                <w:sz w:val="14"/>
                <w:szCs w:val="14"/>
                <w:lang w:val="en-US"/>
              </w:rPr>
            </w:pPr>
            <w:r>
              <w:rPr>
                <w:rFonts w:ascii="Calibri" w:eastAsia="Times New Roman" w:hAnsi="Calibri" w:cs="Calibri"/>
                <w:b/>
                <w:bCs/>
                <w:color w:val="000000"/>
                <w:sz w:val="14"/>
                <w:szCs w:val="14"/>
                <w:lang w:val="en-US"/>
              </w:rPr>
              <w:t>15,64%</w:t>
            </w:r>
          </w:p>
        </w:tc>
        <w:tc>
          <w:tcPr>
            <w:tcW w:w="332" w:type="pct"/>
            <w:shd w:val="clear" w:color="auto" w:fill="auto"/>
            <w:noWrap/>
            <w:vAlign w:val="center"/>
            <w:hideMark/>
          </w:tcPr>
          <w:p w14:paraId="27E85570" w14:textId="77777777" w:rsidR="007B3093" w:rsidRDefault="00000000">
            <w:pPr>
              <w:spacing w:after="0" w:line="240" w:lineRule="auto"/>
              <w:jc w:val="right"/>
              <w:rPr>
                <w:rFonts w:ascii="Calibri" w:eastAsia="Times New Roman" w:hAnsi="Calibri" w:cs="Calibri"/>
                <w:b/>
                <w:bCs/>
                <w:color w:val="000000"/>
                <w:sz w:val="14"/>
                <w:szCs w:val="14"/>
                <w:lang w:val="en-US"/>
              </w:rPr>
            </w:pPr>
            <w:r>
              <w:rPr>
                <w:rFonts w:ascii="Calibri" w:eastAsia="Times New Roman" w:hAnsi="Calibri" w:cs="Calibri"/>
                <w:b/>
                <w:bCs/>
                <w:color w:val="000000"/>
                <w:sz w:val="14"/>
                <w:szCs w:val="14"/>
                <w:lang w:val="en-US"/>
              </w:rPr>
              <w:t>28,59%</w:t>
            </w:r>
          </w:p>
        </w:tc>
        <w:tc>
          <w:tcPr>
            <w:tcW w:w="397" w:type="pct"/>
            <w:shd w:val="clear" w:color="auto" w:fill="auto"/>
            <w:noWrap/>
            <w:vAlign w:val="center"/>
            <w:hideMark/>
          </w:tcPr>
          <w:p w14:paraId="172280C2" w14:textId="77777777" w:rsidR="007B3093" w:rsidRDefault="00000000">
            <w:pPr>
              <w:spacing w:after="0" w:line="240" w:lineRule="auto"/>
              <w:rPr>
                <w:rFonts w:ascii="Calibri" w:eastAsia="Times New Roman" w:hAnsi="Calibri" w:cs="Calibri"/>
                <w:color w:val="000000"/>
                <w:sz w:val="14"/>
                <w:szCs w:val="14"/>
                <w:lang w:val="en-US"/>
              </w:rPr>
            </w:pPr>
            <w:r>
              <w:rPr>
                <w:rFonts w:ascii="Calibri" w:eastAsia="Times New Roman" w:hAnsi="Calibri" w:cs="Calibri"/>
                <w:color w:val="000000"/>
                <w:sz w:val="14"/>
                <w:szCs w:val="14"/>
                <w:lang w:val="en-US"/>
              </w:rPr>
              <w:t> </w:t>
            </w:r>
          </w:p>
        </w:tc>
        <w:tc>
          <w:tcPr>
            <w:tcW w:w="426" w:type="pct"/>
            <w:shd w:val="clear" w:color="auto" w:fill="auto"/>
            <w:noWrap/>
            <w:vAlign w:val="center"/>
            <w:hideMark/>
          </w:tcPr>
          <w:p w14:paraId="21B24881" w14:textId="77777777" w:rsidR="007B3093" w:rsidRDefault="00000000">
            <w:pPr>
              <w:spacing w:after="0" w:line="240" w:lineRule="auto"/>
              <w:jc w:val="center"/>
              <w:rPr>
                <w:rFonts w:ascii="Calibri" w:eastAsia="Times New Roman" w:hAnsi="Calibri" w:cs="Calibri"/>
                <w:b/>
                <w:bCs/>
                <w:color w:val="000000"/>
                <w:sz w:val="14"/>
                <w:szCs w:val="14"/>
                <w:lang w:val="en-US"/>
              </w:rPr>
            </w:pPr>
            <w:r>
              <w:rPr>
                <w:rFonts w:ascii="Calibri" w:eastAsia="Times New Roman" w:hAnsi="Calibri" w:cs="Calibri"/>
                <w:b/>
                <w:bCs/>
                <w:color w:val="000000"/>
                <w:sz w:val="14"/>
                <w:szCs w:val="14"/>
                <w:lang w:val="en-US"/>
              </w:rPr>
              <w:t>54,88%</w:t>
            </w:r>
          </w:p>
        </w:tc>
      </w:tr>
    </w:tbl>
    <w:p w14:paraId="02D8ADBD"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b/>
          <w:sz w:val="20"/>
          <w:szCs w:val="20"/>
          <w:lang w:eastAsia="es-EC"/>
        </w:rPr>
        <w:t>Fuente y elaboración:</w:t>
      </w:r>
      <w:r>
        <w:rPr>
          <w:rFonts w:ascii="Calibri" w:eastAsia="Times New Roman" w:hAnsi="Calibri" w:cs="Calibri"/>
          <w:sz w:val="20"/>
          <w:szCs w:val="20"/>
          <w:lang w:eastAsia="es-EC"/>
        </w:rPr>
        <w:t xml:space="preserve"> Informe Justificativo Avance Real Acumulado del 17-02-2023, Dirección Nacional de Seguimiento y Evaluación</w:t>
      </w:r>
    </w:p>
    <w:p w14:paraId="4D8DE042" w14:textId="77777777" w:rsidR="007B3093" w:rsidRDefault="007B3093">
      <w:pPr>
        <w:spacing w:line="360" w:lineRule="auto"/>
        <w:jc w:val="both"/>
      </w:pPr>
    </w:p>
    <w:p w14:paraId="56E13173" w14:textId="77777777" w:rsidR="007B3093" w:rsidRDefault="00000000">
      <w:pPr>
        <w:spacing w:line="360" w:lineRule="auto"/>
        <w:jc w:val="both"/>
      </w:pPr>
      <w:r>
        <w:t>En función de lo cual el reporte del 2023 y 2024 se realizó observando la matriz de marco lógico actualizada y el informe justificativo con corte al 2022, los resultados se muestran a continuación:</w:t>
      </w:r>
    </w:p>
    <w:p w14:paraId="1832E1B8" w14:textId="77777777" w:rsidR="007B3093" w:rsidRDefault="00000000">
      <w:pPr>
        <w:spacing w:after="0" w:line="360" w:lineRule="auto"/>
        <w:jc w:val="center"/>
      </w:pPr>
      <w:r>
        <w:rPr>
          <w:rFonts w:eastAsia="Times New Roman" w:cstheme="minorHAnsi"/>
          <w:b/>
          <w:bCs/>
          <w:color w:val="000000"/>
          <w:lang w:eastAsia="es-EC"/>
        </w:rPr>
        <w:t>Tabla 45: Cumplimiento de las metas/componente conforme a dictamen actualizado de 2022</w:t>
      </w:r>
    </w:p>
    <w:tbl>
      <w:tblPr>
        <w:tblW w:w="526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96"/>
        <w:gridCol w:w="1035"/>
        <w:gridCol w:w="774"/>
        <w:gridCol w:w="647"/>
        <w:gridCol w:w="649"/>
        <w:gridCol w:w="778"/>
        <w:gridCol w:w="906"/>
        <w:gridCol w:w="776"/>
        <w:gridCol w:w="776"/>
      </w:tblGrid>
      <w:tr w:rsidR="007B3093" w14:paraId="11B68FDD" w14:textId="77777777">
        <w:trPr>
          <w:trHeight w:val="558"/>
        </w:trPr>
        <w:tc>
          <w:tcPr>
            <w:tcW w:w="1452" w:type="pct"/>
            <w:shd w:val="clear" w:color="000000" w:fill="FFF2CC"/>
            <w:noWrap/>
            <w:vAlign w:val="center"/>
            <w:hideMark/>
          </w:tcPr>
          <w:p w14:paraId="730A1A9F"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COMPONENTES</w:t>
            </w:r>
          </w:p>
        </w:tc>
        <w:tc>
          <w:tcPr>
            <w:tcW w:w="579" w:type="pct"/>
            <w:shd w:val="clear" w:color="000000" w:fill="FFF2CC"/>
            <w:vAlign w:val="center"/>
            <w:hideMark/>
          </w:tcPr>
          <w:p w14:paraId="65AC2A3D"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Cambio Ponderación</w:t>
            </w:r>
          </w:p>
        </w:tc>
        <w:tc>
          <w:tcPr>
            <w:tcW w:w="433" w:type="pct"/>
            <w:shd w:val="clear" w:color="000000" w:fill="FFF2CC"/>
            <w:noWrap/>
            <w:vAlign w:val="center"/>
            <w:hideMark/>
          </w:tcPr>
          <w:p w14:paraId="18DD5655"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2019</w:t>
            </w:r>
          </w:p>
        </w:tc>
        <w:tc>
          <w:tcPr>
            <w:tcW w:w="362" w:type="pct"/>
            <w:shd w:val="clear" w:color="000000" w:fill="FFF2CC"/>
            <w:noWrap/>
            <w:vAlign w:val="center"/>
            <w:hideMark/>
          </w:tcPr>
          <w:p w14:paraId="7E45AB21"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2020</w:t>
            </w:r>
          </w:p>
        </w:tc>
        <w:tc>
          <w:tcPr>
            <w:tcW w:w="363" w:type="pct"/>
            <w:shd w:val="clear" w:color="000000" w:fill="FFF2CC"/>
            <w:noWrap/>
            <w:vAlign w:val="center"/>
            <w:hideMark/>
          </w:tcPr>
          <w:p w14:paraId="51C3104A"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2021</w:t>
            </w:r>
          </w:p>
        </w:tc>
        <w:tc>
          <w:tcPr>
            <w:tcW w:w="435" w:type="pct"/>
            <w:shd w:val="clear" w:color="000000" w:fill="FFF2CC"/>
            <w:noWrap/>
            <w:vAlign w:val="center"/>
            <w:hideMark/>
          </w:tcPr>
          <w:p w14:paraId="4354D819"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2022</w:t>
            </w:r>
          </w:p>
        </w:tc>
        <w:tc>
          <w:tcPr>
            <w:tcW w:w="507" w:type="pct"/>
            <w:shd w:val="clear" w:color="000000" w:fill="FFF2CC"/>
            <w:vAlign w:val="center"/>
            <w:hideMark/>
          </w:tcPr>
          <w:p w14:paraId="28F32288"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TOTAL</w:t>
            </w:r>
          </w:p>
        </w:tc>
        <w:tc>
          <w:tcPr>
            <w:tcW w:w="434" w:type="pct"/>
            <w:shd w:val="clear" w:color="000000" w:fill="FFF2CC"/>
            <w:noWrap/>
            <w:vAlign w:val="center"/>
            <w:hideMark/>
          </w:tcPr>
          <w:p w14:paraId="12808105"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2023</w:t>
            </w:r>
          </w:p>
        </w:tc>
        <w:tc>
          <w:tcPr>
            <w:tcW w:w="434" w:type="pct"/>
            <w:shd w:val="clear" w:color="000000" w:fill="FFF2CC"/>
            <w:noWrap/>
            <w:vAlign w:val="center"/>
            <w:hideMark/>
          </w:tcPr>
          <w:p w14:paraId="66E24679"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2024</w:t>
            </w:r>
          </w:p>
        </w:tc>
      </w:tr>
      <w:tr w:rsidR="007B3093" w14:paraId="7E4C3588" w14:textId="77777777">
        <w:trPr>
          <w:trHeight w:val="279"/>
        </w:trPr>
        <w:tc>
          <w:tcPr>
            <w:tcW w:w="1452" w:type="pct"/>
            <w:shd w:val="clear" w:color="auto" w:fill="auto"/>
            <w:noWrap/>
            <w:vAlign w:val="center"/>
            <w:hideMark/>
          </w:tcPr>
          <w:p w14:paraId="23B9C716"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1:</w:t>
            </w:r>
            <w:r>
              <w:rPr>
                <w:rFonts w:ascii="Calibri" w:eastAsia="Times New Roman" w:hAnsi="Calibri" w:cs="Calibri"/>
                <w:color w:val="000000"/>
                <w:sz w:val="16"/>
                <w:szCs w:val="16"/>
                <w:lang w:eastAsia="es-EC"/>
              </w:rPr>
              <w:t xml:space="preserve"> Diseñar e implementar el modelo de gestión de la PGE.</w:t>
            </w:r>
          </w:p>
        </w:tc>
        <w:tc>
          <w:tcPr>
            <w:tcW w:w="579" w:type="pct"/>
            <w:shd w:val="clear" w:color="000000" w:fill="EDEDED"/>
            <w:noWrap/>
            <w:vAlign w:val="center"/>
            <w:hideMark/>
          </w:tcPr>
          <w:p w14:paraId="29175A81"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64,50</w:t>
            </w:r>
          </w:p>
        </w:tc>
        <w:tc>
          <w:tcPr>
            <w:tcW w:w="433" w:type="pct"/>
            <w:shd w:val="clear" w:color="auto" w:fill="auto"/>
            <w:noWrap/>
            <w:vAlign w:val="center"/>
            <w:hideMark/>
          </w:tcPr>
          <w:p w14:paraId="7FF7D396"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0,23</w:t>
            </w:r>
          </w:p>
        </w:tc>
        <w:tc>
          <w:tcPr>
            <w:tcW w:w="362" w:type="pct"/>
            <w:shd w:val="clear" w:color="auto" w:fill="auto"/>
            <w:noWrap/>
            <w:vAlign w:val="center"/>
            <w:hideMark/>
          </w:tcPr>
          <w:p w14:paraId="617D21B1"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2,73</w:t>
            </w:r>
          </w:p>
        </w:tc>
        <w:tc>
          <w:tcPr>
            <w:tcW w:w="363" w:type="pct"/>
            <w:shd w:val="clear" w:color="auto" w:fill="auto"/>
            <w:noWrap/>
            <w:vAlign w:val="center"/>
            <w:hideMark/>
          </w:tcPr>
          <w:p w14:paraId="18827B6A"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8,08</w:t>
            </w:r>
          </w:p>
        </w:tc>
        <w:tc>
          <w:tcPr>
            <w:tcW w:w="435" w:type="pct"/>
            <w:shd w:val="clear" w:color="auto" w:fill="auto"/>
            <w:noWrap/>
            <w:vAlign w:val="center"/>
            <w:hideMark/>
          </w:tcPr>
          <w:p w14:paraId="60C54B80"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12,44</w:t>
            </w:r>
          </w:p>
        </w:tc>
        <w:tc>
          <w:tcPr>
            <w:tcW w:w="507" w:type="pct"/>
            <w:shd w:val="clear" w:color="000000" w:fill="EDEDED"/>
            <w:noWrap/>
            <w:vAlign w:val="center"/>
            <w:hideMark/>
          </w:tcPr>
          <w:p w14:paraId="0BEE5DF9"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23,48</w:t>
            </w:r>
          </w:p>
        </w:tc>
        <w:tc>
          <w:tcPr>
            <w:tcW w:w="434" w:type="pct"/>
            <w:shd w:val="clear" w:color="auto" w:fill="auto"/>
            <w:noWrap/>
            <w:vAlign w:val="center"/>
            <w:hideMark/>
          </w:tcPr>
          <w:p w14:paraId="5297BF38"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20,00</w:t>
            </w:r>
          </w:p>
        </w:tc>
        <w:tc>
          <w:tcPr>
            <w:tcW w:w="434" w:type="pct"/>
            <w:shd w:val="clear" w:color="auto" w:fill="auto"/>
            <w:noWrap/>
            <w:vAlign w:val="center"/>
            <w:hideMark/>
          </w:tcPr>
          <w:p w14:paraId="228FB62A"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5,16</w:t>
            </w:r>
          </w:p>
        </w:tc>
      </w:tr>
      <w:tr w:rsidR="007B3093" w14:paraId="31C44885" w14:textId="77777777">
        <w:trPr>
          <w:trHeight w:val="279"/>
        </w:trPr>
        <w:tc>
          <w:tcPr>
            <w:tcW w:w="1452" w:type="pct"/>
            <w:shd w:val="clear" w:color="auto" w:fill="auto"/>
            <w:noWrap/>
            <w:vAlign w:val="center"/>
            <w:hideMark/>
          </w:tcPr>
          <w:p w14:paraId="4CAE9F29"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2:</w:t>
            </w:r>
            <w:r>
              <w:rPr>
                <w:rFonts w:ascii="Calibri" w:eastAsia="Times New Roman" w:hAnsi="Calibri" w:cs="Calibri"/>
                <w:color w:val="000000"/>
                <w:sz w:val="16"/>
                <w:szCs w:val="16"/>
                <w:lang w:eastAsia="es-EC"/>
              </w:rPr>
              <w:t xml:space="preserve"> Fortalecer la Defensa legal del Estado</w:t>
            </w:r>
          </w:p>
        </w:tc>
        <w:tc>
          <w:tcPr>
            <w:tcW w:w="579" w:type="pct"/>
            <w:shd w:val="clear" w:color="000000" w:fill="EDEDED"/>
            <w:noWrap/>
            <w:vAlign w:val="center"/>
            <w:hideMark/>
          </w:tcPr>
          <w:p w14:paraId="621CD25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14,00</w:t>
            </w:r>
          </w:p>
        </w:tc>
        <w:tc>
          <w:tcPr>
            <w:tcW w:w="433" w:type="pct"/>
            <w:shd w:val="clear" w:color="auto" w:fill="auto"/>
            <w:noWrap/>
            <w:vAlign w:val="center"/>
            <w:hideMark/>
          </w:tcPr>
          <w:p w14:paraId="06BF3E4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362" w:type="pct"/>
            <w:shd w:val="clear" w:color="auto" w:fill="auto"/>
            <w:noWrap/>
            <w:vAlign w:val="center"/>
            <w:hideMark/>
          </w:tcPr>
          <w:p w14:paraId="71C44935"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3,50</w:t>
            </w:r>
          </w:p>
        </w:tc>
        <w:tc>
          <w:tcPr>
            <w:tcW w:w="363" w:type="pct"/>
            <w:shd w:val="clear" w:color="auto" w:fill="auto"/>
            <w:noWrap/>
            <w:vAlign w:val="center"/>
            <w:hideMark/>
          </w:tcPr>
          <w:p w14:paraId="1239714A"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7,00</w:t>
            </w:r>
          </w:p>
        </w:tc>
        <w:tc>
          <w:tcPr>
            <w:tcW w:w="435" w:type="pct"/>
            <w:shd w:val="clear" w:color="auto" w:fill="auto"/>
            <w:noWrap/>
            <w:vAlign w:val="center"/>
            <w:hideMark/>
          </w:tcPr>
          <w:p w14:paraId="40BBE140"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3,50</w:t>
            </w:r>
          </w:p>
        </w:tc>
        <w:tc>
          <w:tcPr>
            <w:tcW w:w="507" w:type="pct"/>
            <w:shd w:val="clear" w:color="000000" w:fill="EDEDED"/>
            <w:noWrap/>
            <w:vAlign w:val="center"/>
            <w:hideMark/>
          </w:tcPr>
          <w:p w14:paraId="02BD2507"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14,00</w:t>
            </w:r>
          </w:p>
        </w:tc>
        <w:tc>
          <w:tcPr>
            <w:tcW w:w="434" w:type="pct"/>
            <w:shd w:val="clear" w:color="auto" w:fill="auto"/>
            <w:noWrap/>
            <w:vAlign w:val="center"/>
            <w:hideMark/>
          </w:tcPr>
          <w:p w14:paraId="2D4229A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c>
          <w:tcPr>
            <w:tcW w:w="434" w:type="pct"/>
            <w:shd w:val="clear" w:color="auto" w:fill="auto"/>
            <w:noWrap/>
            <w:vAlign w:val="center"/>
            <w:hideMark/>
          </w:tcPr>
          <w:p w14:paraId="5E45AB2A"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r>
      <w:tr w:rsidR="007B3093" w14:paraId="69747773" w14:textId="77777777">
        <w:trPr>
          <w:trHeight w:val="279"/>
        </w:trPr>
        <w:tc>
          <w:tcPr>
            <w:tcW w:w="1452" w:type="pct"/>
            <w:shd w:val="clear" w:color="auto" w:fill="auto"/>
            <w:noWrap/>
            <w:vAlign w:val="center"/>
            <w:hideMark/>
          </w:tcPr>
          <w:p w14:paraId="521EDD1F"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3:</w:t>
            </w:r>
            <w:r>
              <w:rPr>
                <w:rFonts w:ascii="Calibri" w:eastAsia="Times New Roman" w:hAnsi="Calibri" w:cs="Calibri"/>
                <w:color w:val="000000"/>
                <w:sz w:val="16"/>
                <w:szCs w:val="16"/>
                <w:lang w:eastAsia="es-EC"/>
              </w:rPr>
              <w:t xml:space="preserve"> Fortalecer la capacidad de asesoría y respuesta a consultas legales de la PGE.</w:t>
            </w:r>
          </w:p>
        </w:tc>
        <w:tc>
          <w:tcPr>
            <w:tcW w:w="579" w:type="pct"/>
            <w:shd w:val="clear" w:color="000000" w:fill="EDEDED"/>
            <w:noWrap/>
            <w:vAlign w:val="center"/>
            <w:hideMark/>
          </w:tcPr>
          <w:p w14:paraId="0515E10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11,00</w:t>
            </w:r>
          </w:p>
        </w:tc>
        <w:tc>
          <w:tcPr>
            <w:tcW w:w="433" w:type="pct"/>
            <w:shd w:val="clear" w:color="auto" w:fill="auto"/>
            <w:noWrap/>
            <w:vAlign w:val="center"/>
            <w:hideMark/>
          </w:tcPr>
          <w:p w14:paraId="3367940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362" w:type="pct"/>
            <w:shd w:val="clear" w:color="auto" w:fill="auto"/>
            <w:noWrap/>
            <w:vAlign w:val="center"/>
            <w:hideMark/>
          </w:tcPr>
          <w:p w14:paraId="27A798E1"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2,75</w:t>
            </w:r>
          </w:p>
        </w:tc>
        <w:tc>
          <w:tcPr>
            <w:tcW w:w="363" w:type="pct"/>
            <w:shd w:val="clear" w:color="auto" w:fill="auto"/>
            <w:noWrap/>
            <w:vAlign w:val="center"/>
            <w:hideMark/>
          </w:tcPr>
          <w:p w14:paraId="63A0C7A1"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435" w:type="pct"/>
            <w:shd w:val="clear" w:color="auto" w:fill="auto"/>
            <w:noWrap/>
            <w:vAlign w:val="center"/>
            <w:hideMark/>
          </w:tcPr>
          <w:p w14:paraId="2A1747C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5,50</w:t>
            </w:r>
          </w:p>
        </w:tc>
        <w:tc>
          <w:tcPr>
            <w:tcW w:w="507" w:type="pct"/>
            <w:shd w:val="clear" w:color="000000" w:fill="EDEDED"/>
            <w:noWrap/>
            <w:vAlign w:val="center"/>
            <w:hideMark/>
          </w:tcPr>
          <w:p w14:paraId="5A2A54E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8,25</w:t>
            </w:r>
          </w:p>
        </w:tc>
        <w:tc>
          <w:tcPr>
            <w:tcW w:w="434" w:type="pct"/>
            <w:shd w:val="clear" w:color="auto" w:fill="auto"/>
            <w:noWrap/>
            <w:vAlign w:val="center"/>
            <w:hideMark/>
          </w:tcPr>
          <w:p w14:paraId="2508A639"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2,75</w:t>
            </w:r>
          </w:p>
        </w:tc>
        <w:tc>
          <w:tcPr>
            <w:tcW w:w="434" w:type="pct"/>
            <w:shd w:val="clear" w:color="auto" w:fill="auto"/>
            <w:noWrap/>
            <w:vAlign w:val="center"/>
            <w:hideMark/>
          </w:tcPr>
          <w:p w14:paraId="57DD8CE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r>
      <w:tr w:rsidR="007B3093" w14:paraId="5AEB0F43" w14:textId="77777777">
        <w:trPr>
          <w:trHeight w:val="279"/>
        </w:trPr>
        <w:tc>
          <w:tcPr>
            <w:tcW w:w="1452" w:type="pct"/>
            <w:shd w:val="clear" w:color="auto" w:fill="auto"/>
            <w:noWrap/>
            <w:vAlign w:val="center"/>
            <w:hideMark/>
          </w:tcPr>
          <w:p w14:paraId="341773AF"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4:</w:t>
            </w:r>
            <w:r>
              <w:rPr>
                <w:rFonts w:ascii="Calibri" w:eastAsia="Times New Roman" w:hAnsi="Calibri" w:cs="Calibri"/>
                <w:color w:val="000000"/>
                <w:sz w:val="16"/>
                <w:szCs w:val="16"/>
                <w:lang w:eastAsia="es-EC"/>
              </w:rPr>
              <w:t xml:space="preserve"> Fortalecer los centros de mediación de la PGE.</w:t>
            </w:r>
          </w:p>
        </w:tc>
        <w:tc>
          <w:tcPr>
            <w:tcW w:w="579" w:type="pct"/>
            <w:shd w:val="clear" w:color="000000" w:fill="EDEDED"/>
            <w:noWrap/>
            <w:vAlign w:val="center"/>
            <w:hideMark/>
          </w:tcPr>
          <w:p w14:paraId="02BDD28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4,50</w:t>
            </w:r>
          </w:p>
        </w:tc>
        <w:tc>
          <w:tcPr>
            <w:tcW w:w="433" w:type="pct"/>
            <w:shd w:val="clear" w:color="auto" w:fill="auto"/>
            <w:noWrap/>
            <w:vAlign w:val="center"/>
            <w:hideMark/>
          </w:tcPr>
          <w:p w14:paraId="474313C2"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362" w:type="pct"/>
            <w:shd w:val="clear" w:color="auto" w:fill="auto"/>
            <w:noWrap/>
            <w:vAlign w:val="center"/>
            <w:hideMark/>
          </w:tcPr>
          <w:p w14:paraId="7359DD95"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363" w:type="pct"/>
            <w:shd w:val="clear" w:color="auto" w:fill="auto"/>
            <w:noWrap/>
            <w:vAlign w:val="center"/>
            <w:hideMark/>
          </w:tcPr>
          <w:p w14:paraId="59968162"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435" w:type="pct"/>
            <w:shd w:val="clear" w:color="auto" w:fill="auto"/>
            <w:noWrap/>
            <w:vAlign w:val="center"/>
            <w:hideMark/>
          </w:tcPr>
          <w:p w14:paraId="7DEE67F0"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1,50</w:t>
            </w:r>
          </w:p>
        </w:tc>
        <w:tc>
          <w:tcPr>
            <w:tcW w:w="507" w:type="pct"/>
            <w:shd w:val="clear" w:color="000000" w:fill="EDEDED"/>
            <w:noWrap/>
            <w:vAlign w:val="center"/>
            <w:hideMark/>
          </w:tcPr>
          <w:p w14:paraId="3E164C2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1,50</w:t>
            </w:r>
          </w:p>
        </w:tc>
        <w:tc>
          <w:tcPr>
            <w:tcW w:w="434" w:type="pct"/>
            <w:shd w:val="clear" w:color="auto" w:fill="auto"/>
            <w:noWrap/>
            <w:vAlign w:val="center"/>
            <w:hideMark/>
          </w:tcPr>
          <w:p w14:paraId="7873AE8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0,75</w:t>
            </w:r>
          </w:p>
        </w:tc>
        <w:tc>
          <w:tcPr>
            <w:tcW w:w="434" w:type="pct"/>
            <w:shd w:val="clear" w:color="auto" w:fill="auto"/>
            <w:noWrap/>
            <w:vAlign w:val="center"/>
            <w:hideMark/>
          </w:tcPr>
          <w:p w14:paraId="08FC879C"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0,45</w:t>
            </w:r>
          </w:p>
        </w:tc>
      </w:tr>
      <w:tr w:rsidR="007B3093" w14:paraId="14F01CDD" w14:textId="77777777">
        <w:trPr>
          <w:trHeight w:val="290"/>
        </w:trPr>
        <w:tc>
          <w:tcPr>
            <w:tcW w:w="1452" w:type="pct"/>
            <w:shd w:val="clear" w:color="auto" w:fill="auto"/>
            <w:noWrap/>
            <w:vAlign w:val="center"/>
            <w:hideMark/>
          </w:tcPr>
          <w:p w14:paraId="06B561E6"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lastRenderedPageBreak/>
              <w:t>Componente 5:</w:t>
            </w:r>
            <w:r>
              <w:rPr>
                <w:rFonts w:ascii="Calibri" w:eastAsia="Times New Roman" w:hAnsi="Calibri" w:cs="Calibri"/>
                <w:color w:val="000000"/>
                <w:sz w:val="16"/>
                <w:szCs w:val="16"/>
                <w:lang w:eastAsia="es-EC"/>
              </w:rPr>
              <w:t xml:space="preserve"> Diseñar e implementar la estrategia de comunicación de la PGE.</w:t>
            </w:r>
          </w:p>
        </w:tc>
        <w:tc>
          <w:tcPr>
            <w:tcW w:w="579" w:type="pct"/>
            <w:shd w:val="clear" w:color="000000" w:fill="EDEDED"/>
            <w:noWrap/>
            <w:vAlign w:val="center"/>
            <w:hideMark/>
          </w:tcPr>
          <w:p w14:paraId="77795EE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6,00</w:t>
            </w:r>
          </w:p>
        </w:tc>
        <w:tc>
          <w:tcPr>
            <w:tcW w:w="433" w:type="pct"/>
            <w:shd w:val="clear" w:color="auto" w:fill="auto"/>
            <w:noWrap/>
            <w:vAlign w:val="center"/>
            <w:hideMark/>
          </w:tcPr>
          <w:p w14:paraId="063A1C5C"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362" w:type="pct"/>
            <w:shd w:val="clear" w:color="auto" w:fill="auto"/>
            <w:noWrap/>
            <w:vAlign w:val="center"/>
            <w:hideMark/>
          </w:tcPr>
          <w:p w14:paraId="7E5EAC7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1,43</w:t>
            </w:r>
          </w:p>
        </w:tc>
        <w:tc>
          <w:tcPr>
            <w:tcW w:w="363" w:type="pct"/>
            <w:shd w:val="clear" w:color="auto" w:fill="auto"/>
            <w:noWrap/>
            <w:vAlign w:val="center"/>
            <w:hideMark/>
          </w:tcPr>
          <w:p w14:paraId="110C4B06"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0,58</w:t>
            </w:r>
          </w:p>
        </w:tc>
        <w:tc>
          <w:tcPr>
            <w:tcW w:w="435" w:type="pct"/>
            <w:shd w:val="clear" w:color="auto" w:fill="auto"/>
            <w:noWrap/>
            <w:vAlign w:val="center"/>
            <w:hideMark/>
          </w:tcPr>
          <w:p w14:paraId="1FA6D25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2,14</w:t>
            </w:r>
          </w:p>
        </w:tc>
        <w:tc>
          <w:tcPr>
            <w:tcW w:w="507" w:type="pct"/>
            <w:shd w:val="clear" w:color="000000" w:fill="EDEDED"/>
            <w:noWrap/>
            <w:vAlign w:val="center"/>
            <w:hideMark/>
          </w:tcPr>
          <w:p w14:paraId="5DE10191"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4,15</w:t>
            </w:r>
          </w:p>
        </w:tc>
        <w:tc>
          <w:tcPr>
            <w:tcW w:w="434" w:type="pct"/>
            <w:shd w:val="clear" w:color="auto" w:fill="auto"/>
            <w:noWrap/>
            <w:vAlign w:val="center"/>
            <w:hideMark/>
          </w:tcPr>
          <w:p w14:paraId="1C05F1F8"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1,56</w:t>
            </w:r>
          </w:p>
        </w:tc>
        <w:tc>
          <w:tcPr>
            <w:tcW w:w="434" w:type="pct"/>
            <w:shd w:val="clear" w:color="auto" w:fill="auto"/>
            <w:noWrap/>
            <w:vAlign w:val="center"/>
            <w:hideMark/>
          </w:tcPr>
          <w:p w14:paraId="2B2065DA"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r>
      <w:tr w:rsidR="007B3093" w14:paraId="07672D78" w14:textId="77777777">
        <w:trPr>
          <w:trHeight w:val="290"/>
        </w:trPr>
        <w:tc>
          <w:tcPr>
            <w:tcW w:w="1452" w:type="pct"/>
            <w:shd w:val="clear" w:color="auto" w:fill="auto"/>
            <w:noWrap/>
            <w:vAlign w:val="center"/>
            <w:hideMark/>
          </w:tcPr>
          <w:p w14:paraId="5A8FF465"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TOTAL:</w:t>
            </w:r>
          </w:p>
        </w:tc>
        <w:tc>
          <w:tcPr>
            <w:tcW w:w="579" w:type="pct"/>
            <w:shd w:val="clear" w:color="000000" w:fill="EDEDED"/>
            <w:noWrap/>
            <w:vAlign w:val="center"/>
            <w:hideMark/>
          </w:tcPr>
          <w:p w14:paraId="5F9FA3AD"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100</w:t>
            </w:r>
          </w:p>
        </w:tc>
        <w:tc>
          <w:tcPr>
            <w:tcW w:w="433" w:type="pct"/>
            <w:shd w:val="clear" w:color="auto" w:fill="auto"/>
            <w:noWrap/>
            <w:vAlign w:val="center"/>
            <w:hideMark/>
          </w:tcPr>
          <w:p w14:paraId="0A570DA6"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0,23</w:t>
            </w:r>
          </w:p>
        </w:tc>
        <w:tc>
          <w:tcPr>
            <w:tcW w:w="362" w:type="pct"/>
            <w:shd w:val="clear" w:color="auto" w:fill="auto"/>
            <w:noWrap/>
            <w:vAlign w:val="center"/>
            <w:hideMark/>
          </w:tcPr>
          <w:p w14:paraId="48B35F10"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10,41</w:t>
            </w:r>
          </w:p>
        </w:tc>
        <w:tc>
          <w:tcPr>
            <w:tcW w:w="363" w:type="pct"/>
            <w:shd w:val="clear" w:color="auto" w:fill="auto"/>
            <w:noWrap/>
            <w:vAlign w:val="center"/>
            <w:hideMark/>
          </w:tcPr>
          <w:p w14:paraId="2452C6C6"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15,66</w:t>
            </w:r>
          </w:p>
        </w:tc>
        <w:tc>
          <w:tcPr>
            <w:tcW w:w="435" w:type="pct"/>
            <w:shd w:val="clear" w:color="auto" w:fill="auto"/>
            <w:noWrap/>
            <w:vAlign w:val="center"/>
            <w:hideMark/>
          </w:tcPr>
          <w:p w14:paraId="16A06B3B"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25,08</w:t>
            </w:r>
          </w:p>
        </w:tc>
        <w:tc>
          <w:tcPr>
            <w:tcW w:w="507" w:type="pct"/>
            <w:shd w:val="clear" w:color="000000" w:fill="EDEDED"/>
            <w:noWrap/>
            <w:vAlign w:val="center"/>
            <w:hideMark/>
          </w:tcPr>
          <w:p w14:paraId="233E6CFC"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51,38</w:t>
            </w:r>
          </w:p>
        </w:tc>
        <w:tc>
          <w:tcPr>
            <w:tcW w:w="434" w:type="pct"/>
            <w:shd w:val="clear" w:color="auto" w:fill="auto"/>
            <w:noWrap/>
            <w:vAlign w:val="center"/>
            <w:hideMark/>
          </w:tcPr>
          <w:p w14:paraId="2CE7BC04"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25,06</w:t>
            </w:r>
          </w:p>
        </w:tc>
        <w:tc>
          <w:tcPr>
            <w:tcW w:w="434" w:type="pct"/>
            <w:shd w:val="clear" w:color="auto" w:fill="auto"/>
            <w:noWrap/>
            <w:vAlign w:val="center"/>
            <w:hideMark/>
          </w:tcPr>
          <w:p w14:paraId="5124AF55"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5,61</w:t>
            </w:r>
          </w:p>
        </w:tc>
      </w:tr>
    </w:tbl>
    <w:p w14:paraId="1C48030D"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b/>
          <w:sz w:val="20"/>
          <w:szCs w:val="20"/>
          <w:lang w:eastAsia="es-EC"/>
        </w:rPr>
        <w:t>Fuente y elaboración:</w:t>
      </w:r>
      <w:r>
        <w:rPr>
          <w:rFonts w:ascii="Calibri" w:eastAsia="Times New Roman" w:hAnsi="Calibri" w:cs="Calibri"/>
          <w:sz w:val="20"/>
          <w:szCs w:val="20"/>
          <w:lang w:eastAsia="es-EC"/>
        </w:rPr>
        <w:t xml:space="preserve"> Reportes </w:t>
      </w:r>
      <w:proofErr w:type="spellStart"/>
      <w:r>
        <w:rPr>
          <w:rFonts w:ascii="Calibri" w:eastAsia="Times New Roman" w:hAnsi="Calibri" w:cs="Calibri"/>
          <w:sz w:val="20"/>
          <w:szCs w:val="20"/>
          <w:lang w:eastAsia="es-EC"/>
        </w:rPr>
        <w:t>SIPeIP</w:t>
      </w:r>
      <w:proofErr w:type="spellEnd"/>
      <w:r>
        <w:rPr>
          <w:rFonts w:ascii="Calibri" w:eastAsia="Times New Roman" w:hAnsi="Calibri" w:cs="Calibri"/>
          <w:sz w:val="20"/>
          <w:szCs w:val="20"/>
          <w:lang w:eastAsia="es-EC"/>
        </w:rPr>
        <w:t>, Dirección Nacional de Seguimiento y Evaluación</w:t>
      </w:r>
    </w:p>
    <w:p w14:paraId="11A9D4E1" w14:textId="77777777" w:rsidR="007B3093" w:rsidRDefault="007B3093">
      <w:pPr>
        <w:spacing w:line="360" w:lineRule="auto"/>
        <w:jc w:val="both"/>
      </w:pPr>
    </w:p>
    <w:p w14:paraId="3B587655" w14:textId="77777777" w:rsidR="007B3093" w:rsidRDefault="00000000">
      <w:pPr>
        <w:spacing w:line="360" w:lineRule="auto"/>
        <w:jc w:val="both"/>
      </w:pPr>
      <w:r>
        <w:t xml:space="preserve">Es importante mencionar que en 2022 se reportó la ejecución de una actividad adicional por lo que se superó la meta de las 4 actividades, llegando al cumplimiento del 17,50% superando el 14% programado, lo cual incidió en el cumplimiento global con corte a 2022 pasando de 51,38% al 54,88%, sumado al cumplimiento de 2023 y 2024, en </w:t>
      </w:r>
      <w:proofErr w:type="spellStart"/>
      <w:r>
        <w:t>SIPeIP</w:t>
      </w:r>
      <w:proofErr w:type="spellEnd"/>
      <w:r>
        <w:t xml:space="preserve"> se muestra un avance del 85,55%.</w:t>
      </w:r>
    </w:p>
    <w:p w14:paraId="4BC0765E" w14:textId="77777777" w:rsidR="007B3093" w:rsidRDefault="00000000">
      <w:pPr>
        <w:spacing w:line="360" w:lineRule="auto"/>
        <w:jc w:val="both"/>
      </w:pPr>
      <w:r>
        <w:t xml:space="preserve">Como efecto de la reprogramación que debe realizarse por la ampliación del proyecto hasta el año 2025, extensión conforme a Dictamen de Prioridad de agosto 2 de 2024, previo a la solicitud de Reprogramación del Cronograma valorado para 2025, año final de ejecución del proyecto, se ha procedido a la revisión de las metas en articulación entre el Equipo de Planificación y el equipo de Gestión del Proyecto, con la participación del Coordinador del PROFIP y la Dirección Nacional de Seguimiento y Evaluación institucional.  </w:t>
      </w:r>
    </w:p>
    <w:p w14:paraId="3189C5AC" w14:textId="77777777" w:rsidR="007B3093" w:rsidRDefault="00000000">
      <w:pPr>
        <w:spacing w:line="360" w:lineRule="auto"/>
        <w:jc w:val="both"/>
      </w:pPr>
      <w:r>
        <w:t xml:space="preserve">Producto de esta revisión se verificó cada una de las actividades programadas y realizadas en el marco del proyecto que a través de su ejecución han contribuido al cumplimiento de las metas físicas en cada componente, considerando efectivamente la realización de las actividades más no el devengamiento presupuestario. </w:t>
      </w:r>
    </w:p>
    <w:p w14:paraId="0D7122F1" w14:textId="77777777" w:rsidR="007B3093" w:rsidRDefault="00000000">
      <w:pPr>
        <w:spacing w:line="360" w:lineRule="auto"/>
        <w:jc w:val="both"/>
      </w:pPr>
      <w:r>
        <w:t>En tal sentido, se determinó que en el componente No. 1 y el No. 5, procede el ajuste del cálculo en función de la determinación del avance histórico real del proyecto, basado en el cumplimiento físico de las actividades de los componentes citados, así mismo con el componente No. 2 que registra actividades superior a la meta, únicamente se consideró el número total de actividades para el cumplimiento de la meta, lo cual se presenta en la siguiente matriz, de manera acumulada por cada componente y ejercicio fiscal:</w:t>
      </w:r>
    </w:p>
    <w:p w14:paraId="485627A8" w14:textId="77777777" w:rsidR="007B3093" w:rsidRDefault="007B3093">
      <w:pPr>
        <w:spacing w:line="360" w:lineRule="auto"/>
        <w:jc w:val="both"/>
      </w:pPr>
    </w:p>
    <w:p w14:paraId="2C3C2309" w14:textId="77777777" w:rsidR="007B3093" w:rsidRDefault="007B3093">
      <w:pPr>
        <w:spacing w:line="360" w:lineRule="auto"/>
        <w:jc w:val="both"/>
      </w:pPr>
    </w:p>
    <w:p w14:paraId="1A18E34B" w14:textId="77777777" w:rsidR="007B3093" w:rsidRDefault="007B3093">
      <w:pPr>
        <w:spacing w:line="360" w:lineRule="auto"/>
        <w:jc w:val="both"/>
      </w:pPr>
    </w:p>
    <w:p w14:paraId="47D4719D" w14:textId="77777777" w:rsidR="007B3093" w:rsidRDefault="007B3093">
      <w:pPr>
        <w:spacing w:line="360" w:lineRule="auto"/>
        <w:jc w:val="both"/>
      </w:pPr>
    </w:p>
    <w:p w14:paraId="3C1764CF" w14:textId="77777777" w:rsidR="007B3093" w:rsidRDefault="007B3093">
      <w:pPr>
        <w:spacing w:line="360" w:lineRule="auto"/>
        <w:jc w:val="both"/>
      </w:pPr>
    </w:p>
    <w:p w14:paraId="68832BB1" w14:textId="77777777" w:rsidR="007B3093" w:rsidRDefault="007B3093">
      <w:pPr>
        <w:spacing w:line="360" w:lineRule="auto"/>
        <w:jc w:val="both"/>
      </w:pPr>
    </w:p>
    <w:p w14:paraId="0B3024FB" w14:textId="77777777" w:rsidR="007B3093" w:rsidRDefault="00000000">
      <w:pPr>
        <w:spacing w:after="0" w:line="360" w:lineRule="auto"/>
        <w:jc w:val="center"/>
        <w:rPr>
          <w:rFonts w:eastAsia="Times New Roman" w:cstheme="minorHAnsi"/>
          <w:b/>
          <w:bCs/>
          <w:color w:val="000000"/>
          <w:lang w:eastAsia="es-EC"/>
        </w:rPr>
      </w:pPr>
      <w:r>
        <w:rPr>
          <w:rFonts w:eastAsia="Times New Roman" w:cstheme="minorHAnsi"/>
          <w:b/>
          <w:bCs/>
          <w:color w:val="000000"/>
          <w:lang w:eastAsia="es-EC"/>
        </w:rPr>
        <w:lastRenderedPageBreak/>
        <w:t>Tabla 46: Cumplimiento de las metas/componente conforme a dictamen de 2024</w:t>
      </w:r>
    </w:p>
    <w:tbl>
      <w:tblPr>
        <w:tblW w:w="5556" w:type="pct"/>
        <w:tblInd w:w="-471" w:type="dxa"/>
        <w:tblLayout w:type="fixed"/>
        <w:tblCellMar>
          <w:left w:w="70" w:type="dxa"/>
          <w:right w:w="70" w:type="dxa"/>
        </w:tblCellMar>
        <w:tblLook w:val="04A0" w:firstRow="1" w:lastRow="0" w:firstColumn="1" w:lastColumn="0" w:noHBand="0" w:noVBand="1"/>
      </w:tblPr>
      <w:tblGrid>
        <w:gridCol w:w="2897"/>
        <w:gridCol w:w="1074"/>
        <w:gridCol w:w="708"/>
        <w:gridCol w:w="850"/>
        <w:gridCol w:w="851"/>
        <w:gridCol w:w="850"/>
        <w:gridCol w:w="710"/>
        <w:gridCol w:w="708"/>
        <w:gridCol w:w="791"/>
      </w:tblGrid>
      <w:tr w:rsidR="007B3093" w14:paraId="16D067F2" w14:textId="77777777">
        <w:trPr>
          <w:trHeight w:val="542"/>
        </w:trPr>
        <w:tc>
          <w:tcPr>
            <w:tcW w:w="1535" w:type="pct"/>
            <w:tcBorders>
              <w:top w:val="single" w:sz="4" w:space="0" w:color="auto"/>
              <w:left w:val="single" w:sz="4" w:space="0" w:color="auto"/>
              <w:bottom w:val="single" w:sz="4" w:space="0" w:color="auto"/>
              <w:right w:val="nil"/>
            </w:tcBorders>
            <w:shd w:val="clear" w:color="000000" w:fill="FFF2CC"/>
            <w:noWrap/>
            <w:vAlign w:val="center"/>
            <w:hideMark/>
          </w:tcPr>
          <w:p w14:paraId="51077871"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COMPONENTES</w:t>
            </w:r>
          </w:p>
        </w:tc>
        <w:tc>
          <w:tcPr>
            <w:tcW w:w="569" w:type="pct"/>
            <w:tcBorders>
              <w:top w:val="single" w:sz="8" w:space="0" w:color="auto"/>
              <w:left w:val="single" w:sz="8" w:space="0" w:color="auto"/>
              <w:bottom w:val="single" w:sz="4" w:space="0" w:color="auto"/>
              <w:right w:val="single" w:sz="8" w:space="0" w:color="auto"/>
            </w:tcBorders>
            <w:shd w:val="clear" w:color="000000" w:fill="FFF2CC"/>
            <w:vAlign w:val="center"/>
            <w:hideMark/>
          </w:tcPr>
          <w:p w14:paraId="26A456ED"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Cambio Ponderación</w:t>
            </w:r>
          </w:p>
        </w:tc>
        <w:tc>
          <w:tcPr>
            <w:tcW w:w="375" w:type="pct"/>
            <w:tcBorders>
              <w:top w:val="single" w:sz="4" w:space="0" w:color="auto"/>
              <w:left w:val="nil"/>
              <w:bottom w:val="single" w:sz="4" w:space="0" w:color="auto"/>
              <w:right w:val="single" w:sz="4" w:space="0" w:color="auto"/>
            </w:tcBorders>
            <w:shd w:val="clear" w:color="000000" w:fill="FFF2CC"/>
            <w:noWrap/>
            <w:vAlign w:val="center"/>
            <w:hideMark/>
          </w:tcPr>
          <w:p w14:paraId="09A78DB4"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2019</w:t>
            </w:r>
          </w:p>
        </w:tc>
        <w:tc>
          <w:tcPr>
            <w:tcW w:w="450" w:type="pct"/>
            <w:tcBorders>
              <w:top w:val="single" w:sz="4" w:space="0" w:color="auto"/>
              <w:left w:val="nil"/>
              <w:bottom w:val="single" w:sz="4" w:space="0" w:color="auto"/>
              <w:right w:val="single" w:sz="4" w:space="0" w:color="auto"/>
            </w:tcBorders>
            <w:shd w:val="clear" w:color="000000" w:fill="FFF2CC"/>
            <w:noWrap/>
            <w:vAlign w:val="center"/>
            <w:hideMark/>
          </w:tcPr>
          <w:p w14:paraId="7BF3F06E"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2020</w:t>
            </w:r>
          </w:p>
        </w:tc>
        <w:tc>
          <w:tcPr>
            <w:tcW w:w="451" w:type="pct"/>
            <w:tcBorders>
              <w:top w:val="single" w:sz="4" w:space="0" w:color="auto"/>
              <w:left w:val="nil"/>
              <w:bottom w:val="single" w:sz="4" w:space="0" w:color="auto"/>
              <w:right w:val="single" w:sz="4" w:space="0" w:color="auto"/>
            </w:tcBorders>
            <w:shd w:val="clear" w:color="000000" w:fill="FFF2CC"/>
            <w:noWrap/>
            <w:vAlign w:val="center"/>
            <w:hideMark/>
          </w:tcPr>
          <w:p w14:paraId="585B9516"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2021</w:t>
            </w:r>
          </w:p>
        </w:tc>
        <w:tc>
          <w:tcPr>
            <w:tcW w:w="450" w:type="pct"/>
            <w:tcBorders>
              <w:top w:val="single" w:sz="4" w:space="0" w:color="auto"/>
              <w:left w:val="nil"/>
              <w:bottom w:val="single" w:sz="4" w:space="0" w:color="auto"/>
              <w:right w:val="single" w:sz="4" w:space="0" w:color="auto"/>
            </w:tcBorders>
            <w:shd w:val="clear" w:color="000000" w:fill="FFF2CC"/>
            <w:noWrap/>
            <w:vAlign w:val="center"/>
            <w:hideMark/>
          </w:tcPr>
          <w:p w14:paraId="4C7340D6"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2022</w:t>
            </w:r>
          </w:p>
        </w:tc>
        <w:tc>
          <w:tcPr>
            <w:tcW w:w="376" w:type="pct"/>
            <w:tcBorders>
              <w:top w:val="single" w:sz="4" w:space="0" w:color="auto"/>
              <w:left w:val="nil"/>
              <w:bottom w:val="single" w:sz="4" w:space="0" w:color="auto"/>
              <w:right w:val="single" w:sz="4" w:space="0" w:color="auto"/>
            </w:tcBorders>
            <w:shd w:val="clear" w:color="000000" w:fill="FFF2CC"/>
            <w:noWrap/>
            <w:vAlign w:val="center"/>
            <w:hideMark/>
          </w:tcPr>
          <w:p w14:paraId="7C8B3565"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2023</w:t>
            </w:r>
          </w:p>
        </w:tc>
        <w:tc>
          <w:tcPr>
            <w:tcW w:w="375" w:type="pct"/>
            <w:tcBorders>
              <w:top w:val="single" w:sz="4" w:space="0" w:color="auto"/>
              <w:left w:val="nil"/>
              <w:bottom w:val="single" w:sz="4" w:space="0" w:color="auto"/>
              <w:right w:val="single" w:sz="4" w:space="0" w:color="auto"/>
            </w:tcBorders>
            <w:shd w:val="clear" w:color="000000" w:fill="FFF2CC"/>
            <w:noWrap/>
            <w:vAlign w:val="center"/>
            <w:hideMark/>
          </w:tcPr>
          <w:p w14:paraId="038C53DD"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2024</w:t>
            </w:r>
          </w:p>
        </w:tc>
        <w:tc>
          <w:tcPr>
            <w:tcW w:w="419" w:type="pct"/>
            <w:tcBorders>
              <w:top w:val="single" w:sz="4" w:space="0" w:color="auto"/>
              <w:left w:val="nil"/>
              <w:bottom w:val="single" w:sz="4" w:space="0" w:color="auto"/>
              <w:right w:val="single" w:sz="4" w:space="0" w:color="auto"/>
            </w:tcBorders>
            <w:shd w:val="clear" w:color="000000" w:fill="FFF2CC"/>
            <w:noWrap/>
            <w:vAlign w:val="center"/>
            <w:hideMark/>
          </w:tcPr>
          <w:p w14:paraId="3979F59D"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2025</w:t>
            </w:r>
          </w:p>
        </w:tc>
      </w:tr>
      <w:tr w:rsidR="007B3093" w14:paraId="2AFB7579" w14:textId="77777777">
        <w:trPr>
          <w:trHeight w:val="271"/>
        </w:trPr>
        <w:tc>
          <w:tcPr>
            <w:tcW w:w="1535" w:type="pct"/>
            <w:tcBorders>
              <w:top w:val="nil"/>
              <w:left w:val="single" w:sz="4" w:space="0" w:color="auto"/>
              <w:bottom w:val="single" w:sz="4" w:space="0" w:color="auto"/>
              <w:right w:val="nil"/>
            </w:tcBorders>
            <w:shd w:val="clear" w:color="auto" w:fill="auto"/>
            <w:noWrap/>
            <w:vAlign w:val="center"/>
            <w:hideMark/>
          </w:tcPr>
          <w:p w14:paraId="54307592"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1:</w:t>
            </w:r>
            <w:r>
              <w:rPr>
                <w:rFonts w:ascii="Calibri" w:eastAsia="Times New Roman" w:hAnsi="Calibri" w:cs="Calibri"/>
                <w:color w:val="000000"/>
                <w:sz w:val="16"/>
                <w:szCs w:val="16"/>
                <w:lang w:eastAsia="es-EC"/>
              </w:rPr>
              <w:t xml:space="preserve"> Diseñar e implementar el modelo de gestión de la PGE.</w:t>
            </w:r>
          </w:p>
        </w:tc>
        <w:tc>
          <w:tcPr>
            <w:tcW w:w="569" w:type="pct"/>
            <w:tcBorders>
              <w:top w:val="nil"/>
              <w:left w:val="single" w:sz="8" w:space="0" w:color="auto"/>
              <w:bottom w:val="single" w:sz="4" w:space="0" w:color="auto"/>
              <w:right w:val="single" w:sz="8" w:space="0" w:color="auto"/>
            </w:tcBorders>
            <w:shd w:val="clear" w:color="000000" w:fill="EDEDED"/>
            <w:noWrap/>
            <w:vAlign w:val="center"/>
            <w:hideMark/>
          </w:tcPr>
          <w:p w14:paraId="621B46E4"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64,50</w:t>
            </w:r>
          </w:p>
        </w:tc>
        <w:tc>
          <w:tcPr>
            <w:tcW w:w="375" w:type="pct"/>
            <w:tcBorders>
              <w:top w:val="nil"/>
              <w:left w:val="nil"/>
              <w:bottom w:val="single" w:sz="4" w:space="0" w:color="auto"/>
              <w:right w:val="single" w:sz="4" w:space="0" w:color="auto"/>
            </w:tcBorders>
            <w:shd w:val="clear" w:color="auto" w:fill="auto"/>
            <w:noWrap/>
            <w:vAlign w:val="center"/>
            <w:hideMark/>
          </w:tcPr>
          <w:p w14:paraId="4B7B8566"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450" w:type="pct"/>
            <w:tcBorders>
              <w:top w:val="nil"/>
              <w:left w:val="nil"/>
              <w:bottom w:val="single" w:sz="4" w:space="0" w:color="auto"/>
              <w:right w:val="single" w:sz="4" w:space="0" w:color="auto"/>
            </w:tcBorders>
            <w:shd w:val="clear" w:color="auto" w:fill="auto"/>
            <w:noWrap/>
            <w:vAlign w:val="center"/>
            <w:hideMark/>
          </w:tcPr>
          <w:p w14:paraId="5CB97B76"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6,45</w:t>
            </w:r>
          </w:p>
        </w:tc>
        <w:tc>
          <w:tcPr>
            <w:tcW w:w="451" w:type="pct"/>
            <w:tcBorders>
              <w:top w:val="nil"/>
              <w:left w:val="nil"/>
              <w:bottom w:val="single" w:sz="4" w:space="0" w:color="auto"/>
              <w:right w:val="single" w:sz="4" w:space="0" w:color="auto"/>
            </w:tcBorders>
            <w:shd w:val="clear" w:color="auto" w:fill="auto"/>
            <w:noWrap/>
            <w:vAlign w:val="center"/>
            <w:hideMark/>
          </w:tcPr>
          <w:p w14:paraId="52C23CC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15,48</w:t>
            </w:r>
          </w:p>
        </w:tc>
        <w:tc>
          <w:tcPr>
            <w:tcW w:w="450" w:type="pct"/>
            <w:tcBorders>
              <w:top w:val="nil"/>
              <w:left w:val="nil"/>
              <w:bottom w:val="single" w:sz="4" w:space="0" w:color="auto"/>
              <w:right w:val="single" w:sz="4" w:space="0" w:color="auto"/>
            </w:tcBorders>
            <w:shd w:val="clear" w:color="auto" w:fill="auto"/>
            <w:noWrap/>
            <w:vAlign w:val="center"/>
            <w:hideMark/>
          </w:tcPr>
          <w:p w14:paraId="00A363A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9,03</w:t>
            </w:r>
          </w:p>
        </w:tc>
        <w:tc>
          <w:tcPr>
            <w:tcW w:w="376" w:type="pct"/>
            <w:tcBorders>
              <w:top w:val="nil"/>
              <w:left w:val="nil"/>
              <w:bottom w:val="single" w:sz="4" w:space="0" w:color="auto"/>
              <w:right w:val="single" w:sz="4" w:space="0" w:color="auto"/>
            </w:tcBorders>
            <w:shd w:val="clear" w:color="auto" w:fill="auto"/>
            <w:noWrap/>
            <w:vAlign w:val="center"/>
            <w:hideMark/>
          </w:tcPr>
          <w:p w14:paraId="17320B8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4,52</w:t>
            </w:r>
          </w:p>
        </w:tc>
        <w:tc>
          <w:tcPr>
            <w:tcW w:w="375" w:type="pct"/>
            <w:tcBorders>
              <w:top w:val="nil"/>
              <w:left w:val="nil"/>
              <w:bottom w:val="single" w:sz="4" w:space="0" w:color="auto"/>
              <w:right w:val="single" w:sz="4" w:space="0" w:color="auto"/>
            </w:tcBorders>
            <w:shd w:val="clear" w:color="auto" w:fill="auto"/>
            <w:noWrap/>
            <w:vAlign w:val="center"/>
            <w:hideMark/>
          </w:tcPr>
          <w:p w14:paraId="75F207EC"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4,52</w:t>
            </w:r>
          </w:p>
        </w:tc>
        <w:tc>
          <w:tcPr>
            <w:tcW w:w="419" w:type="pct"/>
            <w:tcBorders>
              <w:top w:val="nil"/>
              <w:left w:val="nil"/>
              <w:bottom w:val="single" w:sz="4" w:space="0" w:color="auto"/>
              <w:right w:val="single" w:sz="4" w:space="0" w:color="auto"/>
            </w:tcBorders>
            <w:shd w:val="clear" w:color="auto" w:fill="auto"/>
            <w:noWrap/>
            <w:vAlign w:val="center"/>
            <w:hideMark/>
          </w:tcPr>
          <w:p w14:paraId="6126DD0F"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24,51</w:t>
            </w:r>
          </w:p>
        </w:tc>
      </w:tr>
      <w:tr w:rsidR="007B3093" w14:paraId="1153F1C4" w14:textId="77777777">
        <w:trPr>
          <w:trHeight w:val="271"/>
        </w:trPr>
        <w:tc>
          <w:tcPr>
            <w:tcW w:w="1535" w:type="pct"/>
            <w:tcBorders>
              <w:top w:val="nil"/>
              <w:left w:val="single" w:sz="4" w:space="0" w:color="auto"/>
              <w:bottom w:val="single" w:sz="4" w:space="0" w:color="auto"/>
              <w:right w:val="nil"/>
            </w:tcBorders>
            <w:shd w:val="clear" w:color="auto" w:fill="auto"/>
            <w:noWrap/>
            <w:vAlign w:val="center"/>
            <w:hideMark/>
          </w:tcPr>
          <w:p w14:paraId="0BD66173"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2:</w:t>
            </w:r>
            <w:r>
              <w:rPr>
                <w:rFonts w:ascii="Calibri" w:eastAsia="Times New Roman" w:hAnsi="Calibri" w:cs="Calibri"/>
                <w:color w:val="000000"/>
                <w:sz w:val="16"/>
                <w:szCs w:val="16"/>
                <w:lang w:eastAsia="es-EC"/>
              </w:rPr>
              <w:t xml:space="preserve"> Fortalecer la Defensa legal del Estado</w:t>
            </w:r>
          </w:p>
        </w:tc>
        <w:tc>
          <w:tcPr>
            <w:tcW w:w="569" w:type="pct"/>
            <w:tcBorders>
              <w:top w:val="nil"/>
              <w:left w:val="single" w:sz="8" w:space="0" w:color="auto"/>
              <w:bottom w:val="single" w:sz="4" w:space="0" w:color="auto"/>
              <w:right w:val="single" w:sz="8" w:space="0" w:color="auto"/>
            </w:tcBorders>
            <w:shd w:val="clear" w:color="000000" w:fill="EDEDED"/>
            <w:noWrap/>
            <w:vAlign w:val="center"/>
            <w:hideMark/>
          </w:tcPr>
          <w:p w14:paraId="3A653EFC"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14,00</w:t>
            </w:r>
          </w:p>
        </w:tc>
        <w:tc>
          <w:tcPr>
            <w:tcW w:w="375" w:type="pct"/>
            <w:tcBorders>
              <w:top w:val="nil"/>
              <w:left w:val="nil"/>
              <w:bottom w:val="single" w:sz="4" w:space="0" w:color="auto"/>
              <w:right w:val="single" w:sz="4" w:space="0" w:color="auto"/>
            </w:tcBorders>
            <w:shd w:val="clear" w:color="auto" w:fill="auto"/>
            <w:noWrap/>
            <w:vAlign w:val="center"/>
            <w:hideMark/>
          </w:tcPr>
          <w:p w14:paraId="592E2AF4"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450" w:type="pct"/>
            <w:tcBorders>
              <w:top w:val="nil"/>
              <w:left w:val="nil"/>
              <w:bottom w:val="single" w:sz="4" w:space="0" w:color="auto"/>
              <w:right w:val="single" w:sz="4" w:space="0" w:color="auto"/>
            </w:tcBorders>
            <w:shd w:val="clear" w:color="auto" w:fill="auto"/>
            <w:noWrap/>
            <w:vAlign w:val="center"/>
            <w:hideMark/>
          </w:tcPr>
          <w:p w14:paraId="5B32B19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3,50</w:t>
            </w:r>
          </w:p>
        </w:tc>
        <w:tc>
          <w:tcPr>
            <w:tcW w:w="451" w:type="pct"/>
            <w:tcBorders>
              <w:top w:val="nil"/>
              <w:left w:val="nil"/>
              <w:bottom w:val="single" w:sz="4" w:space="0" w:color="auto"/>
              <w:right w:val="single" w:sz="4" w:space="0" w:color="auto"/>
            </w:tcBorders>
            <w:shd w:val="clear" w:color="auto" w:fill="auto"/>
            <w:noWrap/>
            <w:vAlign w:val="center"/>
            <w:hideMark/>
          </w:tcPr>
          <w:p w14:paraId="42D33390"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7,00</w:t>
            </w:r>
          </w:p>
        </w:tc>
        <w:tc>
          <w:tcPr>
            <w:tcW w:w="450" w:type="pct"/>
            <w:tcBorders>
              <w:top w:val="nil"/>
              <w:left w:val="nil"/>
              <w:bottom w:val="single" w:sz="4" w:space="0" w:color="auto"/>
              <w:right w:val="single" w:sz="4" w:space="0" w:color="auto"/>
            </w:tcBorders>
            <w:shd w:val="clear" w:color="auto" w:fill="auto"/>
            <w:noWrap/>
            <w:vAlign w:val="center"/>
            <w:hideMark/>
          </w:tcPr>
          <w:p w14:paraId="3B6DE904"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3,50</w:t>
            </w:r>
          </w:p>
        </w:tc>
        <w:tc>
          <w:tcPr>
            <w:tcW w:w="376" w:type="pct"/>
            <w:tcBorders>
              <w:top w:val="nil"/>
              <w:left w:val="nil"/>
              <w:bottom w:val="single" w:sz="4" w:space="0" w:color="auto"/>
              <w:right w:val="single" w:sz="4" w:space="0" w:color="auto"/>
            </w:tcBorders>
            <w:shd w:val="clear" w:color="auto" w:fill="auto"/>
            <w:noWrap/>
            <w:vAlign w:val="center"/>
            <w:hideMark/>
          </w:tcPr>
          <w:p w14:paraId="0290FFC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c>
          <w:tcPr>
            <w:tcW w:w="375" w:type="pct"/>
            <w:tcBorders>
              <w:top w:val="nil"/>
              <w:left w:val="nil"/>
              <w:bottom w:val="single" w:sz="4" w:space="0" w:color="auto"/>
              <w:right w:val="single" w:sz="4" w:space="0" w:color="auto"/>
            </w:tcBorders>
            <w:shd w:val="clear" w:color="auto" w:fill="auto"/>
            <w:noWrap/>
            <w:vAlign w:val="center"/>
            <w:hideMark/>
          </w:tcPr>
          <w:p w14:paraId="0FB1D136"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c>
          <w:tcPr>
            <w:tcW w:w="419" w:type="pct"/>
            <w:tcBorders>
              <w:top w:val="nil"/>
              <w:left w:val="nil"/>
              <w:bottom w:val="single" w:sz="4" w:space="0" w:color="auto"/>
              <w:right w:val="single" w:sz="4" w:space="0" w:color="auto"/>
            </w:tcBorders>
            <w:shd w:val="clear" w:color="auto" w:fill="auto"/>
            <w:noWrap/>
            <w:vAlign w:val="center"/>
            <w:hideMark/>
          </w:tcPr>
          <w:p w14:paraId="33B3BC84"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r>
      <w:tr w:rsidR="007B3093" w14:paraId="0DF0F181" w14:textId="77777777">
        <w:trPr>
          <w:trHeight w:val="271"/>
        </w:trPr>
        <w:tc>
          <w:tcPr>
            <w:tcW w:w="1535" w:type="pct"/>
            <w:tcBorders>
              <w:top w:val="nil"/>
              <w:left w:val="single" w:sz="4" w:space="0" w:color="auto"/>
              <w:bottom w:val="single" w:sz="4" w:space="0" w:color="auto"/>
              <w:right w:val="nil"/>
            </w:tcBorders>
            <w:shd w:val="clear" w:color="auto" w:fill="auto"/>
            <w:noWrap/>
            <w:vAlign w:val="center"/>
            <w:hideMark/>
          </w:tcPr>
          <w:p w14:paraId="5C6EAF90"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3:</w:t>
            </w:r>
            <w:r>
              <w:rPr>
                <w:rFonts w:ascii="Calibri" w:eastAsia="Times New Roman" w:hAnsi="Calibri" w:cs="Calibri"/>
                <w:color w:val="000000"/>
                <w:sz w:val="16"/>
                <w:szCs w:val="16"/>
                <w:lang w:eastAsia="es-EC"/>
              </w:rPr>
              <w:t xml:space="preserve"> Fortalecer la capacidad de asesoría y respuesta a consultas legales de la PGE.</w:t>
            </w:r>
          </w:p>
        </w:tc>
        <w:tc>
          <w:tcPr>
            <w:tcW w:w="569" w:type="pct"/>
            <w:tcBorders>
              <w:top w:val="nil"/>
              <w:left w:val="single" w:sz="8" w:space="0" w:color="auto"/>
              <w:bottom w:val="single" w:sz="4" w:space="0" w:color="auto"/>
              <w:right w:val="single" w:sz="8" w:space="0" w:color="auto"/>
            </w:tcBorders>
            <w:shd w:val="clear" w:color="000000" w:fill="EDEDED"/>
            <w:noWrap/>
            <w:vAlign w:val="center"/>
            <w:hideMark/>
          </w:tcPr>
          <w:p w14:paraId="1D520C78"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11,00</w:t>
            </w:r>
          </w:p>
        </w:tc>
        <w:tc>
          <w:tcPr>
            <w:tcW w:w="375" w:type="pct"/>
            <w:tcBorders>
              <w:top w:val="nil"/>
              <w:left w:val="nil"/>
              <w:bottom w:val="single" w:sz="4" w:space="0" w:color="auto"/>
              <w:right w:val="single" w:sz="4" w:space="0" w:color="auto"/>
            </w:tcBorders>
            <w:shd w:val="clear" w:color="auto" w:fill="auto"/>
            <w:noWrap/>
            <w:vAlign w:val="center"/>
            <w:hideMark/>
          </w:tcPr>
          <w:p w14:paraId="6FB5134F"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450" w:type="pct"/>
            <w:tcBorders>
              <w:top w:val="nil"/>
              <w:left w:val="nil"/>
              <w:bottom w:val="single" w:sz="4" w:space="0" w:color="auto"/>
              <w:right w:val="single" w:sz="4" w:space="0" w:color="auto"/>
            </w:tcBorders>
            <w:shd w:val="clear" w:color="auto" w:fill="auto"/>
            <w:noWrap/>
            <w:vAlign w:val="center"/>
            <w:hideMark/>
          </w:tcPr>
          <w:p w14:paraId="10B2B4FD"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2,75</w:t>
            </w:r>
          </w:p>
        </w:tc>
        <w:tc>
          <w:tcPr>
            <w:tcW w:w="451" w:type="pct"/>
            <w:tcBorders>
              <w:top w:val="nil"/>
              <w:left w:val="nil"/>
              <w:bottom w:val="single" w:sz="4" w:space="0" w:color="auto"/>
              <w:right w:val="single" w:sz="4" w:space="0" w:color="auto"/>
            </w:tcBorders>
            <w:shd w:val="clear" w:color="auto" w:fill="auto"/>
            <w:noWrap/>
            <w:vAlign w:val="center"/>
            <w:hideMark/>
          </w:tcPr>
          <w:p w14:paraId="32D607F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450" w:type="pct"/>
            <w:tcBorders>
              <w:top w:val="nil"/>
              <w:left w:val="nil"/>
              <w:bottom w:val="single" w:sz="4" w:space="0" w:color="auto"/>
              <w:right w:val="single" w:sz="4" w:space="0" w:color="auto"/>
            </w:tcBorders>
            <w:shd w:val="clear" w:color="auto" w:fill="auto"/>
            <w:noWrap/>
            <w:vAlign w:val="center"/>
            <w:hideMark/>
          </w:tcPr>
          <w:p w14:paraId="57FCF941"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5,50</w:t>
            </w:r>
          </w:p>
        </w:tc>
        <w:tc>
          <w:tcPr>
            <w:tcW w:w="376" w:type="pct"/>
            <w:tcBorders>
              <w:top w:val="nil"/>
              <w:left w:val="nil"/>
              <w:bottom w:val="single" w:sz="4" w:space="0" w:color="auto"/>
              <w:right w:val="single" w:sz="4" w:space="0" w:color="auto"/>
            </w:tcBorders>
            <w:shd w:val="clear" w:color="auto" w:fill="auto"/>
            <w:noWrap/>
            <w:vAlign w:val="center"/>
            <w:hideMark/>
          </w:tcPr>
          <w:p w14:paraId="1EF320FC"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2,75</w:t>
            </w:r>
          </w:p>
        </w:tc>
        <w:tc>
          <w:tcPr>
            <w:tcW w:w="375" w:type="pct"/>
            <w:tcBorders>
              <w:top w:val="nil"/>
              <w:left w:val="nil"/>
              <w:bottom w:val="single" w:sz="4" w:space="0" w:color="auto"/>
              <w:right w:val="single" w:sz="4" w:space="0" w:color="auto"/>
            </w:tcBorders>
            <w:shd w:val="clear" w:color="auto" w:fill="auto"/>
            <w:noWrap/>
            <w:vAlign w:val="center"/>
            <w:hideMark/>
          </w:tcPr>
          <w:p w14:paraId="70452C60"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c>
          <w:tcPr>
            <w:tcW w:w="419" w:type="pct"/>
            <w:tcBorders>
              <w:top w:val="nil"/>
              <w:left w:val="nil"/>
              <w:bottom w:val="single" w:sz="4" w:space="0" w:color="auto"/>
              <w:right w:val="single" w:sz="4" w:space="0" w:color="auto"/>
            </w:tcBorders>
            <w:shd w:val="clear" w:color="auto" w:fill="auto"/>
            <w:noWrap/>
            <w:vAlign w:val="center"/>
            <w:hideMark/>
          </w:tcPr>
          <w:p w14:paraId="28C44DFF"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r>
      <w:tr w:rsidR="007B3093" w14:paraId="01CF66EA" w14:textId="77777777">
        <w:trPr>
          <w:trHeight w:val="576"/>
        </w:trPr>
        <w:tc>
          <w:tcPr>
            <w:tcW w:w="1535" w:type="pct"/>
            <w:tcBorders>
              <w:top w:val="nil"/>
              <w:left w:val="single" w:sz="4" w:space="0" w:color="auto"/>
              <w:bottom w:val="single" w:sz="4" w:space="0" w:color="auto"/>
              <w:right w:val="nil"/>
            </w:tcBorders>
            <w:shd w:val="clear" w:color="auto" w:fill="auto"/>
            <w:noWrap/>
            <w:vAlign w:val="center"/>
            <w:hideMark/>
          </w:tcPr>
          <w:p w14:paraId="6F6D8860"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4:</w:t>
            </w:r>
            <w:r>
              <w:rPr>
                <w:rFonts w:ascii="Calibri" w:eastAsia="Times New Roman" w:hAnsi="Calibri" w:cs="Calibri"/>
                <w:color w:val="000000"/>
                <w:sz w:val="16"/>
                <w:szCs w:val="16"/>
                <w:lang w:eastAsia="es-EC"/>
              </w:rPr>
              <w:t xml:space="preserve"> Fortalecer los centros de mediación de la PGE.</w:t>
            </w:r>
          </w:p>
        </w:tc>
        <w:tc>
          <w:tcPr>
            <w:tcW w:w="569" w:type="pct"/>
            <w:tcBorders>
              <w:top w:val="nil"/>
              <w:left w:val="single" w:sz="8" w:space="0" w:color="auto"/>
              <w:bottom w:val="single" w:sz="4" w:space="0" w:color="auto"/>
              <w:right w:val="single" w:sz="8" w:space="0" w:color="auto"/>
            </w:tcBorders>
            <w:shd w:val="clear" w:color="000000" w:fill="EDEDED"/>
            <w:noWrap/>
            <w:vAlign w:val="center"/>
            <w:hideMark/>
          </w:tcPr>
          <w:p w14:paraId="5815B2A6"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4,50</w:t>
            </w:r>
          </w:p>
        </w:tc>
        <w:tc>
          <w:tcPr>
            <w:tcW w:w="375" w:type="pct"/>
            <w:tcBorders>
              <w:top w:val="nil"/>
              <w:left w:val="nil"/>
              <w:bottom w:val="single" w:sz="4" w:space="0" w:color="auto"/>
              <w:right w:val="single" w:sz="4" w:space="0" w:color="auto"/>
            </w:tcBorders>
            <w:shd w:val="clear" w:color="auto" w:fill="auto"/>
            <w:noWrap/>
            <w:vAlign w:val="center"/>
            <w:hideMark/>
          </w:tcPr>
          <w:p w14:paraId="53737A2C"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450" w:type="pct"/>
            <w:tcBorders>
              <w:top w:val="nil"/>
              <w:left w:val="nil"/>
              <w:bottom w:val="single" w:sz="4" w:space="0" w:color="auto"/>
              <w:right w:val="single" w:sz="4" w:space="0" w:color="auto"/>
            </w:tcBorders>
            <w:shd w:val="clear" w:color="auto" w:fill="auto"/>
            <w:noWrap/>
            <w:vAlign w:val="center"/>
            <w:hideMark/>
          </w:tcPr>
          <w:p w14:paraId="1022CB18"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451" w:type="pct"/>
            <w:tcBorders>
              <w:top w:val="nil"/>
              <w:left w:val="nil"/>
              <w:bottom w:val="single" w:sz="4" w:space="0" w:color="auto"/>
              <w:right w:val="single" w:sz="4" w:space="0" w:color="auto"/>
            </w:tcBorders>
            <w:shd w:val="clear" w:color="auto" w:fill="auto"/>
            <w:noWrap/>
            <w:vAlign w:val="center"/>
            <w:hideMark/>
          </w:tcPr>
          <w:p w14:paraId="21D61AC8"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450" w:type="pct"/>
            <w:tcBorders>
              <w:top w:val="nil"/>
              <w:left w:val="nil"/>
              <w:bottom w:val="single" w:sz="4" w:space="0" w:color="auto"/>
              <w:right w:val="single" w:sz="4" w:space="0" w:color="auto"/>
            </w:tcBorders>
            <w:shd w:val="clear" w:color="auto" w:fill="auto"/>
            <w:noWrap/>
            <w:vAlign w:val="center"/>
            <w:hideMark/>
          </w:tcPr>
          <w:p w14:paraId="2DCE33F0"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1,50</w:t>
            </w:r>
          </w:p>
        </w:tc>
        <w:tc>
          <w:tcPr>
            <w:tcW w:w="376" w:type="pct"/>
            <w:tcBorders>
              <w:top w:val="nil"/>
              <w:left w:val="nil"/>
              <w:bottom w:val="single" w:sz="4" w:space="0" w:color="auto"/>
              <w:right w:val="single" w:sz="4" w:space="0" w:color="auto"/>
            </w:tcBorders>
            <w:shd w:val="clear" w:color="auto" w:fill="auto"/>
            <w:noWrap/>
            <w:vAlign w:val="center"/>
            <w:hideMark/>
          </w:tcPr>
          <w:p w14:paraId="5AAB4A63"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c>
          <w:tcPr>
            <w:tcW w:w="375" w:type="pct"/>
            <w:tcBorders>
              <w:top w:val="nil"/>
              <w:left w:val="nil"/>
              <w:bottom w:val="single" w:sz="4" w:space="0" w:color="auto"/>
              <w:right w:val="single" w:sz="4" w:space="0" w:color="auto"/>
            </w:tcBorders>
            <w:shd w:val="clear" w:color="auto" w:fill="auto"/>
            <w:noWrap/>
            <w:vAlign w:val="center"/>
            <w:hideMark/>
          </w:tcPr>
          <w:p w14:paraId="7851ADC0"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1,50</w:t>
            </w:r>
          </w:p>
        </w:tc>
        <w:tc>
          <w:tcPr>
            <w:tcW w:w="419" w:type="pct"/>
            <w:tcBorders>
              <w:top w:val="nil"/>
              <w:left w:val="nil"/>
              <w:bottom w:val="single" w:sz="4" w:space="0" w:color="auto"/>
              <w:right w:val="single" w:sz="4" w:space="0" w:color="auto"/>
            </w:tcBorders>
            <w:shd w:val="clear" w:color="auto" w:fill="auto"/>
            <w:noWrap/>
            <w:vAlign w:val="center"/>
            <w:hideMark/>
          </w:tcPr>
          <w:p w14:paraId="70838D44"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1,50</w:t>
            </w:r>
          </w:p>
        </w:tc>
      </w:tr>
      <w:tr w:rsidR="007B3093" w14:paraId="3E76B1B6" w14:textId="77777777">
        <w:trPr>
          <w:trHeight w:val="271"/>
        </w:trPr>
        <w:tc>
          <w:tcPr>
            <w:tcW w:w="1535" w:type="pct"/>
            <w:tcBorders>
              <w:top w:val="nil"/>
              <w:left w:val="single" w:sz="4" w:space="0" w:color="auto"/>
              <w:bottom w:val="single" w:sz="4" w:space="0" w:color="auto"/>
              <w:right w:val="nil"/>
            </w:tcBorders>
            <w:shd w:val="clear" w:color="auto" w:fill="auto"/>
            <w:noWrap/>
            <w:vAlign w:val="center"/>
            <w:hideMark/>
          </w:tcPr>
          <w:p w14:paraId="0CABC034" w14:textId="77777777" w:rsidR="007B3093" w:rsidRDefault="00000000">
            <w:pPr>
              <w:spacing w:after="0" w:line="240" w:lineRule="auto"/>
              <w:rPr>
                <w:rFonts w:ascii="Calibri" w:eastAsia="Times New Roman" w:hAnsi="Calibri" w:cs="Calibri"/>
                <w:color w:val="000000"/>
                <w:sz w:val="16"/>
                <w:szCs w:val="16"/>
                <w:lang w:eastAsia="es-EC"/>
              </w:rPr>
            </w:pPr>
            <w:r>
              <w:rPr>
                <w:rFonts w:ascii="Calibri" w:eastAsia="Times New Roman" w:hAnsi="Calibri" w:cs="Calibri"/>
                <w:b/>
                <w:color w:val="000000"/>
                <w:sz w:val="16"/>
                <w:szCs w:val="16"/>
                <w:lang w:eastAsia="es-EC"/>
              </w:rPr>
              <w:t>Componente 5:</w:t>
            </w:r>
            <w:r>
              <w:rPr>
                <w:rFonts w:ascii="Calibri" w:eastAsia="Times New Roman" w:hAnsi="Calibri" w:cs="Calibri"/>
                <w:color w:val="000000"/>
                <w:sz w:val="16"/>
                <w:szCs w:val="16"/>
                <w:lang w:eastAsia="es-EC"/>
              </w:rPr>
              <w:t xml:space="preserve"> Diseñar e implementar la estrategia de comunicación de la PGE.</w:t>
            </w:r>
          </w:p>
        </w:tc>
        <w:tc>
          <w:tcPr>
            <w:tcW w:w="569" w:type="pct"/>
            <w:tcBorders>
              <w:top w:val="nil"/>
              <w:left w:val="single" w:sz="8" w:space="0" w:color="auto"/>
              <w:bottom w:val="single" w:sz="4" w:space="0" w:color="auto"/>
              <w:right w:val="single" w:sz="8" w:space="0" w:color="auto"/>
            </w:tcBorders>
            <w:shd w:val="clear" w:color="000000" w:fill="EDEDED"/>
            <w:noWrap/>
            <w:vAlign w:val="center"/>
            <w:hideMark/>
          </w:tcPr>
          <w:p w14:paraId="33F95047"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6,00</w:t>
            </w:r>
          </w:p>
        </w:tc>
        <w:tc>
          <w:tcPr>
            <w:tcW w:w="375" w:type="pct"/>
            <w:tcBorders>
              <w:top w:val="nil"/>
              <w:left w:val="nil"/>
              <w:bottom w:val="single" w:sz="4" w:space="0" w:color="auto"/>
              <w:right w:val="single" w:sz="4" w:space="0" w:color="auto"/>
            </w:tcBorders>
            <w:shd w:val="clear" w:color="auto" w:fill="auto"/>
            <w:noWrap/>
            <w:vAlign w:val="center"/>
            <w:hideMark/>
          </w:tcPr>
          <w:p w14:paraId="7E8985E7"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0,00</w:t>
            </w:r>
          </w:p>
        </w:tc>
        <w:tc>
          <w:tcPr>
            <w:tcW w:w="450" w:type="pct"/>
            <w:tcBorders>
              <w:top w:val="nil"/>
              <w:left w:val="nil"/>
              <w:bottom w:val="single" w:sz="4" w:space="0" w:color="auto"/>
              <w:right w:val="single" w:sz="4" w:space="0" w:color="auto"/>
            </w:tcBorders>
            <w:shd w:val="clear" w:color="auto" w:fill="auto"/>
            <w:noWrap/>
            <w:vAlign w:val="center"/>
            <w:hideMark/>
          </w:tcPr>
          <w:p w14:paraId="7CE2E2D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1,02</w:t>
            </w:r>
          </w:p>
        </w:tc>
        <w:tc>
          <w:tcPr>
            <w:tcW w:w="451" w:type="pct"/>
            <w:tcBorders>
              <w:top w:val="nil"/>
              <w:left w:val="nil"/>
              <w:bottom w:val="single" w:sz="4" w:space="0" w:color="auto"/>
              <w:right w:val="single" w:sz="4" w:space="0" w:color="auto"/>
            </w:tcBorders>
            <w:shd w:val="clear" w:color="auto" w:fill="auto"/>
            <w:noWrap/>
            <w:vAlign w:val="center"/>
            <w:hideMark/>
          </w:tcPr>
          <w:p w14:paraId="27264F1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1,02</w:t>
            </w:r>
          </w:p>
        </w:tc>
        <w:tc>
          <w:tcPr>
            <w:tcW w:w="450" w:type="pct"/>
            <w:tcBorders>
              <w:top w:val="nil"/>
              <w:left w:val="nil"/>
              <w:bottom w:val="single" w:sz="4" w:space="0" w:color="auto"/>
              <w:right w:val="single" w:sz="4" w:space="0" w:color="auto"/>
            </w:tcBorders>
            <w:shd w:val="clear" w:color="auto" w:fill="auto"/>
            <w:noWrap/>
            <w:vAlign w:val="center"/>
            <w:hideMark/>
          </w:tcPr>
          <w:p w14:paraId="03B5FE1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1,02</w:t>
            </w:r>
          </w:p>
        </w:tc>
        <w:tc>
          <w:tcPr>
            <w:tcW w:w="376" w:type="pct"/>
            <w:tcBorders>
              <w:top w:val="nil"/>
              <w:left w:val="nil"/>
              <w:bottom w:val="single" w:sz="4" w:space="0" w:color="auto"/>
              <w:right w:val="single" w:sz="4" w:space="0" w:color="auto"/>
            </w:tcBorders>
            <w:shd w:val="clear" w:color="auto" w:fill="auto"/>
            <w:noWrap/>
            <w:vAlign w:val="center"/>
            <w:hideMark/>
          </w:tcPr>
          <w:p w14:paraId="77E1FADE"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1,02</w:t>
            </w:r>
          </w:p>
        </w:tc>
        <w:tc>
          <w:tcPr>
            <w:tcW w:w="375" w:type="pct"/>
            <w:tcBorders>
              <w:top w:val="nil"/>
              <w:left w:val="nil"/>
              <w:bottom w:val="single" w:sz="4" w:space="0" w:color="auto"/>
              <w:right w:val="single" w:sz="4" w:space="0" w:color="auto"/>
            </w:tcBorders>
            <w:shd w:val="clear" w:color="auto" w:fill="auto"/>
            <w:noWrap/>
            <w:vAlign w:val="center"/>
            <w:hideMark/>
          </w:tcPr>
          <w:p w14:paraId="3362052B"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0</w:t>
            </w:r>
          </w:p>
        </w:tc>
        <w:tc>
          <w:tcPr>
            <w:tcW w:w="419" w:type="pct"/>
            <w:tcBorders>
              <w:top w:val="nil"/>
              <w:left w:val="nil"/>
              <w:bottom w:val="single" w:sz="4" w:space="0" w:color="auto"/>
              <w:right w:val="single" w:sz="4" w:space="0" w:color="auto"/>
            </w:tcBorders>
            <w:shd w:val="clear" w:color="auto" w:fill="auto"/>
            <w:noWrap/>
            <w:vAlign w:val="center"/>
            <w:hideMark/>
          </w:tcPr>
          <w:p w14:paraId="526D1976" w14:textId="77777777" w:rsidR="007B3093" w:rsidRDefault="00000000">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1,92</w:t>
            </w:r>
          </w:p>
        </w:tc>
      </w:tr>
      <w:tr w:rsidR="007B3093" w14:paraId="7C029DC9" w14:textId="77777777">
        <w:trPr>
          <w:trHeight w:val="282"/>
        </w:trPr>
        <w:tc>
          <w:tcPr>
            <w:tcW w:w="1535" w:type="pct"/>
            <w:tcBorders>
              <w:top w:val="nil"/>
              <w:left w:val="single" w:sz="4" w:space="0" w:color="auto"/>
              <w:bottom w:val="single" w:sz="4" w:space="0" w:color="auto"/>
              <w:right w:val="nil"/>
            </w:tcBorders>
            <w:shd w:val="clear" w:color="auto" w:fill="auto"/>
            <w:noWrap/>
            <w:vAlign w:val="center"/>
            <w:hideMark/>
          </w:tcPr>
          <w:p w14:paraId="6A8C77E5" w14:textId="77777777" w:rsidR="007B3093" w:rsidRDefault="00000000">
            <w:pPr>
              <w:spacing w:after="0" w:line="240" w:lineRule="auto"/>
              <w:jc w:val="center"/>
              <w:rPr>
                <w:rFonts w:ascii="Calibri" w:eastAsia="Times New Roman" w:hAnsi="Calibri" w:cs="Calibri"/>
                <w:b/>
                <w:color w:val="000000"/>
                <w:sz w:val="16"/>
                <w:szCs w:val="16"/>
                <w:lang w:eastAsia="es-EC"/>
              </w:rPr>
            </w:pPr>
            <w:r>
              <w:rPr>
                <w:rFonts w:ascii="Calibri" w:eastAsia="Times New Roman" w:hAnsi="Calibri" w:cs="Calibri"/>
                <w:b/>
                <w:color w:val="000000"/>
                <w:sz w:val="16"/>
                <w:szCs w:val="16"/>
                <w:lang w:eastAsia="es-EC"/>
              </w:rPr>
              <w:t>TOTAL </w:t>
            </w:r>
          </w:p>
        </w:tc>
        <w:tc>
          <w:tcPr>
            <w:tcW w:w="569" w:type="pct"/>
            <w:tcBorders>
              <w:top w:val="nil"/>
              <w:left w:val="single" w:sz="8" w:space="0" w:color="auto"/>
              <w:bottom w:val="single" w:sz="8" w:space="0" w:color="auto"/>
              <w:right w:val="single" w:sz="8" w:space="0" w:color="auto"/>
            </w:tcBorders>
            <w:shd w:val="clear" w:color="000000" w:fill="EDEDED"/>
            <w:noWrap/>
            <w:vAlign w:val="center"/>
            <w:hideMark/>
          </w:tcPr>
          <w:p w14:paraId="29E071CC"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100</w:t>
            </w:r>
          </w:p>
        </w:tc>
        <w:tc>
          <w:tcPr>
            <w:tcW w:w="375" w:type="pct"/>
            <w:tcBorders>
              <w:top w:val="nil"/>
              <w:left w:val="nil"/>
              <w:bottom w:val="single" w:sz="4" w:space="0" w:color="auto"/>
              <w:right w:val="single" w:sz="4" w:space="0" w:color="auto"/>
            </w:tcBorders>
            <w:shd w:val="clear" w:color="auto" w:fill="auto"/>
            <w:noWrap/>
            <w:vAlign w:val="center"/>
            <w:hideMark/>
          </w:tcPr>
          <w:p w14:paraId="227A5E47"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0,00</w:t>
            </w:r>
          </w:p>
        </w:tc>
        <w:tc>
          <w:tcPr>
            <w:tcW w:w="450" w:type="pct"/>
            <w:tcBorders>
              <w:top w:val="nil"/>
              <w:left w:val="nil"/>
              <w:bottom w:val="single" w:sz="4" w:space="0" w:color="auto"/>
              <w:right w:val="single" w:sz="4" w:space="0" w:color="auto"/>
            </w:tcBorders>
            <w:shd w:val="clear" w:color="auto" w:fill="auto"/>
            <w:noWrap/>
            <w:vAlign w:val="center"/>
            <w:hideMark/>
          </w:tcPr>
          <w:p w14:paraId="4B7F81FD"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13,72</w:t>
            </w:r>
          </w:p>
        </w:tc>
        <w:tc>
          <w:tcPr>
            <w:tcW w:w="451" w:type="pct"/>
            <w:tcBorders>
              <w:top w:val="nil"/>
              <w:left w:val="nil"/>
              <w:bottom w:val="single" w:sz="4" w:space="0" w:color="auto"/>
              <w:right w:val="single" w:sz="4" w:space="0" w:color="auto"/>
            </w:tcBorders>
            <w:shd w:val="clear" w:color="auto" w:fill="auto"/>
            <w:noWrap/>
            <w:vAlign w:val="center"/>
            <w:hideMark/>
          </w:tcPr>
          <w:p w14:paraId="75AAA996"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23,50</w:t>
            </w:r>
          </w:p>
        </w:tc>
        <w:tc>
          <w:tcPr>
            <w:tcW w:w="450" w:type="pct"/>
            <w:tcBorders>
              <w:top w:val="nil"/>
              <w:left w:val="nil"/>
              <w:bottom w:val="single" w:sz="4" w:space="0" w:color="auto"/>
              <w:right w:val="single" w:sz="4" w:space="0" w:color="auto"/>
            </w:tcBorders>
            <w:shd w:val="clear" w:color="auto" w:fill="auto"/>
            <w:noWrap/>
            <w:vAlign w:val="center"/>
            <w:hideMark/>
          </w:tcPr>
          <w:p w14:paraId="2F38E82A"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20,55</w:t>
            </w:r>
          </w:p>
        </w:tc>
        <w:tc>
          <w:tcPr>
            <w:tcW w:w="376" w:type="pct"/>
            <w:tcBorders>
              <w:top w:val="nil"/>
              <w:left w:val="nil"/>
              <w:bottom w:val="single" w:sz="4" w:space="0" w:color="auto"/>
              <w:right w:val="single" w:sz="4" w:space="0" w:color="auto"/>
            </w:tcBorders>
            <w:shd w:val="clear" w:color="auto" w:fill="auto"/>
            <w:noWrap/>
            <w:vAlign w:val="center"/>
            <w:hideMark/>
          </w:tcPr>
          <w:p w14:paraId="352F52B9"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8,29</w:t>
            </w:r>
          </w:p>
        </w:tc>
        <w:tc>
          <w:tcPr>
            <w:tcW w:w="375" w:type="pct"/>
            <w:tcBorders>
              <w:top w:val="nil"/>
              <w:left w:val="nil"/>
              <w:bottom w:val="single" w:sz="4" w:space="0" w:color="auto"/>
              <w:right w:val="single" w:sz="4" w:space="0" w:color="auto"/>
            </w:tcBorders>
            <w:shd w:val="clear" w:color="auto" w:fill="auto"/>
            <w:noWrap/>
            <w:vAlign w:val="center"/>
            <w:hideMark/>
          </w:tcPr>
          <w:p w14:paraId="73855746"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6,02</w:t>
            </w:r>
          </w:p>
        </w:tc>
        <w:tc>
          <w:tcPr>
            <w:tcW w:w="419" w:type="pct"/>
            <w:tcBorders>
              <w:top w:val="nil"/>
              <w:left w:val="nil"/>
              <w:bottom w:val="single" w:sz="4" w:space="0" w:color="auto"/>
              <w:right w:val="single" w:sz="4" w:space="0" w:color="auto"/>
            </w:tcBorders>
            <w:shd w:val="clear" w:color="auto" w:fill="auto"/>
            <w:noWrap/>
            <w:vAlign w:val="center"/>
            <w:hideMark/>
          </w:tcPr>
          <w:p w14:paraId="5D7210FD" w14:textId="77777777" w:rsidR="007B3093" w:rsidRDefault="00000000">
            <w:pPr>
              <w:spacing w:after="0" w:line="240" w:lineRule="auto"/>
              <w:jc w:val="center"/>
              <w:rPr>
                <w:rFonts w:ascii="Calibri" w:eastAsia="Times New Roman" w:hAnsi="Calibri" w:cs="Calibri"/>
                <w:b/>
                <w:bCs/>
                <w:color w:val="000000"/>
                <w:sz w:val="16"/>
                <w:szCs w:val="16"/>
                <w:lang w:eastAsia="es-EC"/>
              </w:rPr>
            </w:pPr>
            <w:r>
              <w:rPr>
                <w:rFonts w:ascii="Calibri" w:eastAsia="Times New Roman" w:hAnsi="Calibri" w:cs="Calibri"/>
                <w:b/>
                <w:bCs/>
                <w:color w:val="000000"/>
                <w:sz w:val="16"/>
                <w:szCs w:val="16"/>
                <w:lang w:eastAsia="es-EC"/>
              </w:rPr>
              <w:t>27,92</w:t>
            </w:r>
          </w:p>
        </w:tc>
      </w:tr>
    </w:tbl>
    <w:p w14:paraId="0B6C2D19" w14:textId="77777777" w:rsidR="007B3093" w:rsidRDefault="00000000">
      <w:pPr>
        <w:spacing w:after="0" w:line="240" w:lineRule="auto"/>
        <w:jc w:val="center"/>
        <w:rPr>
          <w:rFonts w:ascii="Calibri" w:eastAsia="Times New Roman" w:hAnsi="Calibri" w:cs="Calibri"/>
          <w:sz w:val="20"/>
          <w:szCs w:val="20"/>
          <w:lang w:eastAsia="es-EC"/>
        </w:rPr>
      </w:pPr>
      <w:r>
        <w:rPr>
          <w:rFonts w:ascii="Calibri" w:eastAsia="Times New Roman" w:hAnsi="Calibri" w:cs="Calibri"/>
          <w:b/>
          <w:sz w:val="20"/>
          <w:szCs w:val="20"/>
          <w:lang w:eastAsia="es-EC"/>
        </w:rPr>
        <w:t>Fuente y elaboración:</w:t>
      </w:r>
      <w:r>
        <w:rPr>
          <w:rFonts w:ascii="Calibri" w:eastAsia="Times New Roman" w:hAnsi="Calibri" w:cs="Calibri"/>
          <w:sz w:val="20"/>
          <w:szCs w:val="20"/>
          <w:lang w:eastAsia="es-EC"/>
        </w:rPr>
        <w:t xml:space="preserve"> Reportes </w:t>
      </w:r>
      <w:proofErr w:type="spellStart"/>
      <w:r>
        <w:rPr>
          <w:rFonts w:ascii="Calibri" w:eastAsia="Times New Roman" w:hAnsi="Calibri" w:cs="Calibri"/>
          <w:sz w:val="20"/>
          <w:szCs w:val="20"/>
          <w:lang w:eastAsia="es-EC"/>
        </w:rPr>
        <w:t>SIPeIP</w:t>
      </w:r>
      <w:proofErr w:type="spellEnd"/>
      <w:r>
        <w:rPr>
          <w:rFonts w:ascii="Calibri" w:eastAsia="Times New Roman" w:hAnsi="Calibri" w:cs="Calibri"/>
          <w:sz w:val="20"/>
          <w:szCs w:val="20"/>
          <w:lang w:eastAsia="es-EC"/>
        </w:rPr>
        <w:t>, Dirección Nacional de Seguimiento y Evaluación</w:t>
      </w:r>
    </w:p>
    <w:p w14:paraId="500ABBF9" w14:textId="77777777" w:rsidR="007B3093" w:rsidRDefault="007B3093">
      <w:pPr>
        <w:spacing w:after="0" w:line="360" w:lineRule="auto"/>
        <w:jc w:val="both"/>
      </w:pPr>
    </w:p>
    <w:p w14:paraId="46DA1985" w14:textId="77777777" w:rsidR="007B3093" w:rsidRDefault="00000000">
      <w:pPr>
        <w:spacing w:after="0" w:line="360" w:lineRule="auto"/>
        <w:jc w:val="both"/>
      </w:pPr>
      <w:r>
        <w:t>Conforme a lo indicado en tablas precedentes No. 43, 44, 45 y 46, se ha procedido a generar la tabla de Programación Anual de metas 2019-2025, en la que se registran las metas físicas cumplidas hasta 2024 y la programación 2025, según detalle:</w:t>
      </w:r>
    </w:p>
    <w:p w14:paraId="3811E9E5" w14:textId="77777777" w:rsidR="007B3093" w:rsidRDefault="00000000">
      <w:r>
        <w:br w:type="page"/>
      </w:r>
    </w:p>
    <w:p w14:paraId="2246C338" w14:textId="77777777" w:rsidR="007B3093" w:rsidRDefault="007B3093">
      <w:pPr>
        <w:autoSpaceDE w:val="0"/>
        <w:autoSpaceDN w:val="0"/>
        <w:adjustRightInd w:val="0"/>
        <w:spacing w:after="0" w:line="360" w:lineRule="auto"/>
        <w:ind w:left="-502" w:right="-1"/>
        <w:rPr>
          <w:rFonts w:cstheme="minorHAnsi"/>
          <w:b/>
        </w:rPr>
        <w:sectPr w:rsidR="007B3093">
          <w:pgSz w:w="11906" w:h="16838"/>
          <w:pgMar w:top="1417" w:right="1701" w:bottom="1417" w:left="1701" w:header="708" w:footer="708" w:gutter="0"/>
          <w:cols w:space="708"/>
          <w:docGrid w:linePitch="360"/>
        </w:sectPr>
      </w:pPr>
    </w:p>
    <w:p w14:paraId="0FBC0AB2" w14:textId="77777777" w:rsidR="007B3093" w:rsidRDefault="00000000">
      <w:pPr>
        <w:autoSpaceDE w:val="0"/>
        <w:autoSpaceDN w:val="0"/>
        <w:adjustRightInd w:val="0"/>
        <w:spacing w:after="0" w:line="360" w:lineRule="auto"/>
        <w:ind w:left="-502" w:right="-1"/>
        <w:jc w:val="center"/>
        <w:rPr>
          <w:rFonts w:cstheme="minorHAnsi"/>
          <w:b/>
        </w:rPr>
      </w:pPr>
      <w:r>
        <w:rPr>
          <w:rFonts w:cstheme="minorHAnsi"/>
          <w:b/>
        </w:rPr>
        <w:lastRenderedPageBreak/>
        <w:t xml:space="preserve">Tabla No. 46: Programación anual de metas 2019-2025 </w:t>
      </w:r>
    </w:p>
    <w:p w14:paraId="3BF30FDA" w14:textId="77777777" w:rsidR="007B3093" w:rsidRDefault="00000000">
      <w:pPr>
        <w:autoSpaceDE w:val="0"/>
        <w:autoSpaceDN w:val="0"/>
        <w:adjustRightInd w:val="0"/>
        <w:spacing w:after="0" w:line="360" w:lineRule="auto"/>
        <w:ind w:left="-502" w:right="-1"/>
        <w:jc w:val="center"/>
        <w:rPr>
          <w:rFonts w:cstheme="minorHAnsi"/>
          <w:b/>
        </w:rPr>
      </w:pPr>
      <w:r>
        <w:rPr>
          <w:rFonts w:cstheme="minorHAnsi"/>
          <w:b/>
        </w:rPr>
        <w:t>(Unidades físicas/ %)</w:t>
      </w:r>
    </w:p>
    <w:tbl>
      <w:tblPr>
        <w:tblW w:w="5103" w:type="pct"/>
        <w:tblInd w:w="-289" w:type="dxa"/>
        <w:tblLook w:val="04A0" w:firstRow="1" w:lastRow="0" w:firstColumn="1" w:lastColumn="0" w:noHBand="0" w:noVBand="1"/>
      </w:tblPr>
      <w:tblGrid>
        <w:gridCol w:w="810"/>
        <w:gridCol w:w="770"/>
        <w:gridCol w:w="673"/>
        <w:gridCol w:w="767"/>
        <w:gridCol w:w="671"/>
        <w:gridCol w:w="636"/>
        <w:gridCol w:w="636"/>
        <w:gridCol w:w="556"/>
        <w:gridCol w:w="749"/>
        <w:gridCol w:w="556"/>
        <w:gridCol w:w="749"/>
        <w:gridCol w:w="556"/>
        <w:gridCol w:w="749"/>
        <w:gridCol w:w="556"/>
        <w:gridCol w:w="749"/>
        <w:gridCol w:w="556"/>
        <w:gridCol w:w="749"/>
        <w:gridCol w:w="556"/>
        <w:gridCol w:w="749"/>
        <w:gridCol w:w="739"/>
        <w:gridCol w:w="749"/>
      </w:tblGrid>
      <w:tr w:rsidR="007B3093" w14:paraId="2AD1BB69" w14:textId="77777777">
        <w:trPr>
          <w:trHeight w:val="510"/>
          <w:tblHeader/>
        </w:trPr>
        <w:tc>
          <w:tcPr>
            <w:tcW w:w="1366" w:type="pct"/>
            <w:gridSpan w:val="5"/>
            <w:tcBorders>
              <w:top w:val="single" w:sz="4" w:space="0" w:color="auto"/>
              <w:left w:val="single" w:sz="4" w:space="0" w:color="auto"/>
              <w:bottom w:val="single" w:sz="4" w:space="0" w:color="auto"/>
              <w:right w:val="single" w:sz="4" w:space="0" w:color="auto"/>
            </w:tcBorders>
            <w:shd w:val="clear" w:color="000000" w:fill="B8CCE4"/>
            <w:vAlign w:val="center"/>
            <w:hideMark/>
          </w:tcPr>
          <w:p w14:paraId="76B3F915" w14:textId="77777777" w:rsidR="007B3093" w:rsidRDefault="00000000">
            <w:pPr>
              <w:spacing w:after="0" w:line="240" w:lineRule="auto"/>
              <w:jc w:val="center"/>
              <w:rPr>
                <w:rFonts w:ascii="Calibri" w:eastAsia="Times New Roman" w:hAnsi="Calibri" w:cs="Calibri"/>
                <w:b/>
                <w:bCs/>
                <w:i/>
                <w:iCs/>
                <w:sz w:val="14"/>
                <w:szCs w:val="14"/>
              </w:rPr>
            </w:pPr>
            <w:r>
              <w:rPr>
                <w:rFonts w:ascii="Calibri" w:eastAsia="Times New Roman" w:hAnsi="Calibri" w:cs="Calibri"/>
                <w:b/>
                <w:bCs/>
                <w:i/>
                <w:iCs/>
                <w:sz w:val="14"/>
                <w:szCs w:val="14"/>
              </w:rPr>
              <w:t>ESTRUCTURA DE METAS POR COMPONENTES (Marco Lógico)</w:t>
            </w:r>
          </w:p>
        </w:tc>
        <w:tc>
          <w:tcPr>
            <w:tcW w:w="3634" w:type="pct"/>
            <w:gridSpan w:val="16"/>
            <w:tcBorders>
              <w:top w:val="single" w:sz="4" w:space="0" w:color="auto"/>
              <w:left w:val="nil"/>
              <w:bottom w:val="single" w:sz="4" w:space="0" w:color="auto"/>
              <w:right w:val="single" w:sz="4" w:space="0" w:color="auto"/>
            </w:tcBorders>
            <w:shd w:val="clear" w:color="000000" w:fill="B8CCE4"/>
            <w:vAlign w:val="center"/>
            <w:hideMark/>
          </w:tcPr>
          <w:p w14:paraId="71678121" w14:textId="77777777" w:rsidR="007B3093" w:rsidRDefault="00000000">
            <w:pPr>
              <w:spacing w:after="0" w:line="240" w:lineRule="auto"/>
              <w:jc w:val="center"/>
              <w:rPr>
                <w:rFonts w:ascii="Calibri" w:eastAsia="Times New Roman" w:hAnsi="Calibri" w:cs="Calibri"/>
                <w:b/>
                <w:bCs/>
                <w:i/>
                <w:iCs/>
                <w:sz w:val="14"/>
                <w:szCs w:val="14"/>
              </w:rPr>
            </w:pPr>
            <w:r>
              <w:rPr>
                <w:rFonts w:ascii="Calibri" w:eastAsia="Times New Roman" w:hAnsi="Calibri" w:cs="Calibri"/>
                <w:b/>
                <w:bCs/>
                <w:i/>
                <w:iCs/>
                <w:sz w:val="14"/>
                <w:szCs w:val="14"/>
              </w:rPr>
              <w:t>PROGRAMACIÓN ANUAL (Período de ejecución planificado)</w:t>
            </w:r>
          </w:p>
        </w:tc>
      </w:tr>
      <w:tr w:rsidR="007B3093" w14:paraId="1D5950C7" w14:textId="77777777">
        <w:trPr>
          <w:trHeight w:val="360"/>
          <w:tblHeader/>
        </w:trPr>
        <w:tc>
          <w:tcPr>
            <w:tcW w:w="378" w:type="pct"/>
            <w:vMerge w:val="restart"/>
            <w:tcBorders>
              <w:top w:val="nil"/>
              <w:left w:val="single" w:sz="4" w:space="0" w:color="auto"/>
              <w:bottom w:val="single" w:sz="4" w:space="0" w:color="auto"/>
              <w:right w:val="single" w:sz="4" w:space="0" w:color="auto"/>
            </w:tcBorders>
            <w:shd w:val="clear" w:color="000000" w:fill="B8CCE4"/>
            <w:vAlign w:val="center"/>
            <w:hideMark/>
          </w:tcPr>
          <w:p w14:paraId="4B0F7EB0"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Componente</w:t>
            </w:r>
          </w:p>
        </w:tc>
        <w:tc>
          <w:tcPr>
            <w:tcW w:w="264" w:type="pct"/>
            <w:vMerge w:val="restart"/>
            <w:tcBorders>
              <w:top w:val="nil"/>
              <w:left w:val="single" w:sz="4" w:space="0" w:color="auto"/>
              <w:bottom w:val="single" w:sz="4" w:space="0" w:color="auto"/>
              <w:right w:val="single" w:sz="4" w:space="0" w:color="auto"/>
            </w:tcBorders>
            <w:shd w:val="clear" w:color="000000" w:fill="B8CCE4"/>
            <w:vAlign w:val="center"/>
            <w:hideMark/>
          </w:tcPr>
          <w:p w14:paraId="2C7C1415"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Indicador</w:t>
            </w:r>
            <w:proofErr w:type="spellEnd"/>
          </w:p>
        </w:tc>
        <w:tc>
          <w:tcPr>
            <w:tcW w:w="231" w:type="pct"/>
            <w:vMerge w:val="restart"/>
            <w:tcBorders>
              <w:top w:val="nil"/>
              <w:left w:val="single" w:sz="4" w:space="0" w:color="auto"/>
              <w:bottom w:val="single" w:sz="4" w:space="0" w:color="auto"/>
              <w:right w:val="single" w:sz="4" w:space="0" w:color="auto"/>
            </w:tcBorders>
            <w:shd w:val="clear" w:color="000000" w:fill="B8CCE4"/>
            <w:vAlign w:val="center"/>
            <w:hideMark/>
          </w:tcPr>
          <w:p w14:paraId="2F1B43EB"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Meta Total del Proyecto </w:t>
            </w:r>
          </w:p>
        </w:tc>
        <w:tc>
          <w:tcPr>
            <w:tcW w:w="263" w:type="pct"/>
            <w:vMerge w:val="restart"/>
            <w:tcBorders>
              <w:top w:val="nil"/>
              <w:left w:val="single" w:sz="4" w:space="0" w:color="auto"/>
              <w:bottom w:val="single" w:sz="4" w:space="0" w:color="auto"/>
              <w:right w:val="single" w:sz="4" w:space="0" w:color="auto"/>
            </w:tcBorders>
            <w:shd w:val="clear" w:color="000000" w:fill="B8CCE4"/>
            <w:noWrap/>
            <w:vAlign w:val="center"/>
            <w:hideMark/>
          </w:tcPr>
          <w:p w14:paraId="4409637D"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Unidad</w:t>
            </w:r>
          </w:p>
        </w:tc>
        <w:tc>
          <w:tcPr>
            <w:tcW w:w="230" w:type="pct"/>
            <w:vMerge w:val="restart"/>
            <w:tcBorders>
              <w:top w:val="nil"/>
              <w:left w:val="single" w:sz="4" w:space="0" w:color="auto"/>
              <w:bottom w:val="single" w:sz="4" w:space="0" w:color="auto"/>
              <w:right w:val="single" w:sz="4" w:space="0" w:color="auto"/>
            </w:tcBorders>
            <w:shd w:val="clear" w:color="000000" w:fill="B8CCE4"/>
            <w:vAlign w:val="center"/>
            <w:hideMark/>
          </w:tcPr>
          <w:p w14:paraId="373A9970"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Ponderación</w:t>
            </w:r>
            <w:proofErr w:type="spellEnd"/>
            <w:r>
              <w:rPr>
                <w:rFonts w:ascii="Calibri" w:eastAsia="Times New Roman" w:hAnsi="Calibri" w:cs="Calibri"/>
                <w:b/>
                <w:bCs/>
                <w:sz w:val="14"/>
                <w:szCs w:val="14"/>
                <w:lang w:val="en-US"/>
              </w:rPr>
              <w:t xml:space="preserve"> (%) </w:t>
            </w:r>
          </w:p>
        </w:tc>
        <w:tc>
          <w:tcPr>
            <w:tcW w:w="437" w:type="pct"/>
            <w:gridSpan w:val="2"/>
            <w:tcBorders>
              <w:top w:val="single" w:sz="4" w:space="0" w:color="auto"/>
              <w:left w:val="nil"/>
              <w:bottom w:val="single" w:sz="4" w:space="0" w:color="auto"/>
              <w:right w:val="single" w:sz="4" w:space="0" w:color="auto"/>
            </w:tcBorders>
            <w:shd w:val="clear" w:color="000000" w:fill="B8CCE4"/>
            <w:vAlign w:val="center"/>
            <w:hideMark/>
          </w:tcPr>
          <w:p w14:paraId="5E1D2E29"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AÑO 2019</w:t>
            </w:r>
          </w:p>
        </w:tc>
        <w:tc>
          <w:tcPr>
            <w:tcW w:w="448" w:type="pct"/>
            <w:gridSpan w:val="2"/>
            <w:tcBorders>
              <w:top w:val="single" w:sz="4" w:space="0" w:color="auto"/>
              <w:left w:val="nil"/>
              <w:bottom w:val="single" w:sz="4" w:space="0" w:color="auto"/>
              <w:right w:val="single" w:sz="4" w:space="0" w:color="auto"/>
            </w:tcBorders>
            <w:shd w:val="clear" w:color="000000" w:fill="B8CCE4"/>
            <w:vAlign w:val="center"/>
            <w:hideMark/>
          </w:tcPr>
          <w:p w14:paraId="2080B7E2"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AÑO 2020</w:t>
            </w:r>
          </w:p>
        </w:tc>
        <w:tc>
          <w:tcPr>
            <w:tcW w:w="448" w:type="pct"/>
            <w:gridSpan w:val="2"/>
            <w:tcBorders>
              <w:top w:val="single" w:sz="4" w:space="0" w:color="auto"/>
              <w:left w:val="nil"/>
              <w:bottom w:val="single" w:sz="4" w:space="0" w:color="auto"/>
              <w:right w:val="single" w:sz="4" w:space="0" w:color="auto"/>
            </w:tcBorders>
            <w:shd w:val="clear" w:color="000000" w:fill="B8CCE4"/>
            <w:vAlign w:val="center"/>
            <w:hideMark/>
          </w:tcPr>
          <w:p w14:paraId="051B1C8A"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AÑO 2021</w:t>
            </w:r>
          </w:p>
        </w:tc>
        <w:tc>
          <w:tcPr>
            <w:tcW w:w="448" w:type="pct"/>
            <w:gridSpan w:val="2"/>
            <w:tcBorders>
              <w:top w:val="single" w:sz="4" w:space="0" w:color="auto"/>
              <w:left w:val="nil"/>
              <w:bottom w:val="single" w:sz="4" w:space="0" w:color="auto"/>
              <w:right w:val="single" w:sz="4" w:space="0" w:color="auto"/>
            </w:tcBorders>
            <w:shd w:val="clear" w:color="000000" w:fill="B8CCE4"/>
            <w:vAlign w:val="center"/>
            <w:hideMark/>
          </w:tcPr>
          <w:p w14:paraId="7C229FE3"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AÑO 2022</w:t>
            </w:r>
          </w:p>
        </w:tc>
        <w:tc>
          <w:tcPr>
            <w:tcW w:w="448" w:type="pct"/>
            <w:gridSpan w:val="2"/>
            <w:tcBorders>
              <w:top w:val="single" w:sz="4" w:space="0" w:color="auto"/>
              <w:left w:val="nil"/>
              <w:bottom w:val="single" w:sz="4" w:space="0" w:color="auto"/>
              <w:right w:val="single" w:sz="4" w:space="0" w:color="auto"/>
            </w:tcBorders>
            <w:shd w:val="clear" w:color="000000" w:fill="B8CCE4"/>
            <w:vAlign w:val="center"/>
            <w:hideMark/>
          </w:tcPr>
          <w:p w14:paraId="575CCBCA"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AÑO 2023</w:t>
            </w:r>
          </w:p>
        </w:tc>
        <w:tc>
          <w:tcPr>
            <w:tcW w:w="448" w:type="pct"/>
            <w:gridSpan w:val="2"/>
            <w:tcBorders>
              <w:top w:val="single" w:sz="4" w:space="0" w:color="auto"/>
              <w:left w:val="nil"/>
              <w:bottom w:val="single" w:sz="4" w:space="0" w:color="auto"/>
              <w:right w:val="single" w:sz="4" w:space="0" w:color="auto"/>
            </w:tcBorders>
            <w:shd w:val="clear" w:color="000000" w:fill="B8CCE4"/>
            <w:vAlign w:val="center"/>
            <w:hideMark/>
          </w:tcPr>
          <w:p w14:paraId="1E02D5D5"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AÑO 2024</w:t>
            </w:r>
          </w:p>
        </w:tc>
        <w:tc>
          <w:tcPr>
            <w:tcW w:w="448" w:type="pct"/>
            <w:gridSpan w:val="2"/>
            <w:tcBorders>
              <w:top w:val="single" w:sz="4" w:space="0" w:color="auto"/>
              <w:left w:val="nil"/>
              <w:bottom w:val="single" w:sz="4" w:space="0" w:color="auto"/>
              <w:right w:val="single" w:sz="4" w:space="0" w:color="auto"/>
            </w:tcBorders>
            <w:shd w:val="clear" w:color="000000" w:fill="B8CCE4"/>
            <w:vAlign w:val="center"/>
            <w:hideMark/>
          </w:tcPr>
          <w:p w14:paraId="6DD210DC"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AÑO 2025</w:t>
            </w:r>
          </w:p>
        </w:tc>
        <w:tc>
          <w:tcPr>
            <w:tcW w:w="253" w:type="pct"/>
            <w:vMerge w:val="restart"/>
            <w:tcBorders>
              <w:top w:val="nil"/>
              <w:left w:val="single" w:sz="4" w:space="0" w:color="auto"/>
              <w:bottom w:val="single" w:sz="4" w:space="0" w:color="auto"/>
              <w:right w:val="single" w:sz="4" w:space="0" w:color="auto"/>
            </w:tcBorders>
            <w:shd w:val="clear" w:color="000000" w:fill="B8CCE4"/>
            <w:vAlign w:val="center"/>
            <w:hideMark/>
          </w:tcPr>
          <w:p w14:paraId="2EDDC8E0"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Total </w:t>
            </w:r>
            <w:proofErr w:type="spellStart"/>
            <w:r>
              <w:rPr>
                <w:rFonts w:ascii="Calibri" w:eastAsia="Times New Roman" w:hAnsi="Calibri" w:cs="Calibri"/>
                <w:b/>
                <w:bCs/>
                <w:sz w:val="14"/>
                <w:szCs w:val="14"/>
                <w:lang w:val="en-US"/>
              </w:rPr>
              <w:t>Acumulado</w:t>
            </w:r>
            <w:proofErr w:type="spellEnd"/>
          </w:p>
        </w:tc>
        <w:tc>
          <w:tcPr>
            <w:tcW w:w="257" w:type="pct"/>
            <w:vMerge w:val="restart"/>
            <w:tcBorders>
              <w:top w:val="nil"/>
              <w:left w:val="single" w:sz="4" w:space="0" w:color="auto"/>
              <w:bottom w:val="single" w:sz="4" w:space="0" w:color="auto"/>
              <w:right w:val="single" w:sz="4" w:space="0" w:color="auto"/>
            </w:tcBorders>
            <w:shd w:val="clear" w:color="000000" w:fill="B8CCE4"/>
            <w:vAlign w:val="center"/>
            <w:hideMark/>
          </w:tcPr>
          <w:p w14:paraId="0D700415"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w:t>
            </w:r>
            <w:proofErr w:type="spellStart"/>
            <w:r>
              <w:rPr>
                <w:rFonts w:ascii="Calibri" w:eastAsia="Times New Roman" w:hAnsi="Calibri" w:cs="Calibri"/>
                <w:b/>
                <w:bCs/>
                <w:sz w:val="14"/>
                <w:szCs w:val="14"/>
                <w:lang w:val="en-US"/>
              </w:rPr>
              <w:t>Ponderado</w:t>
            </w:r>
            <w:proofErr w:type="spellEnd"/>
          </w:p>
        </w:tc>
      </w:tr>
      <w:tr w:rsidR="007B3093" w14:paraId="27C9B40B" w14:textId="77777777">
        <w:trPr>
          <w:trHeight w:val="510"/>
        </w:trPr>
        <w:tc>
          <w:tcPr>
            <w:tcW w:w="378" w:type="pct"/>
            <w:vMerge/>
            <w:tcBorders>
              <w:top w:val="nil"/>
              <w:left w:val="single" w:sz="4" w:space="0" w:color="auto"/>
              <w:bottom w:val="single" w:sz="4" w:space="0" w:color="auto"/>
              <w:right w:val="single" w:sz="4" w:space="0" w:color="auto"/>
            </w:tcBorders>
            <w:vAlign w:val="center"/>
            <w:hideMark/>
          </w:tcPr>
          <w:p w14:paraId="067CB026" w14:textId="77777777" w:rsidR="007B3093" w:rsidRDefault="007B3093">
            <w:pPr>
              <w:spacing w:after="0" w:line="240" w:lineRule="auto"/>
              <w:rPr>
                <w:rFonts w:ascii="Calibri" w:eastAsia="Times New Roman" w:hAnsi="Calibri" w:cs="Calibri"/>
                <w:b/>
                <w:bCs/>
                <w:sz w:val="14"/>
                <w:szCs w:val="14"/>
                <w:lang w:val="en-US"/>
              </w:rPr>
            </w:pPr>
          </w:p>
        </w:tc>
        <w:tc>
          <w:tcPr>
            <w:tcW w:w="264" w:type="pct"/>
            <w:vMerge/>
            <w:tcBorders>
              <w:top w:val="nil"/>
              <w:left w:val="single" w:sz="4" w:space="0" w:color="auto"/>
              <w:bottom w:val="single" w:sz="4" w:space="0" w:color="auto"/>
              <w:right w:val="single" w:sz="4" w:space="0" w:color="auto"/>
            </w:tcBorders>
            <w:vAlign w:val="center"/>
            <w:hideMark/>
          </w:tcPr>
          <w:p w14:paraId="787E4AB6" w14:textId="77777777" w:rsidR="007B3093" w:rsidRDefault="007B3093">
            <w:pPr>
              <w:spacing w:after="0" w:line="240" w:lineRule="auto"/>
              <w:rPr>
                <w:rFonts w:ascii="Calibri" w:eastAsia="Times New Roman" w:hAnsi="Calibri" w:cs="Calibri"/>
                <w:b/>
                <w:bCs/>
                <w:sz w:val="14"/>
                <w:szCs w:val="14"/>
                <w:lang w:val="en-US"/>
              </w:rPr>
            </w:pPr>
          </w:p>
        </w:tc>
        <w:tc>
          <w:tcPr>
            <w:tcW w:w="231" w:type="pct"/>
            <w:vMerge/>
            <w:tcBorders>
              <w:top w:val="nil"/>
              <w:left w:val="single" w:sz="4" w:space="0" w:color="auto"/>
              <w:bottom w:val="single" w:sz="4" w:space="0" w:color="auto"/>
              <w:right w:val="single" w:sz="4" w:space="0" w:color="auto"/>
            </w:tcBorders>
            <w:vAlign w:val="center"/>
            <w:hideMark/>
          </w:tcPr>
          <w:p w14:paraId="20052F11" w14:textId="77777777" w:rsidR="007B3093" w:rsidRDefault="007B3093">
            <w:pPr>
              <w:spacing w:after="0" w:line="240" w:lineRule="auto"/>
              <w:rPr>
                <w:rFonts w:ascii="Calibri" w:eastAsia="Times New Roman" w:hAnsi="Calibri" w:cs="Calibri"/>
                <w:b/>
                <w:bCs/>
                <w:sz w:val="14"/>
                <w:szCs w:val="14"/>
                <w:lang w:val="en-US"/>
              </w:rPr>
            </w:pPr>
          </w:p>
        </w:tc>
        <w:tc>
          <w:tcPr>
            <w:tcW w:w="263" w:type="pct"/>
            <w:vMerge/>
            <w:tcBorders>
              <w:top w:val="nil"/>
              <w:left w:val="single" w:sz="4" w:space="0" w:color="auto"/>
              <w:bottom w:val="single" w:sz="4" w:space="0" w:color="auto"/>
              <w:right w:val="single" w:sz="4" w:space="0" w:color="auto"/>
            </w:tcBorders>
            <w:vAlign w:val="center"/>
            <w:hideMark/>
          </w:tcPr>
          <w:p w14:paraId="01EB57E7" w14:textId="77777777" w:rsidR="007B3093" w:rsidRDefault="007B3093">
            <w:pPr>
              <w:spacing w:after="0" w:line="240" w:lineRule="auto"/>
              <w:rPr>
                <w:rFonts w:ascii="Calibri" w:eastAsia="Times New Roman" w:hAnsi="Calibri" w:cs="Calibri"/>
                <w:b/>
                <w:bCs/>
                <w:sz w:val="14"/>
                <w:szCs w:val="14"/>
                <w:lang w:val="en-US"/>
              </w:rPr>
            </w:pPr>
          </w:p>
        </w:tc>
        <w:tc>
          <w:tcPr>
            <w:tcW w:w="230" w:type="pct"/>
            <w:vMerge/>
            <w:tcBorders>
              <w:top w:val="nil"/>
              <w:left w:val="single" w:sz="4" w:space="0" w:color="auto"/>
              <w:bottom w:val="single" w:sz="4" w:space="0" w:color="auto"/>
              <w:right w:val="single" w:sz="4" w:space="0" w:color="auto"/>
            </w:tcBorders>
            <w:vAlign w:val="center"/>
            <w:hideMark/>
          </w:tcPr>
          <w:p w14:paraId="3C97D94A" w14:textId="77777777" w:rsidR="007B3093" w:rsidRDefault="007B3093">
            <w:pPr>
              <w:spacing w:after="0" w:line="240" w:lineRule="auto"/>
              <w:rPr>
                <w:rFonts w:ascii="Calibri" w:eastAsia="Times New Roman" w:hAnsi="Calibri" w:cs="Calibri"/>
                <w:b/>
                <w:bCs/>
                <w:sz w:val="14"/>
                <w:szCs w:val="14"/>
                <w:lang w:val="en-US"/>
              </w:rPr>
            </w:pPr>
          </w:p>
        </w:tc>
        <w:tc>
          <w:tcPr>
            <w:tcW w:w="218" w:type="pct"/>
            <w:tcBorders>
              <w:top w:val="nil"/>
              <w:left w:val="nil"/>
              <w:bottom w:val="single" w:sz="4" w:space="0" w:color="auto"/>
              <w:right w:val="single" w:sz="4" w:space="0" w:color="auto"/>
            </w:tcBorders>
            <w:shd w:val="clear" w:color="000000" w:fill="B8CCE4"/>
            <w:vAlign w:val="center"/>
            <w:hideMark/>
          </w:tcPr>
          <w:p w14:paraId="2877B158"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Unidades</w:t>
            </w:r>
            <w:proofErr w:type="spellEnd"/>
          </w:p>
        </w:tc>
        <w:tc>
          <w:tcPr>
            <w:tcW w:w="218" w:type="pct"/>
            <w:tcBorders>
              <w:top w:val="nil"/>
              <w:left w:val="nil"/>
              <w:bottom w:val="single" w:sz="4" w:space="0" w:color="auto"/>
              <w:right w:val="single" w:sz="4" w:space="0" w:color="auto"/>
            </w:tcBorders>
            <w:shd w:val="clear" w:color="000000" w:fill="B8CCE4"/>
            <w:vAlign w:val="center"/>
            <w:hideMark/>
          </w:tcPr>
          <w:p w14:paraId="12DB5610"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w:t>
            </w:r>
            <w:proofErr w:type="spellStart"/>
            <w:r>
              <w:rPr>
                <w:rFonts w:ascii="Calibri" w:eastAsia="Times New Roman" w:hAnsi="Calibri" w:cs="Calibri"/>
                <w:b/>
                <w:bCs/>
                <w:sz w:val="14"/>
                <w:szCs w:val="14"/>
                <w:lang w:val="en-US"/>
              </w:rPr>
              <w:t>Ponderado</w:t>
            </w:r>
            <w:proofErr w:type="spellEnd"/>
          </w:p>
        </w:tc>
        <w:tc>
          <w:tcPr>
            <w:tcW w:w="191" w:type="pct"/>
            <w:tcBorders>
              <w:top w:val="nil"/>
              <w:left w:val="nil"/>
              <w:bottom w:val="single" w:sz="4" w:space="0" w:color="auto"/>
              <w:right w:val="single" w:sz="4" w:space="0" w:color="auto"/>
            </w:tcBorders>
            <w:shd w:val="clear" w:color="000000" w:fill="B8CCE4"/>
            <w:vAlign w:val="center"/>
            <w:hideMark/>
          </w:tcPr>
          <w:p w14:paraId="0381562B"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Unidades</w:t>
            </w:r>
            <w:proofErr w:type="spellEnd"/>
          </w:p>
        </w:tc>
        <w:tc>
          <w:tcPr>
            <w:tcW w:w="257" w:type="pct"/>
            <w:tcBorders>
              <w:top w:val="nil"/>
              <w:left w:val="nil"/>
              <w:bottom w:val="single" w:sz="4" w:space="0" w:color="auto"/>
              <w:right w:val="single" w:sz="4" w:space="0" w:color="auto"/>
            </w:tcBorders>
            <w:shd w:val="clear" w:color="000000" w:fill="B8CCE4"/>
            <w:vAlign w:val="center"/>
            <w:hideMark/>
          </w:tcPr>
          <w:p w14:paraId="13D3657F"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w:t>
            </w:r>
            <w:proofErr w:type="spellStart"/>
            <w:r>
              <w:rPr>
                <w:rFonts w:ascii="Calibri" w:eastAsia="Times New Roman" w:hAnsi="Calibri" w:cs="Calibri"/>
                <w:b/>
                <w:bCs/>
                <w:sz w:val="14"/>
                <w:szCs w:val="14"/>
                <w:lang w:val="en-US"/>
              </w:rPr>
              <w:t>Ponderado</w:t>
            </w:r>
            <w:proofErr w:type="spellEnd"/>
          </w:p>
        </w:tc>
        <w:tc>
          <w:tcPr>
            <w:tcW w:w="191" w:type="pct"/>
            <w:tcBorders>
              <w:top w:val="nil"/>
              <w:left w:val="nil"/>
              <w:bottom w:val="single" w:sz="4" w:space="0" w:color="auto"/>
              <w:right w:val="single" w:sz="4" w:space="0" w:color="auto"/>
            </w:tcBorders>
            <w:shd w:val="clear" w:color="000000" w:fill="B8CCE4"/>
            <w:vAlign w:val="center"/>
            <w:hideMark/>
          </w:tcPr>
          <w:p w14:paraId="2FE9839E"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Unidades</w:t>
            </w:r>
            <w:proofErr w:type="spellEnd"/>
          </w:p>
        </w:tc>
        <w:tc>
          <w:tcPr>
            <w:tcW w:w="257" w:type="pct"/>
            <w:tcBorders>
              <w:top w:val="nil"/>
              <w:left w:val="nil"/>
              <w:bottom w:val="single" w:sz="4" w:space="0" w:color="auto"/>
              <w:right w:val="single" w:sz="4" w:space="0" w:color="auto"/>
            </w:tcBorders>
            <w:shd w:val="clear" w:color="000000" w:fill="B8CCE4"/>
            <w:vAlign w:val="center"/>
            <w:hideMark/>
          </w:tcPr>
          <w:p w14:paraId="2C6B0D01"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w:t>
            </w:r>
            <w:proofErr w:type="spellStart"/>
            <w:r>
              <w:rPr>
                <w:rFonts w:ascii="Calibri" w:eastAsia="Times New Roman" w:hAnsi="Calibri" w:cs="Calibri"/>
                <w:b/>
                <w:bCs/>
                <w:sz w:val="14"/>
                <w:szCs w:val="14"/>
                <w:lang w:val="en-US"/>
              </w:rPr>
              <w:t>Ponderado</w:t>
            </w:r>
            <w:proofErr w:type="spellEnd"/>
          </w:p>
        </w:tc>
        <w:tc>
          <w:tcPr>
            <w:tcW w:w="191" w:type="pct"/>
            <w:tcBorders>
              <w:top w:val="nil"/>
              <w:left w:val="nil"/>
              <w:bottom w:val="single" w:sz="4" w:space="0" w:color="auto"/>
              <w:right w:val="single" w:sz="4" w:space="0" w:color="auto"/>
            </w:tcBorders>
            <w:shd w:val="clear" w:color="000000" w:fill="B8CCE4"/>
            <w:vAlign w:val="center"/>
            <w:hideMark/>
          </w:tcPr>
          <w:p w14:paraId="21DEB994"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Unidades</w:t>
            </w:r>
            <w:proofErr w:type="spellEnd"/>
          </w:p>
        </w:tc>
        <w:tc>
          <w:tcPr>
            <w:tcW w:w="257" w:type="pct"/>
            <w:tcBorders>
              <w:top w:val="nil"/>
              <w:left w:val="nil"/>
              <w:bottom w:val="single" w:sz="4" w:space="0" w:color="auto"/>
              <w:right w:val="single" w:sz="4" w:space="0" w:color="auto"/>
            </w:tcBorders>
            <w:shd w:val="clear" w:color="000000" w:fill="B8CCE4"/>
            <w:vAlign w:val="center"/>
            <w:hideMark/>
          </w:tcPr>
          <w:p w14:paraId="788230EA"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w:t>
            </w:r>
            <w:proofErr w:type="spellStart"/>
            <w:r>
              <w:rPr>
                <w:rFonts w:ascii="Calibri" w:eastAsia="Times New Roman" w:hAnsi="Calibri" w:cs="Calibri"/>
                <w:b/>
                <w:bCs/>
                <w:sz w:val="14"/>
                <w:szCs w:val="14"/>
                <w:lang w:val="en-US"/>
              </w:rPr>
              <w:t>Ponderado</w:t>
            </w:r>
            <w:proofErr w:type="spellEnd"/>
          </w:p>
        </w:tc>
        <w:tc>
          <w:tcPr>
            <w:tcW w:w="191" w:type="pct"/>
            <w:tcBorders>
              <w:top w:val="nil"/>
              <w:left w:val="nil"/>
              <w:bottom w:val="single" w:sz="4" w:space="0" w:color="auto"/>
              <w:right w:val="single" w:sz="4" w:space="0" w:color="auto"/>
            </w:tcBorders>
            <w:shd w:val="clear" w:color="000000" w:fill="B8CCE4"/>
            <w:vAlign w:val="center"/>
            <w:hideMark/>
          </w:tcPr>
          <w:p w14:paraId="359B6C28"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Unidades</w:t>
            </w:r>
            <w:proofErr w:type="spellEnd"/>
          </w:p>
        </w:tc>
        <w:tc>
          <w:tcPr>
            <w:tcW w:w="257" w:type="pct"/>
            <w:tcBorders>
              <w:top w:val="nil"/>
              <w:left w:val="nil"/>
              <w:bottom w:val="single" w:sz="4" w:space="0" w:color="auto"/>
              <w:right w:val="single" w:sz="4" w:space="0" w:color="auto"/>
            </w:tcBorders>
            <w:shd w:val="clear" w:color="000000" w:fill="B8CCE4"/>
            <w:vAlign w:val="center"/>
            <w:hideMark/>
          </w:tcPr>
          <w:p w14:paraId="26910AC8"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w:t>
            </w:r>
            <w:proofErr w:type="spellStart"/>
            <w:r>
              <w:rPr>
                <w:rFonts w:ascii="Calibri" w:eastAsia="Times New Roman" w:hAnsi="Calibri" w:cs="Calibri"/>
                <w:b/>
                <w:bCs/>
                <w:sz w:val="14"/>
                <w:szCs w:val="14"/>
                <w:lang w:val="en-US"/>
              </w:rPr>
              <w:t>Ponderado</w:t>
            </w:r>
            <w:proofErr w:type="spellEnd"/>
          </w:p>
        </w:tc>
        <w:tc>
          <w:tcPr>
            <w:tcW w:w="191" w:type="pct"/>
            <w:tcBorders>
              <w:top w:val="nil"/>
              <w:left w:val="nil"/>
              <w:bottom w:val="single" w:sz="4" w:space="0" w:color="auto"/>
              <w:right w:val="single" w:sz="4" w:space="0" w:color="auto"/>
            </w:tcBorders>
            <w:shd w:val="clear" w:color="000000" w:fill="B8CCE4"/>
            <w:vAlign w:val="center"/>
            <w:hideMark/>
          </w:tcPr>
          <w:p w14:paraId="255762BD"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Unidades</w:t>
            </w:r>
            <w:proofErr w:type="spellEnd"/>
          </w:p>
        </w:tc>
        <w:tc>
          <w:tcPr>
            <w:tcW w:w="257" w:type="pct"/>
            <w:tcBorders>
              <w:top w:val="nil"/>
              <w:left w:val="nil"/>
              <w:bottom w:val="single" w:sz="4" w:space="0" w:color="auto"/>
              <w:right w:val="single" w:sz="4" w:space="0" w:color="auto"/>
            </w:tcBorders>
            <w:shd w:val="clear" w:color="000000" w:fill="B8CCE4"/>
            <w:vAlign w:val="center"/>
            <w:hideMark/>
          </w:tcPr>
          <w:p w14:paraId="2473BC76"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w:t>
            </w:r>
            <w:proofErr w:type="spellStart"/>
            <w:r>
              <w:rPr>
                <w:rFonts w:ascii="Calibri" w:eastAsia="Times New Roman" w:hAnsi="Calibri" w:cs="Calibri"/>
                <w:b/>
                <w:bCs/>
                <w:sz w:val="14"/>
                <w:szCs w:val="14"/>
                <w:lang w:val="en-US"/>
              </w:rPr>
              <w:t>Ponderado</w:t>
            </w:r>
            <w:proofErr w:type="spellEnd"/>
          </w:p>
        </w:tc>
        <w:tc>
          <w:tcPr>
            <w:tcW w:w="191" w:type="pct"/>
            <w:tcBorders>
              <w:top w:val="nil"/>
              <w:left w:val="nil"/>
              <w:bottom w:val="single" w:sz="4" w:space="0" w:color="auto"/>
              <w:right w:val="single" w:sz="4" w:space="0" w:color="auto"/>
            </w:tcBorders>
            <w:shd w:val="clear" w:color="000000" w:fill="B8CCE4"/>
            <w:vAlign w:val="center"/>
            <w:hideMark/>
          </w:tcPr>
          <w:p w14:paraId="0711BF81" w14:textId="77777777" w:rsidR="007B3093" w:rsidRDefault="00000000">
            <w:pPr>
              <w:spacing w:after="0" w:line="240" w:lineRule="auto"/>
              <w:jc w:val="center"/>
              <w:rPr>
                <w:rFonts w:ascii="Calibri" w:eastAsia="Times New Roman" w:hAnsi="Calibri" w:cs="Calibri"/>
                <w:b/>
                <w:bCs/>
                <w:sz w:val="14"/>
                <w:szCs w:val="14"/>
                <w:lang w:val="en-US"/>
              </w:rPr>
            </w:pPr>
            <w:proofErr w:type="spellStart"/>
            <w:r>
              <w:rPr>
                <w:rFonts w:ascii="Calibri" w:eastAsia="Times New Roman" w:hAnsi="Calibri" w:cs="Calibri"/>
                <w:b/>
                <w:bCs/>
                <w:sz w:val="14"/>
                <w:szCs w:val="14"/>
                <w:lang w:val="en-US"/>
              </w:rPr>
              <w:t>Unidades</w:t>
            </w:r>
            <w:proofErr w:type="spellEnd"/>
          </w:p>
        </w:tc>
        <w:tc>
          <w:tcPr>
            <w:tcW w:w="257" w:type="pct"/>
            <w:tcBorders>
              <w:top w:val="nil"/>
              <w:left w:val="nil"/>
              <w:bottom w:val="single" w:sz="4" w:space="0" w:color="auto"/>
              <w:right w:val="single" w:sz="4" w:space="0" w:color="auto"/>
            </w:tcBorders>
            <w:shd w:val="clear" w:color="000000" w:fill="B8CCE4"/>
            <w:vAlign w:val="center"/>
            <w:hideMark/>
          </w:tcPr>
          <w:p w14:paraId="4EEC7A06"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w:t>
            </w:r>
            <w:proofErr w:type="spellStart"/>
            <w:r>
              <w:rPr>
                <w:rFonts w:ascii="Calibri" w:eastAsia="Times New Roman" w:hAnsi="Calibri" w:cs="Calibri"/>
                <w:b/>
                <w:bCs/>
                <w:sz w:val="14"/>
                <w:szCs w:val="14"/>
                <w:lang w:val="en-US"/>
              </w:rPr>
              <w:t>Ponderado</w:t>
            </w:r>
            <w:proofErr w:type="spellEnd"/>
          </w:p>
        </w:tc>
        <w:tc>
          <w:tcPr>
            <w:tcW w:w="253" w:type="pct"/>
            <w:vMerge/>
            <w:tcBorders>
              <w:top w:val="nil"/>
              <w:left w:val="single" w:sz="4" w:space="0" w:color="auto"/>
              <w:bottom w:val="single" w:sz="4" w:space="0" w:color="auto"/>
              <w:right w:val="single" w:sz="4" w:space="0" w:color="auto"/>
            </w:tcBorders>
            <w:vAlign w:val="center"/>
            <w:hideMark/>
          </w:tcPr>
          <w:p w14:paraId="611220EE" w14:textId="77777777" w:rsidR="007B3093" w:rsidRDefault="007B3093">
            <w:pPr>
              <w:spacing w:after="0" w:line="240" w:lineRule="auto"/>
              <w:rPr>
                <w:rFonts w:ascii="Calibri" w:eastAsia="Times New Roman" w:hAnsi="Calibri" w:cs="Calibri"/>
                <w:b/>
                <w:bCs/>
                <w:sz w:val="14"/>
                <w:szCs w:val="14"/>
                <w:lang w:val="en-US"/>
              </w:rPr>
            </w:pPr>
          </w:p>
        </w:tc>
        <w:tc>
          <w:tcPr>
            <w:tcW w:w="257" w:type="pct"/>
            <w:vMerge/>
            <w:tcBorders>
              <w:top w:val="nil"/>
              <w:left w:val="single" w:sz="4" w:space="0" w:color="auto"/>
              <w:bottom w:val="single" w:sz="4" w:space="0" w:color="auto"/>
              <w:right w:val="single" w:sz="4" w:space="0" w:color="auto"/>
            </w:tcBorders>
            <w:vAlign w:val="center"/>
            <w:hideMark/>
          </w:tcPr>
          <w:p w14:paraId="0F8621C1" w14:textId="77777777" w:rsidR="007B3093" w:rsidRDefault="007B3093">
            <w:pPr>
              <w:spacing w:after="0" w:line="240" w:lineRule="auto"/>
              <w:rPr>
                <w:rFonts w:ascii="Calibri" w:eastAsia="Times New Roman" w:hAnsi="Calibri" w:cs="Calibri"/>
                <w:b/>
                <w:bCs/>
                <w:sz w:val="14"/>
                <w:szCs w:val="14"/>
                <w:lang w:val="en-US"/>
              </w:rPr>
            </w:pPr>
          </w:p>
        </w:tc>
      </w:tr>
      <w:tr w:rsidR="007B3093" w14:paraId="0E9369B2" w14:textId="77777777">
        <w:trPr>
          <w:trHeight w:val="300"/>
        </w:trPr>
        <w:tc>
          <w:tcPr>
            <w:tcW w:w="378" w:type="pct"/>
            <w:tcBorders>
              <w:top w:val="nil"/>
              <w:left w:val="single" w:sz="4" w:space="0" w:color="auto"/>
              <w:bottom w:val="single" w:sz="4" w:space="0" w:color="auto"/>
              <w:right w:val="single" w:sz="4" w:space="0" w:color="auto"/>
            </w:tcBorders>
            <w:shd w:val="clear" w:color="000000" w:fill="DCE6F1"/>
            <w:noWrap/>
            <w:vAlign w:val="center"/>
            <w:hideMark/>
          </w:tcPr>
          <w:p w14:paraId="000CD60D" w14:textId="77777777" w:rsidR="007B3093" w:rsidRDefault="00000000">
            <w:pPr>
              <w:spacing w:after="0" w:line="240" w:lineRule="auto"/>
              <w:rPr>
                <w:rFonts w:ascii="Calibri" w:eastAsia="Times New Roman" w:hAnsi="Calibri" w:cs="Calibri"/>
                <w:b/>
                <w:bCs/>
                <w:sz w:val="14"/>
                <w:szCs w:val="14"/>
                <w:lang w:val="en-US"/>
              </w:rPr>
            </w:pPr>
            <w:r>
              <w:rPr>
                <w:rFonts w:ascii="Calibri" w:eastAsia="Times New Roman" w:hAnsi="Calibri" w:cs="Calibri"/>
                <w:b/>
                <w:bCs/>
                <w:sz w:val="14"/>
                <w:szCs w:val="14"/>
                <w:lang w:val="en-US"/>
              </w:rPr>
              <w:t>COMPONENTE 1</w:t>
            </w:r>
          </w:p>
        </w:tc>
        <w:tc>
          <w:tcPr>
            <w:tcW w:w="264" w:type="pct"/>
            <w:tcBorders>
              <w:top w:val="nil"/>
              <w:left w:val="nil"/>
              <w:bottom w:val="single" w:sz="4" w:space="0" w:color="auto"/>
              <w:right w:val="single" w:sz="4" w:space="0" w:color="auto"/>
            </w:tcBorders>
            <w:shd w:val="clear" w:color="000000" w:fill="DCE6F1"/>
            <w:noWrap/>
            <w:vAlign w:val="center"/>
            <w:hideMark/>
          </w:tcPr>
          <w:p w14:paraId="077C7237"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31" w:type="pct"/>
            <w:tcBorders>
              <w:top w:val="nil"/>
              <w:left w:val="nil"/>
              <w:bottom w:val="single" w:sz="4" w:space="0" w:color="auto"/>
              <w:right w:val="single" w:sz="4" w:space="0" w:color="auto"/>
            </w:tcBorders>
            <w:shd w:val="clear" w:color="000000" w:fill="DCE6F1"/>
            <w:noWrap/>
            <w:vAlign w:val="center"/>
            <w:hideMark/>
          </w:tcPr>
          <w:p w14:paraId="4C365204"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63" w:type="pct"/>
            <w:tcBorders>
              <w:top w:val="nil"/>
              <w:left w:val="nil"/>
              <w:bottom w:val="single" w:sz="4" w:space="0" w:color="auto"/>
              <w:right w:val="single" w:sz="4" w:space="0" w:color="auto"/>
            </w:tcBorders>
            <w:shd w:val="clear" w:color="000000" w:fill="DCE6F1"/>
            <w:noWrap/>
            <w:vAlign w:val="center"/>
            <w:hideMark/>
          </w:tcPr>
          <w:p w14:paraId="5AF54720"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30" w:type="pct"/>
            <w:tcBorders>
              <w:top w:val="nil"/>
              <w:left w:val="nil"/>
              <w:bottom w:val="single" w:sz="4" w:space="0" w:color="auto"/>
              <w:right w:val="single" w:sz="4" w:space="0" w:color="auto"/>
            </w:tcBorders>
            <w:shd w:val="clear" w:color="000000" w:fill="DCE6F1"/>
            <w:noWrap/>
            <w:vAlign w:val="center"/>
            <w:hideMark/>
          </w:tcPr>
          <w:p w14:paraId="0EB67EEE"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64,50%</w:t>
            </w:r>
          </w:p>
        </w:tc>
        <w:tc>
          <w:tcPr>
            <w:tcW w:w="218" w:type="pct"/>
            <w:tcBorders>
              <w:top w:val="nil"/>
              <w:left w:val="nil"/>
              <w:bottom w:val="single" w:sz="4" w:space="0" w:color="auto"/>
              <w:right w:val="single" w:sz="4" w:space="0" w:color="auto"/>
            </w:tcBorders>
            <w:shd w:val="clear" w:color="000000" w:fill="DCE6F1"/>
            <w:noWrap/>
            <w:vAlign w:val="center"/>
            <w:hideMark/>
          </w:tcPr>
          <w:p w14:paraId="0A301DF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18" w:type="pct"/>
            <w:tcBorders>
              <w:top w:val="nil"/>
              <w:left w:val="nil"/>
              <w:bottom w:val="single" w:sz="4" w:space="0" w:color="auto"/>
              <w:right w:val="single" w:sz="4" w:space="0" w:color="auto"/>
            </w:tcBorders>
            <w:shd w:val="clear" w:color="000000" w:fill="DCE6F1"/>
            <w:noWrap/>
            <w:vAlign w:val="center"/>
            <w:hideMark/>
          </w:tcPr>
          <w:p w14:paraId="72F98A34"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191" w:type="pct"/>
            <w:tcBorders>
              <w:top w:val="nil"/>
              <w:left w:val="nil"/>
              <w:bottom w:val="single" w:sz="4" w:space="0" w:color="auto"/>
              <w:right w:val="single" w:sz="4" w:space="0" w:color="auto"/>
            </w:tcBorders>
            <w:shd w:val="clear" w:color="000000" w:fill="DCE6F1"/>
            <w:noWrap/>
            <w:vAlign w:val="center"/>
            <w:hideMark/>
          </w:tcPr>
          <w:p w14:paraId="6A37DD0E"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7C285F23"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6,45%</w:t>
            </w:r>
          </w:p>
        </w:tc>
        <w:tc>
          <w:tcPr>
            <w:tcW w:w="191" w:type="pct"/>
            <w:tcBorders>
              <w:top w:val="nil"/>
              <w:left w:val="nil"/>
              <w:bottom w:val="single" w:sz="4" w:space="0" w:color="auto"/>
              <w:right w:val="single" w:sz="4" w:space="0" w:color="auto"/>
            </w:tcBorders>
            <w:shd w:val="clear" w:color="000000" w:fill="DCE6F1"/>
            <w:noWrap/>
            <w:vAlign w:val="center"/>
            <w:hideMark/>
          </w:tcPr>
          <w:p w14:paraId="33D6C7FD"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51C2FB91"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15,48%</w:t>
            </w:r>
          </w:p>
        </w:tc>
        <w:tc>
          <w:tcPr>
            <w:tcW w:w="191" w:type="pct"/>
            <w:tcBorders>
              <w:top w:val="nil"/>
              <w:left w:val="nil"/>
              <w:bottom w:val="single" w:sz="4" w:space="0" w:color="auto"/>
              <w:right w:val="single" w:sz="4" w:space="0" w:color="auto"/>
            </w:tcBorders>
            <w:shd w:val="clear" w:color="000000" w:fill="DCE6F1"/>
            <w:noWrap/>
            <w:vAlign w:val="center"/>
            <w:hideMark/>
          </w:tcPr>
          <w:p w14:paraId="4039CE88"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04B4FD9E"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9,03%</w:t>
            </w:r>
          </w:p>
        </w:tc>
        <w:tc>
          <w:tcPr>
            <w:tcW w:w="191" w:type="pct"/>
            <w:tcBorders>
              <w:top w:val="nil"/>
              <w:left w:val="nil"/>
              <w:bottom w:val="single" w:sz="4" w:space="0" w:color="auto"/>
              <w:right w:val="single" w:sz="4" w:space="0" w:color="auto"/>
            </w:tcBorders>
            <w:shd w:val="clear" w:color="000000" w:fill="DCE6F1"/>
            <w:noWrap/>
            <w:vAlign w:val="center"/>
            <w:hideMark/>
          </w:tcPr>
          <w:p w14:paraId="2E725171"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72AB3AFB"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4,52%</w:t>
            </w:r>
          </w:p>
        </w:tc>
        <w:tc>
          <w:tcPr>
            <w:tcW w:w="191" w:type="pct"/>
            <w:tcBorders>
              <w:top w:val="nil"/>
              <w:left w:val="nil"/>
              <w:bottom w:val="single" w:sz="4" w:space="0" w:color="auto"/>
              <w:right w:val="single" w:sz="4" w:space="0" w:color="auto"/>
            </w:tcBorders>
            <w:shd w:val="clear" w:color="000000" w:fill="DCE6F1"/>
            <w:noWrap/>
            <w:vAlign w:val="center"/>
            <w:hideMark/>
          </w:tcPr>
          <w:p w14:paraId="2E02B4B5"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38DB519B"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4,52%</w:t>
            </w:r>
          </w:p>
        </w:tc>
        <w:tc>
          <w:tcPr>
            <w:tcW w:w="191" w:type="pct"/>
            <w:tcBorders>
              <w:top w:val="nil"/>
              <w:left w:val="nil"/>
              <w:bottom w:val="single" w:sz="4" w:space="0" w:color="auto"/>
              <w:right w:val="single" w:sz="4" w:space="0" w:color="auto"/>
            </w:tcBorders>
            <w:shd w:val="clear" w:color="000000" w:fill="DCE6F1"/>
            <w:noWrap/>
            <w:vAlign w:val="center"/>
            <w:hideMark/>
          </w:tcPr>
          <w:p w14:paraId="50D67695"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4E9012B6"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24,51%</w:t>
            </w:r>
          </w:p>
        </w:tc>
        <w:tc>
          <w:tcPr>
            <w:tcW w:w="253" w:type="pct"/>
            <w:tcBorders>
              <w:top w:val="nil"/>
              <w:left w:val="nil"/>
              <w:bottom w:val="single" w:sz="4" w:space="0" w:color="auto"/>
              <w:right w:val="single" w:sz="4" w:space="0" w:color="auto"/>
            </w:tcBorders>
            <w:shd w:val="clear" w:color="000000" w:fill="DCE6F1"/>
            <w:noWrap/>
            <w:vAlign w:val="center"/>
            <w:hideMark/>
          </w:tcPr>
          <w:p w14:paraId="082AAF21"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688D44C0"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64,50%</w:t>
            </w:r>
          </w:p>
        </w:tc>
      </w:tr>
      <w:tr w:rsidR="007B3093" w14:paraId="588FF9A1" w14:textId="77777777">
        <w:trPr>
          <w:trHeight w:val="1275"/>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484A9360"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Diseñar e implementar el modelo de gestión de la PGE.</w:t>
            </w:r>
          </w:p>
        </w:tc>
        <w:tc>
          <w:tcPr>
            <w:tcW w:w="264" w:type="pct"/>
            <w:tcBorders>
              <w:top w:val="nil"/>
              <w:left w:val="nil"/>
              <w:bottom w:val="single" w:sz="4" w:space="0" w:color="auto"/>
              <w:right w:val="single" w:sz="4" w:space="0" w:color="auto"/>
            </w:tcBorders>
            <w:shd w:val="clear" w:color="auto" w:fill="auto"/>
            <w:vAlign w:val="center"/>
            <w:hideMark/>
          </w:tcPr>
          <w:p w14:paraId="7004AF2D"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A 2025 se contará con un nuevo Modelo de gestión Institucional e instrumentos 100% implementados a nivel nacional.</w:t>
            </w:r>
          </w:p>
        </w:tc>
        <w:tc>
          <w:tcPr>
            <w:tcW w:w="231" w:type="pct"/>
            <w:tcBorders>
              <w:top w:val="nil"/>
              <w:left w:val="nil"/>
              <w:bottom w:val="single" w:sz="4" w:space="0" w:color="auto"/>
              <w:right w:val="single" w:sz="4" w:space="0" w:color="auto"/>
            </w:tcBorders>
            <w:shd w:val="clear" w:color="auto" w:fill="auto"/>
            <w:noWrap/>
            <w:vAlign w:val="center"/>
            <w:hideMark/>
          </w:tcPr>
          <w:p w14:paraId="7EC1415D"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100%</w:t>
            </w:r>
          </w:p>
        </w:tc>
        <w:tc>
          <w:tcPr>
            <w:tcW w:w="263" w:type="pct"/>
            <w:tcBorders>
              <w:top w:val="nil"/>
              <w:left w:val="nil"/>
              <w:bottom w:val="single" w:sz="4" w:space="0" w:color="auto"/>
              <w:right w:val="single" w:sz="4" w:space="0" w:color="auto"/>
            </w:tcBorders>
            <w:shd w:val="clear" w:color="auto" w:fill="auto"/>
            <w:vAlign w:val="center"/>
            <w:hideMark/>
          </w:tcPr>
          <w:p w14:paraId="56F57BE7"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w:t>
            </w:r>
            <w:proofErr w:type="spellStart"/>
            <w:r>
              <w:rPr>
                <w:rFonts w:ascii="Calibri" w:eastAsia="Times New Roman" w:hAnsi="Calibri" w:cs="Calibri"/>
                <w:sz w:val="14"/>
                <w:szCs w:val="14"/>
                <w:lang w:val="en-US"/>
              </w:rPr>
              <w:t>Modelo</w:t>
            </w:r>
            <w:proofErr w:type="spellEnd"/>
            <w:r>
              <w:rPr>
                <w:rFonts w:ascii="Calibri" w:eastAsia="Times New Roman" w:hAnsi="Calibri" w:cs="Calibri"/>
                <w:sz w:val="14"/>
                <w:szCs w:val="14"/>
                <w:lang w:val="en-US"/>
              </w:rPr>
              <w:t xml:space="preserve"> de gestión </w:t>
            </w:r>
            <w:proofErr w:type="spellStart"/>
            <w:r>
              <w:rPr>
                <w:rFonts w:ascii="Calibri" w:eastAsia="Times New Roman" w:hAnsi="Calibri" w:cs="Calibri"/>
                <w:sz w:val="14"/>
                <w:szCs w:val="14"/>
                <w:lang w:val="en-US"/>
              </w:rPr>
              <w:t>implementado</w:t>
            </w:r>
            <w:proofErr w:type="spellEnd"/>
          </w:p>
        </w:tc>
        <w:tc>
          <w:tcPr>
            <w:tcW w:w="230" w:type="pct"/>
            <w:tcBorders>
              <w:top w:val="nil"/>
              <w:left w:val="nil"/>
              <w:bottom w:val="single" w:sz="4" w:space="0" w:color="auto"/>
              <w:right w:val="single" w:sz="4" w:space="0" w:color="auto"/>
            </w:tcBorders>
            <w:shd w:val="clear" w:color="auto" w:fill="auto"/>
            <w:noWrap/>
            <w:vAlign w:val="center"/>
            <w:hideMark/>
          </w:tcPr>
          <w:p w14:paraId="229F3525"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64,50%</w:t>
            </w:r>
          </w:p>
        </w:tc>
        <w:tc>
          <w:tcPr>
            <w:tcW w:w="218" w:type="pct"/>
            <w:tcBorders>
              <w:top w:val="nil"/>
              <w:left w:val="nil"/>
              <w:bottom w:val="single" w:sz="4" w:space="0" w:color="auto"/>
              <w:right w:val="single" w:sz="4" w:space="0" w:color="auto"/>
            </w:tcBorders>
            <w:shd w:val="clear" w:color="auto" w:fill="auto"/>
            <w:noWrap/>
            <w:vAlign w:val="center"/>
            <w:hideMark/>
          </w:tcPr>
          <w:p w14:paraId="50C69951"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218" w:type="pct"/>
            <w:tcBorders>
              <w:top w:val="nil"/>
              <w:left w:val="nil"/>
              <w:bottom w:val="single" w:sz="4" w:space="0" w:color="auto"/>
              <w:right w:val="single" w:sz="4" w:space="0" w:color="auto"/>
            </w:tcBorders>
            <w:shd w:val="clear" w:color="000000" w:fill="F2F2F2"/>
            <w:noWrap/>
            <w:vAlign w:val="center"/>
            <w:hideMark/>
          </w:tcPr>
          <w:p w14:paraId="6DF4A033"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191" w:type="pct"/>
            <w:tcBorders>
              <w:top w:val="nil"/>
              <w:left w:val="nil"/>
              <w:bottom w:val="single" w:sz="4" w:space="0" w:color="auto"/>
              <w:right w:val="single" w:sz="4" w:space="0" w:color="auto"/>
            </w:tcBorders>
            <w:shd w:val="clear" w:color="auto" w:fill="auto"/>
            <w:noWrap/>
            <w:vAlign w:val="center"/>
            <w:hideMark/>
          </w:tcPr>
          <w:p w14:paraId="5CB2B45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0,10</w:t>
            </w:r>
          </w:p>
        </w:tc>
        <w:tc>
          <w:tcPr>
            <w:tcW w:w="257" w:type="pct"/>
            <w:tcBorders>
              <w:top w:val="nil"/>
              <w:left w:val="nil"/>
              <w:bottom w:val="single" w:sz="4" w:space="0" w:color="auto"/>
              <w:right w:val="single" w:sz="4" w:space="0" w:color="auto"/>
            </w:tcBorders>
            <w:shd w:val="clear" w:color="000000" w:fill="F2F2F2"/>
            <w:noWrap/>
            <w:vAlign w:val="center"/>
            <w:hideMark/>
          </w:tcPr>
          <w:p w14:paraId="4EBC87ED"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6,45%</w:t>
            </w:r>
          </w:p>
        </w:tc>
        <w:tc>
          <w:tcPr>
            <w:tcW w:w="191" w:type="pct"/>
            <w:tcBorders>
              <w:top w:val="nil"/>
              <w:left w:val="nil"/>
              <w:bottom w:val="single" w:sz="4" w:space="0" w:color="auto"/>
              <w:right w:val="single" w:sz="4" w:space="0" w:color="auto"/>
            </w:tcBorders>
            <w:shd w:val="clear" w:color="auto" w:fill="auto"/>
            <w:noWrap/>
            <w:vAlign w:val="center"/>
            <w:hideMark/>
          </w:tcPr>
          <w:p w14:paraId="31B77CA5"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0,24</w:t>
            </w:r>
          </w:p>
        </w:tc>
        <w:tc>
          <w:tcPr>
            <w:tcW w:w="257" w:type="pct"/>
            <w:tcBorders>
              <w:top w:val="nil"/>
              <w:left w:val="nil"/>
              <w:bottom w:val="single" w:sz="4" w:space="0" w:color="auto"/>
              <w:right w:val="single" w:sz="4" w:space="0" w:color="auto"/>
            </w:tcBorders>
            <w:shd w:val="clear" w:color="000000" w:fill="F2F2F2"/>
            <w:noWrap/>
            <w:vAlign w:val="center"/>
            <w:hideMark/>
          </w:tcPr>
          <w:p w14:paraId="67358ED8"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15,48%</w:t>
            </w:r>
          </w:p>
        </w:tc>
        <w:tc>
          <w:tcPr>
            <w:tcW w:w="191" w:type="pct"/>
            <w:tcBorders>
              <w:top w:val="nil"/>
              <w:left w:val="nil"/>
              <w:bottom w:val="single" w:sz="4" w:space="0" w:color="auto"/>
              <w:right w:val="single" w:sz="4" w:space="0" w:color="auto"/>
            </w:tcBorders>
            <w:shd w:val="clear" w:color="auto" w:fill="auto"/>
            <w:noWrap/>
            <w:vAlign w:val="center"/>
            <w:hideMark/>
          </w:tcPr>
          <w:p w14:paraId="0CB5EA8F"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0,14</w:t>
            </w:r>
          </w:p>
        </w:tc>
        <w:tc>
          <w:tcPr>
            <w:tcW w:w="257" w:type="pct"/>
            <w:tcBorders>
              <w:top w:val="nil"/>
              <w:left w:val="nil"/>
              <w:bottom w:val="single" w:sz="4" w:space="0" w:color="auto"/>
              <w:right w:val="single" w:sz="4" w:space="0" w:color="auto"/>
            </w:tcBorders>
            <w:shd w:val="clear" w:color="000000" w:fill="F2F2F2"/>
            <w:noWrap/>
            <w:vAlign w:val="center"/>
            <w:hideMark/>
          </w:tcPr>
          <w:p w14:paraId="39F42D9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9,03%</w:t>
            </w:r>
          </w:p>
        </w:tc>
        <w:tc>
          <w:tcPr>
            <w:tcW w:w="191" w:type="pct"/>
            <w:tcBorders>
              <w:top w:val="nil"/>
              <w:left w:val="nil"/>
              <w:bottom w:val="single" w:sz="4" w:space="0" w:color="auto"/>
              <w:right w:val="single" w:sz="4" w:space="0" w:color="auto"/>
            </w:tcBorders>
            <w:shd w:val="clear" w:color="auto" w:fill="auto"/>
            <w:noWrap/>
            <w:vAlign w:val="center"/>
            <w:hideMark/>
          </w:tcPr>
          <w:p w14:paraId="6786CCA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0,07</w:t>
            </w:r>
          </w:p>
        </w:tc>
        <w:tc>
          <w:tcPr>
            <w:tcW w:w="257" w:type="pct"/>
            <w:tcBorders>
              <w:top w:val="nil"/>
              <w:left w:val="nil"/>
              <w:bottom w:val="single" w:sz="4" w:space="0" w:color="auto"/>
              <w:right w:val="single" w:sz="4" w:space="0" w:color="auto"/>
            </w:tcBorders>
            <w:shd w:val="clear" w:color="000000" w:fill="F2F2F2"/>
            <w:noWrap/>
            <w:vAlign w:val="center"/>
            <w:hideMark/>
          </w:tcPr>
          <w:p w14:paraId="39671796"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4,52%</w:t>
            </w:r>
          </w:p>
        </w:tc>
        <w:tc>
          <w:tcPr>
            <w:tcW w:w="191" w:type="pct"/>
            <w:tcBorders>
              <w:top w:val="nil"/>
              <w:left w:val="nil"/>
              <w:bottom w:val="single" w:sz="4" w:space="0" w:color="auto"/>
              <w:right w:val="single" w:sz="4" w:space="0" w:color="auto"/>
            </w:tcBorders>
            <w:shd w:val="clear" w:color="auto" w:fill="auto"/>
            <w:noWrap/>
            <w:vAlign w:val="center"/>
            <w:hideMark/>
          </w:tcPr>
          <w:p w14:paraId="4300B04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0,07</w:t>
            </w:r>
          </w:p>
        </w:tc>
        <w:tc>
          <w:tcPr>
            <w:tcW w:w="257" w:type="pct"/>
            <w:tcBorders>
              <w:top w:val="nil"/>
              <w:left w:val="nil"/>
              <w:bottom w:val="single" w:sz="4" w:space="0" w:color="auto"/>
              <w:right w:val="single" w:sz="4" w:space="0" w:color="auto"/>
            </w:tcBorders>
            <w:shd w:val="clear" w:color="000000" w:fill="F2F2F2"/>
            <w:noWrap/>
            <w:vAlign w:val="center"/>
            <w:hideMark/>
          </w:tcPr>
          <w:p w14:paraId="0C787FDF"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4,52%</w:t>
            </w:r>
          </w:p>
        </w:tc>
        <w:tc>
          <w:tcPr>
            <w:tcW w:w="191" w:type="pct"/>
            <w:tcBorders>
              <w:top w:val="nil"/>
              <w:left w:val="nil"/>
              <w:bottom w:val="single" w:sz="4" w:space="0" w:color="auto"/>
              <w:right w:val="single" w:sz="4" w:space="0" w:color="auto"/>
            </w:tcBorders>
            <w:shd w:val="clear" w:color="auto" w:fill="auto"/>
            <w:noWrap/>
            <w:vAlign w:val="center"/>
            <w:hideMark/>
          </w:tcPr>
          <w:p w14:paraId="05CE583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0,38</w:t>
            </w:r>
          </w:p>
        </w:tc>
        <w:tc>
          <w:tcPr>
            <w:tcW w:w="257" w:type="pct"/>
            <w:tcBorders>
              <w:top w:val="nil"/>
              <w:left w:val="nil"/>
              <w:bottom w:val="single" w:sz="4" w:space="0" w:color="auto"/>
              <w:right w:val="single" w:sz="4" w:space="0" w:color="auto"/>
            </w:tcBorders>
            <w:shd w:val="clear" w:color="000000" w:fill="F2F2F2"/>
            <w:noWrap/>
            <w:vAlign w:val="center"/>
            <w:hideMark/>
          </w:tcPr>
          <w:p w14:paraId="581A22E5"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24,51%</w:t>
            </w:r>
          </w:p>
        </w:tc>
        <w:tc>
          <w:tcPr>
            <w:tcW w:w="253" w:type="pct"/>
            <w:tcBorders>
              <w:top w:val="nil"/>
              <w:left w:val="nil"/>
              <w:bottom w:val="single" w:sz="4" w:space="0" w:color="auto"/>
              <w:right w:val="single" w:sz="4" w:space="0" w:color="auto"/>
            </w:tcBorders>
            <w:shd w:val="clear" w:color="000000" w:fill="F2F2F2"/>
            <w:noWrap/>
            <w:vAlign w:val="center"/>
            <w:hideMark/>
          </w:tcPr>
          <w:p w14:paraId="7DB995E3"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1,00</w:t>
            </w:r>
          </w:p>
        </w:tc>
        <w:tc>
          <w:tcPr>
            <w:tcW w:w="257" w:type="pct"/>
            <w:tcBorders>
              <w:top w:val="nil"/>
              <w:left w:val="nil"/>
              <w:bottom w:val="single" w:sz="4" w:space="0" w:color="auto"/>
              <w:right w:val="single" w:sz="4" w:space="0" w:color="auto"/>
            </w:tcBorders>
            <w:shd w:val="clear" w:color="000000" w:fill="F2F2F2"/>
            <w:noWrap/>
            <w:vAlign w:val="center"/>
            <w:hideMark/>
          </w:tcPr>
          <w:p w14:paraId="53B8187B"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64,50%</w:t>
            </w:r>
          </w:p>
        </w:tc>
      </w:tr>
      <w:tr w:rsidR="007B3093" w14:paraId="53649F67" w14:textId="77777777">
        <w:trPr>
          <w:trHeight w:val="300"/>
        </w:trPr>
        <w:tc>
          <w:tcPr>
            <w:tcW w:w="378" w:type="pct"/>
            <w:tcBorders>
              <w:top w:val="nil"/>
              <w:left w:val="single" w:sz="4" w:space="0" w:color="auto"/>
              <w:bottom w:val="single" w:sz="4" w:space="0" w:color="auto"/>
              <w:right w:val="single" w:sz="4" w:space="0" w:color="auto"/>
            </w:tcBorders>
            <w:shd w:val="clear" w:color="000000" w:fill="DCE6F1"/>
            <w:noWrap/>
            <w:vAlign w:val="center"/>
            <w:hideMark/>
          </w:tcPr>
          <w:p w14:paraId="26687240" w14:textId="77777777" w:rsidR="007B3093" w:rsidRDefault="00000000">
            <w:pPr>
              <w:spacing w:after="0" w:line="240" w:lineRule="auto"/>
              <w:rPr>
                <w:rFonts w:ascii="Calibri" w:eastAsia="Times New Roman" w:hAnsi="Calibri" w:cs="Calibri"/>
                <w:b/>
                <w:bCs/>
                <w:sz w:val="14"/>
                <w:szCs w:val="14"/>
                <w:lang w:val="en-US"/>
              </w:rPr>
            </w:pPr>
            <w:r>
              <w:rPr>
                <w:rFonts w:ascii="Calibri" w:eastAsia="Times New Roman" w:hAnsi="Calibri" w:cs="Calibri"/>
                <w:b/>
                <w:bCs/>
                <w:sz w:val="14"/>
                <w:szCs w:val="14"/>
                <w:lang w:val="en-US"/>
              </w:rPr>
              <w:t>COMPONENTE 2</w:t>
            </w:r>
          </w:p>
        </w:tc>
        <w:tc>
          <w:tcPr>
            <w:tcW w:w="264" w:type="pct"/>
            <w:tcBorders>
              <w:top w:val="nil"/>
              <w:left w:val="nil"/>
              <w:bottom w:val="single" w:sz="4" w:space="0" w:color="auto"/>
              <w:right w:val="single" w:sz="4" w:space="0" w:color="auto"/>
            </w:tcBorders>
            <w:shd w:val="clear" w:color="000000" w:fill="DCE6F1"/>
            <w:noWrap/>
            <w:vAlign w:val="center"/>
            <w:hideMark/>
          </w:tcPr>
          <w:p w14:paraId="0FF3D626"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31" w:type="pct"/>
            <w:tcBorders>
              <w:top w:val="nil"/>
              <w:left w:val="nil"/>
              <w:bottom w:val="single" w:sz="4" w:space="0" w:color="auto"/>
              <w:right w:val="single" w:sz="4" w:space="0" w:color="auto"/>
            </w:tcBorders>
            <w:shd w:val="clear" w:color="000000" w:fill="DCE6F1"/>
            <w:noWrap/>
            <w:vAlign w:val="center"/>
            <w:hideMark/>
          </w:tcPr>
          <w:p w14:paraId="186B1B91"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63" w:type="pct"/>
            <w:tcBorders>
              <w:top w:val="nil"/>
              <w:left w:val="nil"/>
              <w:bottom w:val="single" w:sz="4" w:space="0" w:color="auto"/>
              <w:right w:val="single" w:sz="4" w:space="0" w:color="auto"/>
            </w:tcBorders>
            <w:shd w:val="clear" w:color="000000" w:fill="DCE6F1"/>
            <w:noWrap/>
            <w:vAlign w:val="center"/>
            <w:hideMark/>
          </w:tcPr>
          <w:p w14:paraId="600D4026"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30" w:type="pct"/>
            <w:tcBorders>
              <w:top w:val="nil"/>
              <w:left w:val="nil"/>
              <w:bottom w:val="single" w:sz="4" w:space="0" w:color="auto"/>
              <w:right w:val="single" w:sz="4" w:space="0" w:color="auto"/>
            </w:tcBorders>
            <w:shd w:val="clear" w:color="000000" w:fill="DCE6F1"/>
            <w:noWrap/>
            <w:vAlign w:val="center"/>
            <w:hideMark/>
          </w:tcPr>
          <w:p w14:paraId="7762CDAA"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14,0%</w:t>
            </w:r>
          </w:p>
        </w:tc>
        <w:tc>
          <w:tcPr>
            <w:tcW w:w="218" w:type="pct"/>
            <w:tcBorders>
              <w:top w:val="nil"/>
              <w:left w:val="nil"/>
              <w:bottom w:val="single" w:sz="4" w:space="0" w:color="auto"/>
              <w:right w:val="single" w:sz="4" w:space="0" w:color="auto"/>
            </w:tcBorders>
            <w:shd w:val="clear" w:color="000000" w:fill="DCE6F1"/>
            <w:noWrap/>
            <w:vAlign w:val="center"/>
            <w:hideMark/>
          </w:tcPr>
          <w:p w14:paraId="2478E720"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18" w:type="pct"/>
            <w:tcBorders>
              <w:top w:val="nil"/>
              <w:left w:val="nil"/>
              <w:bottom w:val="single" w:sz="4" w:space="0" w:color="auto"/>
              <w:right w:val="single" w:sz="4" w:space="0" w:color="auto"/>
            </w:tcBorders>
            <w:shd w:val="clear" w:color="000000" w:fill="DCE6F1"/>
            <w:noWrap/>
            <w:vAlign w:val="center"/>
            <w:hideMark/>
          </w:tcPr>
          <w:p w14:paraId="4D476D8C"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191" w:type="pct"/>
            <w:tcBorders>
              <w:top w:val="nil"/>
              <w:left w:val="nil"/>
              <w:bottom w:val="single" w:sz="4" w:space="0" w:color="auto"/>
              <w:right w:val="single" w:sz="4" w:space="0" w:color="auto"/>
            </w:tcBorders>
            <w:shd w:val="clear" w:color="000000" w:fill="DCE6F1"/>
            <w:noWrap/>
            <w:vAlign w:val="center"/>
            <w:hideMark/>
          </w:tcPr>
          <w:p w14:paraId="4842732B"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38491442"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3,50%</w:t>
            </w:r>
          </w:p>
        </w:tc>
        <w:tc>
          <w:tcPr>
            <w:tcW w:w="191" w:type="pct"/>
            <w:tcBorders>
              <w:top w:val="nil"/>
              <w:left w:val="nil"/>
              <w:bottom w:val="single" w:sz="4" w:space="0" w:color="auto"/>
              <w:right w:val="single" w:sz="4" w:space="0" w:color="auto"/>
            </w:tcBorders>
            <w:shd w:val="clear" w:color="000000" w:fill="DCE6F1"/>
            <w:noWrap/>
            <w:vAlign w:val="center"/>
            <w:hideMark/>
          </w:tcPr>
          <w:p w14:paraId="669B076F"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647916E5"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7,00%</w:t>
            </w:r>
          </w:p>
        </w:tc>
        <w:tc>
          <w:tcPr>
            <w:tcW w:w="191" w:type="pct"/>
            <w:tcBorders>
              <w:top w:val="nil"/>
              <w:left w:val="nil"/>
              <w:bottom w:val="single" w:sz="4" w:space="0" w:color="auto"/>
              <w:right w:val="single" w:sz="4" w:space="0" w:color="auto"/>
            </w:tcBorders>
            <w:shd w:val="clear" w:color="000000" w:fill="DCE6F1"/>
            <w:noWrap/>
            <w:vAlign w:val="center"/>
            <w:hideMark/>
          </w:tcPr>
          <w:p w14:paraId="14704CC6"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333E0BE4"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3,50% </w:t>
            </w:r>
          </w:p>
        </w:tc>
        <w:tc>
          <w:tcPr>
            <w:tcW w:w="191" w:type="pct"/>
            <w:tcBorders>
              <w:top w:val="nil"/>
              <w:left w:val="nil"/>
              <w:bottom w:val="single" w:sz="4" w:space="0" w:color="auto"/>
              <w:right w:val="single" w:sz="4" w:space="0" w:color="auto"/>
            </w:tcBorders>
            <w:shd w:val="clear" w:color="000000" w:fill="DCE6F1"/>
            <w:noWrap/>
            <w:vAlign w:val="center"/>
            <w:hideMark/>
          </w:tcPr>
          <w:p w14:paraId="6E5AFA00"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3335B97A"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191" w:type="pct"/>
            <w:tcBorders>
              <w:top w:val="nil"/>
              <w:left w:val="nil"/>
              <w:bottom w:val="single" w:sz="4" w:space="0" w:color="auto"/>
              <w:right w:val="single" w:sz="4" w:space="0" w:color="auto"/>
            </w:tcBorders>
            <w:shd w:val="clear" w:color="000000" w:fill="DCE6F1"/>
            <w:noWrap/>
            <w:vAlign w:val="center"/>
            <w:hideMark/>
          </w:tcPr>
          <w:p w14:paraId="2F195151"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79515BA7"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191" w:type="pct"/>
            <w:tcBorders>
              <w:top w:val="nil"/>
              <w:left w:val="nil"/>
              <w:bottom w:val="single" w:sz="4" w:space="0" w:color="auto"/>
              <w:right w:val="single" w:sz="4" w:space="0" w:color="auto"/>
            </w:tcBorders>
            <w:shd w:val="clear" w:color="000000" w:fill="DCE6F1"/>
            <w:noWrap/>
            <w:vAlign w:val="center"/>
            <w:hideMark/>
          </w:tcPr>
          <w:p w14:paraId="4135FD98"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4F4E87A9"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253" w:type="pct"/>
            <w:tcBorders>
              <w:top w:val="nil"/>
              <w:left w:val="nil"/>
              <w:bottom w:val="single" w:sz="4" w:space="0" w:color="auto"/>
              <w:right w:val="single" w:sz="4" w:space="0" w:color="auto"/>
            </w:tcBorders>
            <w:shd w:val="clear" w:color="000000" w:fill="DCE6F1"/>
            <w:noWrap/>
            <w:vAlign w:val="center"/>
            <w:hideMark/>
          </w:tcPr>
          <w:p w14:paraId="12B73743"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19CFC927"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14,00%</w:t>
            </w:r>
          </w:p>
        </w:tc>
      </w:tr>
      <w:tr w:rsidR="007B3093" w14:paraId="7603FC08" w14:textId="77777777">
        <w:trPr>
          <w:trHeight w:val="153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56442223"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Fortalecer la Defensa legal del Estado</w:t>
            </w:r>
          </w:p>
        </w:tc>
        <w:tc>
          <w:tcPr>
            <w:tcW w:w="264" w:type="pct"/>
            <w:tcBorders>
              <w:top w:val="nil"/>
              <w:left w:val="nil"/>
              <w:bottom w:val="single" w:sz="4" w:space="0" w:color="auto"/>
              <w:right w:val="single" w:sz="4" w:space="0" w:color="auto"/>
            </w:tcBorders>
            <w:shd w:val="clear" w:color="auto" w:fill="auto"/>
            <w:vAlign w:val="center"/>
            <w:hideMark/>
          </w:tcPr>
          <w:p w14:paraId="0EDE6BE3"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 xml:space="preserve">A 2025 se contará por lo menos con cuatro actividades implementadas de fortalecimiento de la defensa legal del </w:t>
            </w:r>
            <w:r>
              <w:rPr>
                <w:rFonts w:ascii="Calibri" w:eastAsia="Times New Roman" w:hAnsi="Calibri" w:cs="Calibri"/>
                <w:sz w:val="14"/>
                <w:szCs w:val="14"/>
              </w:rPr>
              <w:lastRenderedPageBreak/>
              <w:t>Estado conforme el contrato de crédito 4812.</w:t>
            </w:r>
          </w:p>
        </w:tc>
        <w:tc>
          <w:tcPr>
            <w:tcW w:w="231" w:type="pct"/>
            <w:tcBorders>
              <w:top w:val="nil"/>
              <w:left w:val="nil"/>
              <w:bottom w:val="single" w:sz="4" w:space="0" w:color="auto"/>
              <w:right w:val="single" w:sz="4" w:space="0" w:color="auto"/>
            </w:tcBorders>
            <w:shd w:val="clear" w:color="auto" w:fill="auto"/>
            <w:noWrap/>
            <w:vAlign w:val="center"/>
            <w:hideMark/>
          </w:tcPr>
          <w:p w14:paraId="05DDAEC6"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rPr>
              <w:lastRenderedPageBreak/>
              <w:t xml:space="preserve">                     </w:t>
            </w:r>
            <w:r>
              <w:rPr>
                <w:rFonts w:ascii="Calibri" w:eastAsia="Times New Roman" w:hAnsi="Calibri" w:cs="Calibri"/>
                <w:sz w:val="14"/>
                <w:szCs w:val="14"/>
                <w:lang w:val="en-US"/>
              </w:rPr>
              <w:t xml:space="preserve">4 </w:t>
            </w:r>
          </w:p>
        </w:tc>
        <w:tc>
          <w:tcPr>
            <w:tcW w:w="263" w:type="pct"/>
            <w:tcBorders>
              <w:top w:val="nil"/>
              <w:left w:val="nil"/>
              <w:bottom w:val="single" w:sz="4" w:space="0" w:color="auto"/>
              <w:right w:val="single" w:sz="4" w:space="0" w:color="auto"/>
            </w:tcBorders>
            <w:shd w:val="clear" w:color="auto" w:fill="auto"/>
            <w:vAlign w:val="center"/>
            <w:hideMark/>
          </w:tcPr>
          <w:p w14:paraId="24868419"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w:t>
            </w:r>
            <w:proofErr w:type="gramStart"/>
            <w:r>
              <w:rPr>
                <w:rFonts w:ascii="Calibri" w:eastAsia="Times New Roman" w:hAnsi="Calibri" w:cs="Calibri"/>
                <w:sz w:val="14"/>
                <w:szCs w:val="14"/>
                <w:lang w:val="en-US"/>
              </w:rPr>
              <w:t>de</w:t>
            </w:r>
            <w:proofErr w:type="gramEnd"/>
            <w:r>
              <w:rPr>
                <w:rFonts w:ascii="Calibri" w:eastAsia="Times New Roman" w:hAnsi="Calibri" w:cs="Calibri"/>
                <w:sz w:val="14"/>
                <w:szCs w:val="14"/>
                <w:lang w:val="en-US"/>
              </w:rPr>
              <w:t xml:space="preserve"> </w:t>
            </w:r>
            <w:proofErr w:type="spellStart"/>
            <w:r>
              <w:rPr>
                <w:rFonts w:ascii="Calibri" w:eastAsia="Times New Roman" w:hAnsi="Calibri" w:cs="Calibri"/>
                <w:sz w:val="14"/>
                <w:szCs w:val="14"/>
                <w:lang w:val="en-US"/>
              </w:rPr>
              <w:t>Actividades</w:t>
            </w:r>
            <w:proofErr w:type="spellEnd"/>
            <w:r>
              <w:rPr>
                <w:rFonts w:ascii="Calibri" w:eastAsia="Times New Roman" w:hAnsi="Calibri" w:cs="Calibri"/>
                <w:sz w:val="14"/>
                <w:szCs w:val="14"/>
                <w:lang w:val="en-US"/>
              </w:rPr>
              <w:t xml:space="preserve"> Implementadas</w:t>
            </w:r>
          </w:p>
        </w:tc>
        <w:tc>
          <w:tcPr>
            <w:tcW w:w="230" w:type="pct"/>
            <w:tcBorders>
              <w:top w:val="nil"/>
              <w:left w:val="nil"/>
              <w:bottom w:val="single" w:sz="4" w:space="0" w:color="auto"/>
              <w:right w:val="single" w:sz="4" w:space="0" w:color="auto"/>
            </w:tcBorders>
            <w:shd w:val="clear" w:color="auto" w:fill="auto"/>
            <w:noWrap/>
            <w:vAlign w:val="center"/>
            <w:hideMark/>
          </w:tcPr>
          <w:p w14:paraId="57868654"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14,0%</w:t>
            </w:r>
          </w:p>
        </w:tc>
        <w:tc>
          <w:tcPr>
            <w:tcW w:w="218" w:type="pct"/>
            <w:tcBorders>
              <w:top w:val="nil"/>
              <w:left w:val="nil"/>
              <w:bottom w:val="single" w:sz="4" w:space="0" w:color="auto"/>
              <w:right w:val="single" w:sz="4" w:space="0" w:color="auto"/>
            </w:tcBorders>
            <w:shd w:val="clear" w:color="auto" w:fill="auto"/>
            <w:noWrap/>
            <w:vAlign w:val="center"/>
            <w:hideMark/>
          </w:tcPr>
          <w:p w14:paraId="5EDC16C9"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218" w:type="pct"/>
            <w:tcBorders>
              <w:top w:val="nil"/>
              <w:left w:val="nil"/>
              <w:bottom w:val="single" w:sz="4" w:space="0" w:color="auto"/>
              <w:right w:val="single" w:sz="4" w:space="0" w:color="auto"/>
            </w:tcBorders>
            <w:shd w:val="clear" w:color="000000" w:fill="F2F2F2"/>
            <w:noWrap/>
            <w:vAlign w:val="center"/>
            <w:hideMark/>
          </w:tcPr>
          <w:p w14:paraId="3C6307CB"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191" w:type="pct"/>
            <w:tcBorders>
              <w:top w:val="nil"/>
              <w:left w:val="nil"/>
              <w:bottom w:val="single" w:sz="4" w:space="0" w:color="auto"/>
              <w:right w:val="single" w:sz="4" w:space="0" w:color="auto"/>
            </w:tcBorders>
            <w:shd w:val="clear" w:color="auto" w:fill="auto"/>
            <w:noWrap/>
            <w:vAlign w:val="center"/>
            <w:hideMark/>
          </w:tcPr>
          <w:p w14:paraId="3E2ECA5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w:t>
            </w:r>
          </w:p>
        </w:tc>
        <w:tc>
          <w:tcPr>
            <w:tcW w:w="257" w:type="pct"/>
            <w:tcBorders>
              <w:top w:val="nil"/>
              <w:left w:val="nil"/>
              <w:bottom w:val="single" w:sz="4" w:space="0" w:color="auto"/>
              <w:right w:val="single" w:sz="4" w:space="0" w:color="auto"/>
            </w:tcBorders>
            <w:shd w:val="clear" w:color="000000" w:fill="F2F2F2"/>
            <w:noWrap/>
            <w:vAlign w:val="center"/>
            <w:hideMark/>
          </w:tcPr>
          <w:p w14:paraId="241646E6"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3,50%</w:t>
            </w:r>
          </w:p>
        </w:tc>
        <w:tc>
          <w:tcPr>
            <w:tcW w:w="191" w:type="pct"/>
            <w:tcBorders>
              <w:top w:val="nil"/>
              <w:left w:val="nil"/>
              <w:bottom w:val="single" w:sz="4" w:space="0" w:color="auto"/>
              <w:right w:val="single" w:sz="4" w:space="0" w:color="auto"/>
            </w:tcBorders>
            <w:shd w:val="clear" w:color="auto" w:fill="auto"/>
            <w:noWrap/>
            <w:vAlign w:val="center"/>
            <w:hideMark/>
          </w:tcPr>
          <w:p w14:paraId="05AABBBA"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2</w:t>
            </w:r>
          </w:p>
        </w:tc>
        <w:tc>
          <w:tcPr>
            <w:tcW w:w="257" w:type="pct"/>
            <w:tcBorders>
              <w:top w:val="nil"/>
              <w:left w:val="nil"/>
              <w:bottom w:val="single" w:sz="4" w:space="0" w:color="auto"/>
              <w:right w:val="single" w:sz="4" w:space="0" w:color="auto"/>
            </w:tcBorders>
            <w:shd w:val="clear" w:color="000000" w:fill="F2F2F2"/>
            <w:noWrap/>
            <w:vAlign w:val="center"/>
            <w:hideMark/>
          </w:tcPr>
          <w:p w14:paraId="01F07DB4"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7,00%</w:t>
            </w:r>
          </w:p>
        </w:tc>
        <w:tc>
          <w:tcPr>
            <w:tcW w:w="191" w:type="pct"/>
            <w:tcBorders>
              <w:top w:val="nil"/>
              <w:left w:val="nil"/>
              <w:bottom w:val="single" w:sz="4" w:space="0" w:color="auto"/>
              <w:right w:val="single" w:sz="4" w:space="0" w:color="auto"/>
            </w:tcBorders>
            <w:shd w:val="clear" w:color="auto" w:fill="auto"/>
            <w:noWrap/>
            <w:vAlign w:val="center"/>
            <w:hideMark/>
          </w:tcPr>
          <w:p w14:paraId="02131F89"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w:t>
            </w:r>
          </w:p>
        </w:tc>
        <w:tc>
          <w:tcPr>
            <w:tcW w:w="257" w:type="pct"/>
            <w:tcBorders>
              <w:top w:val="nil"/>
              <w:left w:val="nil"/>
              <w:bottom w:val="single" w:sz="4" w:space="0" w:color="auto"/>
              <w:right w:val="single" w:sz="4" w:space="0" w:color="auto"/>
            </w:tcBorders>
            <w:shd w:val="clear" w:color="000000" w:fill="F2F2F2"/>
            <w:noWrap/>
            <w:vAlign w:val="center"/>
            <w:hideMark/>
          </w:tcPr>
          <w:p w14:paraId="32AD86A4"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3,50% </w:t>
            </w:r>
          </w:p>
        </w:tc>
        <w:tc>
          <w:tcPr>
            <w:tcW w:w="191" w:type="pct"/>
            <w:tcBorders>
              <w:top w:val="nil"/>
              <w:left w:val="nil"/>
              <w:bottom w:val="single" w:sz="4" w:space="0" w:color="auto"/>
              <w:right w:val="single" w:sz="4" w:space="0" w:color="auto"/>
            </w:tcBorders>
            <w:shd w:val="clear" w:color="auto" w:fill="auto"/>
            <w:noWrap/>
            <w:vAlign w:val="center"/>
            <w:hideMark/>
          </w:tcPr>
          <w:p w14:paraId="46131113"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w:t>
            </w:r>
          </w:p>
        </w:tc>
        <w:tc>
          <w:tcPr>
            <w:tcW w:w="257" w:type="pct"/>
            <w:tcBorders>
              <w:top w:val="nil"/>
              <w:left w:val="nil"/>
              <w:bottom w:val="single" w:sz="4" w:space="0" w:color="auto"/>
              <w:right w:val="single" w:sz="4" w:space="0" w:color="auto"/>
            </w:tcBorders>
            <w:shd w:val="clear" w:color="000000" w:fill="F2F2F2"/>
            <w:noWrap/>
            <w:vAlign w:val="center"/>
            <w:hideMark/>
          </w:tcPr>
          <w:p w14:paraId="6482CD6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191" w:type="pct"/>
            <w:tcBorders>
              <w:top w:val="nil"/>
              <w:left w:val="nil"/>
              <w:bottom w:val="single" w:sz="4" w:space="0" w:color="auto"/>
              <w:right w:val="single" w:sz="4" w:space="0" w:color="auto"/>
            </w:tcBorders>
            <w:shd w:val="clear" w:color="auto" w:fill="auto"/>
            <w:noWrap/>
            <w:vAlign w:val="center"/>
            <w:hideMark/>
          </w:tcPr>
          <w:p w14:paraId="090E0D6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w:t>
            </w:r>
          </w:p>
        </w:tc>
        <w:tc>
          <w:tcPr>
            <w:tcW w:w="257" w:type="pct"/>
            <w:tcBorders>
              <w:top w:val="nil"/>
              <w:left w:val="nil"/>
              <w:bottom w:val="single" w:sz="4" w:space="0" w:color="auto"/>
              <w:right w:val="single" w:sz="4" w:space="0" w:color="auto"/>
            </w:tcBorders>
            <w:shd w:val="clear" w:color="000000" w:fill="F2F2F2"/>
            <w:noWrap/>
            <w:vAlign w:val="center"/>
            <w:hideMark/>
          </w:tcPr>
          <w:p w14:paraId="7B2427D6"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191" w:type="pct"/>
            <w:tcBorders>
              <w:top w:val="nil"/>
              <w:left w:val="nil"/>
              <w:bottom w:val="single" w:sz="4" w:space="0" w:color="auto"/>
              <w:right w:val="single" w:sz="4" w:space="0" w:color="auto"/>
            </w:tcBorders>
            <w:shd w:val="clear" w:color="auto" w:fill="auto"/>
            <w:noWrap/>
            <w:vAlign w:val="center"/>
            <w:hideMark/>
          </w:tcPr>
          <w:p w14:paraId="351948A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w:t>
            </w:r>
          </w:p>
        </w:tc>
        <w:tc>
          <w:tcPr>
            <w:tcW w:w="257" w:type="pct"/>
            <w:tcBorders>
              <w:top w:val="nil"/>
              <w:left w:val="nil"/>
              <w:bottom w:val="single" w:sz="4" w:space="0" w:color="auto"/>
              <w:right w:val="single" w:sz="4" w:space="0" w:color="auto"/>
            </w:tcBorders>
            <w:shd w:val="clear" w:color="000000" w:fill="F2F2F2"/>
            <w:noWrap/>
            <w:vAlign w:val="center"/>
            <w:hideMark/>
          </w:tcPr>
          <w:p w14:paraId="26044D7D"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253" w:type="pct"/>
            <w:tcBorders>
              <w:top w:val="nil"/>
              <w:left w:val="nil"/>
              <w:bottom w:val="single" w:sz="4" w:space="0" w:color="auto"/>
              <w:right w:val="single" w:sz="4" w:space="0" w:color="auto"/>
            </w:tcBorders>
            <w:shd w:val="clear" w:color="000000" w:fill="F2F2F2"/>
            <w:noWrap/>
            <w:vAlign w:val="center"/>
            <w:hideMark/>
          </w:tcPr>
          <w:p w14:paraId="0E1D77B3"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4</w:t>
            </w:r>
          </w:p>
        </w:tc>
        <w:tc>
          <w:tcPr>
            <w:tcW w:w="257" w:type="pct"/>
            <w:tcBorders>
              <w:top w:val="nil"/>
              <w:left w:val="nil"/>
              <w:bottom w:val="single" w:sz="4" w:space="0" w:color="auto"/>
              <w:right w:val="single" w:sz="4" w:space="0" w:color="auto"/>
            </w:tcBorders>
            <w:shd w:val="clear" w:color="000000" w:fill="F2F2F2"/>
            <w:noWrap/>
            <w:vAlign w:val="center"/>
            <w:hideMark/>
          </w:tcPr>
          <w:p w14:paraId="1B85C5DA"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14,00%</w:t>
            </w:r>
          </w:p>
        </w:tc>
      </w:tr>
      <w:tr w:rsidR="007B3093" w14:paraId="2DDF2D12" w14:textId="77777777">
        <w:trPr>
          <w:trHeight w:val="300"/>
        </w:trPr>
        <w:tc>
          <w:tcPr>
            <w:tcW w:w="378" w:type="pct"/>
            <w:tcBorders>
              <w:top w:val="nil"/>
              <w:left w:val="single" w:sz="4" w:space="0" w:color="auto"/>
              <w:bottom w:val="single" w:sz="4" w:space="0" w:color="auto"/>
              <w:right w:val="single" w:sz="4" w:space="0" w:color="auto"/>
            </w:tcBorders>
            <w:shd w:val="clear" w:color="000000" w:fill="DCE6F1"/>
            <w:noWrap/>
            <w:vAlign w:val="center"/>
            <w:hideMark/>
          </w:tcPr>
          <w:p w14:paraId="11E8B5D2" w14:textId="77777777" w:rsidR="007B3093" w:rsidRDefault="00000000">
            <w:pPr>
              <w:spacing w:after="0" w:line="240" w:lineRule="auto"/>
              <w:rPr>
                <w:rFonts w:ascii="Calibri" w:eastAsia="Times New Roman" w:hAnsi="Calibri" w:cs="Calibri"/>
                <w:b/>
                <w:bCs/>
                <w:sz w:val="14"/>
                <w:szCs w:val="14"/>
                <w:lang w:val="en-US"/>
              </w:rPr>
            </w:pPr>
            <w:r>
              <w:rPr>
                <w:rFonts w:ascii="Calibri" w:eastAsia="Times New Roman" w:hAnsi="Calibri" w:cs="Calibri"/>
                <w:b/>
                <w:bCs/>
                <w:sz w:val="14"/>
                <w:szCs w:val="14"/>
                <w:lang w:val="en-US"/>
              </w:rPr>
              <w:t>COMPONENTE 3</w:t>
            </w:r>
          </w:p>
        </w:tc>
        <w:tc>
          <w:tcPr>
            <w:tcW w:w="264" w:type="pct"/>
            <w:tcBorders>
              <w:top w:val="nil"/>
              <w:left w:val="nil"/>
              <w:bottom w:val="single" w:sz="4" w:space="0" w:color="auto"/>
              <w:right w:val="single" w:sz="4" w:space="0" w:color="auto"/>
            </w:tcBorders>
            <w:shd w:val="clear" w:color="000000" w:fill="DCE6F1"/>
            <w:noWrap/>
            <w:vAlign w:val="center"/>
            <w:hideMark/>
          </w:tcPr>
          <w:p w14:paraId="2793F6F5"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31" w:type="pct"/>
            <w:tcBorders>
              <w:top w:val="nil"/>
              <w:left w:val="nil"/>
              <w:bottom w:val="single" w:sz="4" w:space="0" w:color="auto"/>
              <w:right w:val="single" w:sz="4" w:space="0" w:color="auto"/>
            </w:tcBorders>
            <w:shd w:val="clear" w:color="000000" w:fill="DCE6F1"/>
            <w:noWrap/>
            <w:vAlign w:val="center"/>
            <w:hideMark/>
          </w:tcPr>
          <w:p w14:paraId="7275DB49"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63" w:type="pct"/>
            <w:tcBorders>
              <w:top w:val="nil"/>
              <w:left w:val="nil"/>
              <w:bottom w:val="single" w:sz="4" w:space="0" w:color="auto"/>
              <w:right w:val="single" w:sz="4" w:space="0" w:color="auto"/>
            </w:tcBorders>
            <w:shd w:val="clear" w:color="000000" w:fill="DCE6F1"/>
            <w:noWrap/>
            <w:vAlign w:val="center"/>
            <w:hideMark/>
          </w:tcPr>
          <w:p w14:paraId="2E6A67E5"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30" w:type="pct"/>
            <w:tcBorders>
              <w:top w:val="nil"/>
              <w:left w:val="nil"/>
              <w:bottom w:val="single" w:sz="4" w:space="0" w:color="auto"/>
              <w:right w:val="single" w:sz="4" w:space="0" w:color="auto"/>
            </w:tcBorders>
            <w:shd w:val="clear" w:color="000000" w:fill="DCE6F1"/>
            <w:noWrap/>
            <w:vAlign w:val="center"/>
            <w:hideMark/>
          </w:tcPr>
          <w:p w14:paraId="43209714"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11,0%</w:t>
            </w:r>
          </w:p>
        </w:tc>
        <w:tc>
          <w:tcPr>
            <w:tcW w:w="218" w:type="pct"/>
            <w:tcBorders>
              <w:top w:val="nil"/>
              <w:left w:val="nil"/>
              <w:bottom w:val="single" w:sz="4" w:space="0" w:color="auto"/>
              <w:right w:val="single" w:sz="4" w:space="0" w:color="auto"/>
            </w:tcBorders>
            <w:shd w:val="clear" w:color="000000" w:fill="DCE6F1"/>
            <w:noWrap/>
            <w:vAlign w:val="center"/>
            <w:hideMark/>
          </w:tcPr>
          <w:p w14:paraId="5450C0C4"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18" w:type="pct"/>
            <w:tcBorders>
              <w:top w:val="nil"/>
              <w:left w:val="nil"/>
              <w:bottom w:val="single" w:sz="4" w:space="0" w:color="auto"/>
              <w:right w:val="single" w:sz="4" w:space="0" w:color="auto"/>
            </w:tcBorders>
            <w:shd w:val="clear" w:color="000000" w:fill="DCE6F1"/>
            <w:noWrap/>
            <w:vAlign w:val="center"/>
            <w:hideMark/>
          </w:tcPr>
          <w:p w14:paraId="39000BA0"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191" w:type="pct"/>
            <w:tcBorders>
              <w:top w:val="nil"/>
              <w:left w:val="nil"/>
              <w:bottom w:val="single" w:sz="4" w:space="0" w:color="auto"/>
              <w:right w:val="single" w:sz="4" w:space="0" w:color="auto"/>
            </w:tcBorders>
            <w:shd w:val="clear" w:color="000000" w:fill="DCE6F1"/>
            <w:noWrap/>
            <w:vAlign w:val="center"/>
            <w:hideMark/>
          </w:tcPr>
          <w:p w14:paraId="51CACC98"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6C17CA65"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2,75% </w:t>
            </w:r>
          </w:p>
        </w:tc>
        <w:tc>
          <w:tcPr>
            <w:tcW w:w="191" w:type="pct"/>
            <w:tcBorders>
              <w:top w:val="nil"/>
              <w:left w:val="nil"/>
              <w:bottom w:val="single" w:sz="4" w:space="0" w:color="auto"/>
              <w:right w:val="single" w:sz="4" w:space="0" w:color="auto"/>
            </w:tcBorders>
            <w:shd w:val="clear" w:color="000000" w:fill="DCE6F1"/>
            <w:noWrap/>
            <w:vAlign w:val="center"/>
            <w:hideMark/>
          </w:tcPr>
          <w:p w14:paraId="67BC6319"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4132B131"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191" w:type="pct"/>
            <w:tcBorders>
              <w:top w:val="nil"/>
              <w:left w:val="nil"/>
              <w:bottom w:val="single" w:sz="4" w:space="0" w:color="auto"/>
              <w:right w:val="single" w:sz="4" w:space="0" w:color="auto"/>
            </w:tcBorders>
            <w:shd w:val="clear" w:color="000000" w:fill="DCE6F1"/>
            <w:noWrap/>
            <w:vAlign w:val="center"/>
            <w:hideMark/>
          </w:tcPr>
          <w:p w14:paraId="50C468FC"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19FC70A1"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5,50% </w:t>
            </w:r>
          </w:p>
        </w:tc>
        <w:tc>
          <w:tcPr>
            <w:tcW w:w="191" w:type="pct"/>
            <w:tcBorders>
              <w:top w:val="nil"/>
              <w:left w:val="nil"/>
              <w:bottom w:val="single" w:sz="4" w:space="0" w:color="auto"/>
              <w:right w:val="single" w:sz="4" w:space="0" w:color="auto"/>
            </w:tcBorders>
            <w:shd w:val="clear" w:color="000000" w:fill="DCE6F1"/>
            <w:noWrap/>
            <w:vAlign w:val="center"/>
            <w:hideMark/>
          </w:tcPr>
          <w:p w14:paraId="0479853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44F94A34"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2,75% </w:t>
            </w:r>
          </w:p>
        </w:tc>
        <w:tc>
          <w:tcPr>
            <w:tcW w:w="191" w:type="pct"/>
            <w:tcBorders>
              <w:top w:val="nil"/>
              <w:left w:val="nil"/>
              <w:bottom w:val="single" w:sz="4" w:space="0" w:color="auto"/>
              <w:right w:val="single" w:sz="4" w:space="0" w:color="auto"/>
            </w:tcBorders>
            <w:shd w:val="clear" w:color="000000" w:fill="DCE6F1"/>
            <w:noWrap/>
            <w:vAlign w:val="center"/>
            <w:hideMark/>
          </w:tcPr>
          <w:p w14:paraId="2AA08CF3"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6C4C1ADE"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191" w:type="pct"/>
            <w:tcBorders>
              <w:top w:val="nil"/>
              <w:left w:val="nil"/>
              <w:bottom w:val="single" w:sz="4" w:space="0" w:color="auto"/>
              <w:right w:val="single" w:sz="4" w:space="0" w:color="auto"/>
            </w:tcBorders>
            <w:shd w:val="clear" w:color="000000" w:fill="DCE6F1"/>
            <w:noWrap/>
            <w:vAlign w:val="center"/>
            <w:hideMark/>
          </w:tcPr>
          <w:p w14:paraId="3EAFB9A0"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7670F614"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253" w:type="pct"/>
            <w:tcBorders>
              <w:top w:val="nil"/>
              <w:left w:val="nil"/>
              <w:bottom w:val="single" w:sz="4" w:space="0" w:color="auto"/>
              <w:right w:val="single" w:sz="4" w:space="0" w:color="auto"/>
            </w:tcBorders>
            <w:shd w:val="clear" w:color="000000" w:fill="DCE6F1"/>
            <w:noWrap/>
            <w:vAlign w:val="center"/>
            <w:hideMark/>
          </w:tcPr>
          <w:p w14:paraId="669D5DF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3E2BB583"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11,0% </w:t>
            </w:r>
          </w:p>
        </w:tc>
      </w:tr>
      <w:tr w:rsidR="007B3093" w14:paraId="733C3B43" w14:textId="77777777">
        <w:trPr>
          <w:trHeight w:val="153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65D0D425"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Fortalecer la capacidad de asesoría y respuesta a consultas legales de la PGE.</w:t>
            </w:r>
          </w:p>
        </w:tc>
        <w:tc>
          <w:tcPr>
            <w:tcW w:w="264" w:type="pct"/>
            <w:tcBorders>
              <w:top w:val="nil"/>
              <w:left w:val="nil"/>
              <w:bottom w:val="single" w:sz="4" w:space="0" w:color="auto"/>
              <w:right w:val="single" w:sz="4" w:space="0" w:color="auto"/>
            </w:tcBorders>
            <w:shd w:val="clear" w:color="auto" w:fill="auto"/>
            <w:vAlign w:val="center"/>
            <w:hideMark/>
          </w:tcPr>
          <w:p w14:paraId="176769A8"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A 2025 se contará por lo menos con cuatro actividades implementadas de fortalecimiento de la capacidad de asesoría y respuesta a consultas legales</w:t>
            </w:r>
            <w:proofErr w:type="gramStart"/>
            <w:r>
              <w:rPr>
                <w:rFonts w:ascii="Calibri" w:eastAsia="Times New Roman" w:hAnsi="Calibri" w:cs="Calibri"/>
                <w:sz w:val="14"/>
                <w:szCs w:val="14"/>
              </w:rPr>
              <w:t>. .</w:t>
            </w:r>
            <w:proofErr w:type="gramEnd"/>
            <w:r>
              <w:rPr>
                <w:rFonts w:ascii="Calibri" w:eastAsia="Times New Roman" w:hAnsi="Calibri" w:cs="Calibri"/>
                <w:sz w:val="14"/>
                <w:szCs w:val="14"/>
              </w:rPr>
              <w:t xml:space="preserve"> </w:t>
            </w:r>
          </w:p>
        </w:tc>
        <w:tc>
          <w:tcPr>
            <w:tcW w:w="231" w:type="pct"/>
            <w:tcBorders>
              <w:top w:val="nil"/>
              <w:left w:val="nil"/>
              <w:bottom w:val="single" w:sz="4" w:space="0" w:color="auto"/>
              <w:right w:val="single" w:sz="4" w:space="0" w:color="auto"/>
            </w:tcBorders>
            <w:shd w:val="clear" w:color="auto" w:fill="auto"/>
            <w:noWrap/>
            <w:vAlign w:val="center"/>
            <w:hideMark/>
          </w:tcPr>
          <w:p w14:paraId="754D202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rPr>
              <w:t xml:space="preserve">                     </w:t>
            </w:r>
            <w:r>
              <w:rPr>
                <w:rFonts w:ascii="Calibri" w:eastAsia="Times New Roman" w:hAnsi="Calibri" w:cs="Calibri"/>
                <w:sz w:val="14"/>
                <w:szCs w:val="14"/>
                <w:lang w:val="en-US"/>
              </w:rPr>
              <w:t xml:space="preserve">4 </w:t>
            </w:r>
          </w:p>
        </w:tc>
        <w:tc>
          <w:tcPr>
            <w:tcW w:w="263" w:type="pct"/>
            <w:tcBorders>
              <w:top w:val="nil"/>
              <w:left w:val="nil"/>
              <w:bottom w:val="single" w:sz="4" w:space="0" w:color="auto"/>
              <w:right w:val="single" w:sz="4" w:space="0" w:color="auto"/>
            </w:tcBorders>
            <w:shd w:val="clear" w:color="auto" w:fill="auto"/>
            <w:vAlign w:val="center"/>
            <w:hideMark/>
          </w:tcPr>
          <w:p w14:paraId="2AD86FDC"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w:t>
            </w:r>
            <w:proofErr w:type="gramStart"/>
            <w:r>
              <w:rPr>
                <w:rFonts w:ascii="Calibri" w:eastAsia="Times New Roman" w:hAnsi="Calibri" w:cs="Calibri"/>
                <w:sz w:val="14"/>
                <w:szCs w:val="14"/>
                <w:lang w:val="en-US"/>
              </w:rPr>
              <w:t>de</w:t>
            </w:r>
            <w:proofErr w:type="gramEnd"/>
            <w:r>
              <w:rPr>
                <w:rFonts w:ascii="Calibri" w:eastAsia="Times New Roman" w:hAnsi="Calibri" w:cs="Calibri"/>
                <w:sz w:val="14"/>
                <w:szCs w:val="14"/>
                <w:lang w:val="en-US"/>
              </w:rPr>
              <w:t xml:space="preserve"> </w:t>
            </w:r>
            <w:proofErr w:type="spellStart"/>
            <w:r>
              <w:rPr>
                <w:rFonts w:ascii="Calibri" w:eastAsia="Times New Roman" w:hAnsi="Calibri" w:cs="Calibri"/>
                <w:sz w:val="14"/>
                <w:szCs w:val="14"/>
                <w:lang w:val="en-US"/>
              </w:rPr>
              <w:t>Actividades</w:t>
            </w:r>
            <w:proofErr w:type="spellEnd"/>
            <w:r>
              <w:rPr>
                <w:rFonts w:ascii="Calibri" w:eastAsia="Times New Roman" w:hAnsi="Calibri" w:cs="Calibri"/>
                <w:sz w:val="14"/>
                <w:szCs w:val="14"/>
                <w:lang w:val="en-US"/>
              </w:rPr>
              <w:t xml:space="preserve"> Implementadas</w:t>
            </w:r>
          </w:p>
        </w:tc>
        <w:tc>
          <w:tcPr>
            <w:tcW w:w="230" w:type="pct"/>
            <w:tcBorders>
              <w:top w:val="nil"/>
              <w:left w:val="nil"/>
              <w:bottom w:val="single" w:sz="4" w:space="0" w:color="auto"/>
              <w:right w:val="single" w:sz="4" w:space="0" w:color="auto"/>
            </w:tcBorders>
            <w:shd w:val="clear" w:color="auto" w:fill="auto"/>
            <w:noWrap/>
            <w:vAlign w:val="center"/>
            <w:hideMark/>
          </w:tcPr>
          <w:p w14:paraId="4C481B2B"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11,0%</w:t>
            </w:r>
          </w:p>
        </w:tc>
        <w:tc>
          <w:tcPr>
            <w:tcW w:w="218" w:type="pct"/>
            <w:tcBorders>
              <w:top w:val="nil"/>
              <w:left w:val="nil"/>
              <w:bottom w:val="single" w:sz="4" w:space="0" w:color="auto"/>
              <w:right w:val="single" w:sz="4" w:space="0" w:color="auto"/>
            </w:tcBorders>
            <w:shd w:val="clear" w:color="auto" w:fill="auto"/>
            <w:noWrap/>
            <w:vAlign w:val="center"/>
            <w:hideMark/>
          </w:tcPr>
          <w:p w14:paraId="05472F1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218" w:type="pct"/>
            <w:tcBorders>
              <w:top w:val="nil"/>
              <w:left w:val="nil"/>
              <w:bottom w:val="single" w:sz="4" w:space="0" w:color="auto"/>
              <w:right w:val="single" w:sz="4" w:space="0" w:color="auto"/>
            </w:tcBorders>
            <w:shd w:val="clear" w:color="000000" w:fill="F2F2F2"/>
            <w:noWrap/>
            <w:vAlign w:val="center"/>
            <w:hideMark/>
          </w:tcPr>
          <w:p w14:paraId="16E56EFA"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191" w:type="pct"/>
            <w:tcBorders>
              <w:top w:val="nil"/>
              <w:left w:val="nil"/>
              <w:bottom w:val="single" w:sz="4" w:space="0" w:color="auto"/>
              <w:right w:val="single" w:sz="4" w:space="0" w:color="auto"/>
            </w:tcBorders>
            <w:shd w:val="clear" w:color="auto" w:fill="auto"/>
            <w:noWrap/>
            <w:vAlign w:val="center"/>
            <w:hideMark/>
          </w:tcPr>
          <w:p w14:paraId="7ADF3174"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w:t>
            </w:r>
          </w:p>
        </w:tc>
        <w:tc>
          <w:tcPr>
            <w:tcW w:w="257" w:type="pct"/>
            <w:tcBorders>
              <w:top w:val="nil"/>
              <w:left w:val="nil"/>
              <w:bottom w:val="single" w:sz="4" w:space="0" w:color="auto"/>
              <w:right w:val="single" w:sz="4" w:space="0" w:color="auto"/>
            </w:tcBorders>
            <w:shd w:val="clear" w:color="000000" w:fill="F2F2F2"/>
            <w:noWrap/>
            <w:vAlign w:val="center"/>
            <w:hideMark/>
          </w:tcPr>
          <w:p w14:paraId="5F7917AA"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2,75% </w:t>
            </w:r>
          </w:p>
        </w:tc>
        <w:tc>
          <w:tcPr>
            <w:tcW w:w="191" w:type="pct"/>
            <w:tcBorders>
              <w:top w:val="nil"/>
              <w:left w:val="nil"/>
              <w:bottom w:val="single" w:sz="4" w:space="0" w:color="auto"/>
              <w:right w:val="single" w:sz="4" w:space="0" w:color="auto"/>
            </w:tcBorders>
            <w:shd w:val="clear" w:color="auto" w:fill="auto"/>
            <w:noWrap/>
            <w:vAlign w:val="center"/>
            <w:hideMark/>
          </w:tcPr>
          <w:p w14:paraId="438DBD95"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w:t>
            </w:r>
          </w:p>
        </w:tc>
        <w:tc>
          <w:tcPr>
            <w:tcW w:w="257" w:type="pct"/>
            <w:tcBorders>
              <w:top w:val="nil"/>
              <w:left w:val="nil"/>
              <w:bottom w:val="single" w:sz="4" w:space="0" w:color="auto"/>
              <w:right w:val="single" w:sz="4" w:space="0" w:color="auto"/>
            </w:tcBorders>
            <w:shd w:val="clear" w:color="000000" w:fill="F2F2F2"/>
            <w:noWrap/>
            <w:vAlign w:val="center"/>
            <w:hideMark/>
          </w:tcPr>
          <w:p w14:paraId="2FAEDB64"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191" w:type="pct"/>
            <w:tcBorders>
              <w:top w:val="nil"/>
              <w:left w:val="nil"/>
              <w:bottom w:val="single" w:sz="4" w:space="0" w:color="auto"/>
              <w:right w:val="single" w:sz="4" w:space="0" w:color="auto"/>
            </w:tcBorders>
            <w:shd w:val="clear" w:color="auto" w:fill="auto"/>
            <w:noWrap/>
            <w:vAlign w:val="center"/>
            <w:hideMark/>
          </w:tcPr>
          <w:p w14:paraId="6223522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2</w:t>
            </w:r>
          </w:p>
        </w:tc>
        <w:tc>
          <w:tcPr>
            <w:tcW w:w="257" w:type="pct"/>
            <w:tcBorders>
              <w:top w:val="nil"/>
              <w:left w:val="nil"/>
              <w:bottom w:val="single" w:sz="4" w:space="0" w:color="auto"/>
              <w:right w:val="single" w:sz="4" w:space="0" w:color="auto"/>
            </w:tcBorders>
            <w:shd w:val="clear" w:color="000000" w:fill="F2F2F2"/>
            <w:noWrap/>
            <w:vAlign w:val="center"/>
            <w:hideMark/>
          </w:tcPr>
          <w:p w14:paraId="0012D525"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5,50% </w:t>
            </w:r>
          </w:p>
        </w:tc>
        <w:tc>
          <w:tcPr>
            <w:tcW w:w="191" w:type="pct"/>
            <w:tcBorders>
              <w:top w:val="nil"/>
              <w:left w:val="nil"/>
              <w:bottom w:val="single" w:sz="4" w:space="0" w:color="auto"/>
              <w:right w:val="single" w:sz="4" w:space="0" w:color="auto"/>
            </w:tcBorders>
            <w:shd w:val="clear" w:color="auto" w:fill="auto"/>
            <w:noWrap/>
            <w:vAlign w:val="center"/>
            <w:hideMark/>
          </w:tcPr>
          <w:p w14:paraId="6D87AA68"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w:t>
            </w:r>
          </w:p>
        </w:tc>
        <w:tc>
          <w:tcPr>
            <w:tcW w:w="257" w:type="pct"/>
            <w:tcBorders>
              <w:top w:val="nil"/>
              <w:left w:val="nil"/>
              <w:bottom w:val="single" w:sz="4" w:space="0" w:color="auto"/>
              <w:right w:val="single" w:sz="4" w:space="0" w:color="auto"/>
            </w:tcBorders>
            <w:shd w:val="clear" w:color="000000" w:fill="F2F2F2"/>
            <w:noWrap/>
            <w:vAlign w:val="center"/>
            <w:hideMark/>
          </w:tcPr>
          <w:p w14:paraId="08A139F1"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2,75% </w:t>
            </w:r>
          </w:p>
        </w:tc>
        <w:tc>
          <w:tcPr>
            <w:tcW w:w="191" w:type="pct"/>
            <w:tcBorders>
              <w:top w:val="nil"/>
              <w:left w:val="nil"/>
              <w:bottom w:val="single" w:sz="4" w:space="0" w:color="auto"/>
              <w:right w:val="single" w:sz="4" w:space="0" w:color="auto"/>
            </w:tcBorders>
            <w:shd w:val="clear" w:color="auto" w:fill="auto"/>
            <w:noWrap/>
            <w:vAlign w:val="center"/>
            <w:hideMark/>
          </w:tcPr>
          <w:p w14:paraId="2C3891D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w:t>
            </w:r>
          </w:p>
        </w:tc>
        <w:tc>
          <w:tcPr>
            <w:tcW w:w="257" w:type="pct"/>
            <w:tcBorders>
              <w:top w:val="nil"/>
              <w:left w:val="nil"/>
              <w:bottom w:val="single" w:sz="4" w:space="0" w:color="auto"/>
              <w:right w:val="single" w:sz="4" w:space="0" w:color="auto"/>
            </w:tcBorders>
            <w:shd w:val="clear" w:color="000000" w:fill="F2F2F2"/>
            <w:noWrap/>
            <w:vAlign w:val="center"/>
            <w:hideMark/>
          </w:tcPr>
          <w:p w14:paraId="1140B7C9"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191" w:type="pct"/>
            <w:tcBorders>
              <w:top w:val="nil"/>
              <w:left w:val="nil"/>
              <w:bottom w:val="single" w:sz="4" w:space="0" w:color="auto"/>
              <w:right w:val="single" w:sz="4" w:space="0" w:color="auto"/>
            </w:tcBorders>
            <w:shd w:val="clear" w:color="auto" w:fill="auto"/>
            <w:noWrap/>
            <w:vAlign w:val="center"/>
            <w:hideMark/>
          </w:tcPr>
          <w:p w14:paraId="7AD74E17"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w:t>
            </w:r>
          </w:p>
        </w:tc>
        <w:tc>
          <w:tcPr>
            <w:tcW w:w="257" w:type="pct"/>
            <w:tcBorders>
              <w:top w:val="nil"/>
              <w:left w:val="nil"/>
              <w:bottom w:val="single" w:sz="4" w:space="0" w:color="auto"/>
              <w:right w:val="single" w:sz="4" w:space="0" w:color="auto"/>
            </w:tcBorders>
            <w:shd w:val="clear" w:color="000000" w:fill="F2F2F2"/>
            <w:noWrap/>
            <w:vAlign w:val="center"/>
            <w:hideMark/>
          </w:tcPr>
          <w:p w14:paraId="30DBD1C6"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253" w:type="pct"/>
            <w:tcBorders>
              <w:top w:val="nil"/>
              <w:left w:val="nil"/>
              <w:bottom w:val="single" w:sz="4" w:space="0" w:color="auto"/>
              <w:right w:val="single" w:sz="4" w:space="0" w:color="auto"/>
            </w:tcBorders>
            <w:shd w:val="clear" w:color="000000" w:fill="F2F2F2"/>
            <w:noWrap/>
            <w:vAlign w:val="center"/>
            <w:hideMark/>
          </w:tcPr>
          <w:p w14:paraId="7C0B77DC"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4,0 </w:t>
            </w:r>
          </w:p>
        </w:tc>
        <w:tc>
          <w:tcPr>
            <w:tcW w:w="257" w:type="pct"/>
            <w:tcBorders>
              <w:top w:val="nil"/>
              <w:left w:val="nil"/>
              <w:bottom w:val="single" w:sz="4" w:space="0" w:color="auto"/>
              <w:right w:val="single" w:sz="4" w:space="0" w:color="auto"/>
            </w:tcBorders>
            <w:shd w:val="clear" w:color="000000" w:fill="F2F2F2"/>
            <w:noWrap/>
            <w:vAlign w:val="center"/>
            <w:hideMark/>
          </w:tcPr>
          <w:p w14:paraId="5F023871"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11,0% </w:t>
            </w:r>
          </w:p>
        </w:tc>
      </w:tr>
      <w:tr w:rsidR="007B3093" w14:paraId="1F6E7E9E" w14:textId="77777777">
        <w:trPr>
          <w:trHeight w:val="300"/>
        </w:trPr>
        <w:tc>
          <w:tcPr>
            <w:tcW w:w="378" w:type="pct"/>
            <w:tcBorders>
              <w:top w:val="nil"/>
              <w:left w:val="single" w:sz="4" w:space="0" w:color="auto"/>
              <w:bottom w:val="single" w:sz="4" w:space="0" w:color="auto"/>
              <w:right w:val="single" w:sz="4" w:space="0" w:color="auto"/>
            </w:tcBorders>
            <w:shd w:val="clear" w:color="000000" w:fill="DCE6F1"/>
            <w:noWrap/>
            <w:vAlign w:val="center"/>
            <w:hideMark/>
          </w:tcPr>
          <w:p w14:paraId="68BA6EFA" w14:textId="77777777" w:rsidR="007B3093" w:rsidRDefault="00000000">
            <w:pPr>
              <w:spacing w:after="0" w:line="240" w:lineRule="auto"/>
              <w:rPr>
                <w:rFonts w:ascii="Calibri" w:eastAsia="Times New Roman" w:hAnsi="Calibri" w:cs="Calibri"/>
                <w:b/>
                <w:bCs/>
                <w:sz w:val="14"/>
                <w:szCs w:val="14"/>
                <w:lang w:val="en-US"/>
              </w:rPr>
            </w:pPr>
            <w:r>
              <w:rPr>
                <w:rFonts w:ascii="Calibri" w:eastAsia="Times New Roman" w:hAnsi="Calibri" w:cs="Calibri"/>
                <w:b/>
                <w:bCs/>
                <w:sz w:val="14"/>
                <w:szCs w:val="14"/>
                <w:lang w:val="en-US"/>
              </w:rPr>
              <w:t>COMPONENTE 4</w:t>
            </w:r>
          </w:p>
        </w:tc>
        <w:tc>
          <w:tcPr>
            <w:tcW w:w="264" w:type="pct"/>
            <w:tcBorders>
              <w:top w:val="nil"/>
              <w:left w:val="nil"/>
              <w:bottom w:val="single" w:sz="4" w:space="0" w:color="auto"/>
              <w:right w:val="single" w:sz="4" w:space="0" w:color="auto"/>
            </w:tcBorders>
            <w:shd w:val="clear" w:color="000000" w:fill="DCE6F1"/>
            <w:noWrap/>
            <w:vAlign w:val="center"/>
            <w:hideMark/>
          </w:tcPr>
          <w:p w14:paraId="53404D8D"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31" w:type="pct"/>
            <w:tcBorders>
              <w:top w:val="nil"/>
              <w:left w:val="nil"/>
              <w:bottom w:val="single" w:sz="4" w:space="0" w:color="auto"/>
              <w:right w:val="single" w:sz="4" w:space="0" w:color="auto"/>
            </w:tcBorders>
            <w:shd w:val="clear" w:color="000000" w:fill="DCE6F1"/>
            <w:noWrap/>
            <w:vAlign w:val="center"/>
            <w:hideMark/>
          </w:tcPr>
          <w:p w14:paraId="64EC072B"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63" w:type="pct"/>
            <w:tcBorders>
              <w:top w:val="nil"/>
              <w:left w:val="nil"/>
              <w:bottom w:val="single" w:sz="4" w:space="0" w:color="auto"/>
              <w:right w:val="single" w:sz="4" w:space="0" w:color="auto"/>
            </w:tcBorders>
            <w:shd w:val="clear" w:color="000000" w:fill="DCE6F1"/>
            <w:noWrap/>
            <w:vAlign w:val="center"/>
            <w:hideMark/>
          </w:tcPr>
          <w:p w14:paraId="4DDBDA81"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30" w:type="pct"/>
            <w:tcBorders>
              <w:top w:val="nil"/>
              <w:left w:val="nil"/>
              <w:bottom w:val="single" w:sz="4" w:space="0" w:color="auto"/>
              <w:right w:val="single" w:sz="4" w:space="0" w:color="auto"/>
            </w:tcBorders>
            <w:shd w:val="clear" w:color="000000" w:fill="DCE6F1"/>
            <w:noWrap/>
            <w:vAlign w:val="center"/>
            <w:hideMark/>
          </w:tcPr>
          <w:p w14:paraId="065A778F"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4,5%</w:t>
            </w:r>
          </w:p>
        </w:tc>
        <w:tc>
          <w:tcPr>
            <w:tcW w:w="218" w:type="pct"/>
            <w:tcBorders>
              <w:top w:val="nil"/>
              <w:left w:val="nil"/>
              <w:bottom w:val="single" w:sz="4" w:space="0" w:color="auto"/>
              <w:right w:val="single" w:sz="4" w:space="0" w:color="auto"/>
            </w:tcBorders>
            <w:shd w:val="clear" w:color="000000" w:fill="DCE6F1"/>
            <w:noWrap/>
            <w:vAlign w:val="center"/>
            <w:hideMark/>
          </w:tcPr>
          <w:p w14:paraId="57A9639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18" w:type="pct"/>
            <w:tcBorders>
              <w:top w:val="nil"/>
              <w:left w:val="nil"/>
              <w:bottom w:val="single" w:sz="4" w:space="0" w:color="auto"/>
              <w:right w:val="single" w:sz="4" w:space="0" w:color="auto"/>
            </w:tcBorders>
            <w:shd w:val="clear" w:color="000000" w:fill="DCE6F1"/>
            <w:noWrap/>
            <w:vAlign w:val="center"/>
            <w:hideMark/>
          </w:tcPr>
          <w:p w14:paraId="185F86DB"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191" w:type="pct"/>
            <w:tcBorders>
              <w:top w:val="nil"/>
              <w:left w:val="nil"/>
              <w:bottom w:val="single" w:sz="4" w:space="0" w:color="auto"/>
              <w:right w:val="single" w:sz="4" w:space="0" w:color="auto"/>
            </w:tcBorders>
            <w:shd w:val="clear" w:color="000000" w:fill="DCE6F1"/>
            <w:noWrap/>
            <w:vAlign w:val="center"/>
            <w:hideMark/>
          </w:tcPr>
          <w:p w14:paraId="23C54CF6"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63264531"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191" w:type="pct"/>
            <w:tcBorders>
              <w:top w:val="nil"/>
              <w:left w:val="nil"/>
              <w:bottom w:val="single" w:sz="4" w:space="0" w:color="auto"/>
              <w:right w:val="single" w:sz="4" w:space="0" w:color="auto"/>
            </w:tcBorders>
            <w:shd w:val="clear" w:color="000000" w:fill="DCE6F1"/>
            <w:noWrap/>
            <w:vAlign w:val="center"/>
            <w:hideMark/>
          </w:tcPr>
          <w:p w14:paraId="4E39621C"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0A75A8F0"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191" w:type="pct"/>
            <w:tcBorders>
              <w:top w:val="nil"/>
              <w:left w:val="nil"/>
              <w:bottom w:val="single" w:sz="4" w:space="0" w:color="auto"/>
              <w:right w:val="single" w:sz="4" w:space="0" w:color="auto"/>
            </w:tcBorders>
            <w:shd w:val="clear" w:color="000000" w:fill="DCE6F1"/>
            <w:noWrap/>
            <w:vAlign w:val="center"/>
            <w:hideMark/>
          </w:tcPr>
          <w:p w14:paraId="5EDEADB7"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1FBB3DF8"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1,50% </w:t>
            </w:r>
          </w:p>
        </w:tc>
        <w:tc>
          <w:tcPr>
            <w:tcW w:w="191" w:type="pct"/>
            <w:tcBorders>
              <w:top w:val="nil"/>
              <w:left w:val="nil"/>
              <w:bottom w:val="single" w:sz="4" w:space="0" w:color="auto"/>
              <w:right w:val="single" w:sz="4" w:space="0" w:color="auto"/>
            </w:tcBorders>
            <w:shd w:val="clear" w:color="000000" w:fill="DCE6F1"/>
            <w:noWrap/>
            <w:vAlign w:val="center"/>
            <w:hideMark/>
          </w:tcPr>
          <w:p w14:paraId="6D450990"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0C8CDB8B"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191" w:type="pct"/>
            <w:tcBorders>
              <w:top w:val="nil"/>
              <w:left w:val="nil"/>
              <w:bottom w:val="single" w:sz="4" w:space="0" w:color="auto"/>
              <w:right w:val="single" w:sz="4" w:space="0" w:color="auto"/>
            </w:tcBorders>
            <w:shd w:val="clear" w:color="000000" w:fill="DCE6F1"/>
            <w:noWrap/>
            <w:vAlign w:val="center"/>
            <w:hideMark/>
          </w:tcPr>
          <w:p w14:paraId="12CF0B49"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2BF0B44E"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1,50% </w:t>
            </w:r>
          </w:p>
        </w:tc>
        <w:tc>
          <w:tcPr>
            <w:tcW w:w="191" w:type="pct"/>
            <w:tcBorders>
              <w:top w:val="nil"/>
              <w:left w:val="nil"/>
              <w:bottom w:val="single" w:sz="4" w:space="0" w:color="auto"/>
              <w:right w:val="single" w:sz="4" w:space="0" w:color="auto"/>
            </w:tcBorders>
            <w:shd w:val="clear" w:color="000000" w:fill="DCE6F1"/>
            <w:noWrap/>
            <w:vAlign w:val="center"/>
            <w:hideMark/>
          </w:tcPr>
          <w:p w14:paraId="4C41E46F"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16E556D6"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1,50% </w:t>
            </w:r>
          </w:p>
        </w:tc>
        <w:tc>
          <w:tcPr>
            <w:tcW w:w="253" w:type="pct"/>
            <w:tcBorders>
              <w:top w:val="nil"/>
              <w:left w:val="nil"/>
              <w:bottom w:val="single" w:sz="4" w:space="0" w:color="auto"/>
              <w:right w:val="single" w:sz="4" w:space="0" w:color="auto"/>
            </w:tcBorders>
            <w:shd w:val="clear" w:color="000000" w:fill="DCE6F1"/>
            <w:noWrap/>
            <w:vAlign w:val="center"/>
            <w:hideMark/>
          </w:tcPr>
          <w:p w14:paraId="7741016B"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13E0501F"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4,50% </w:t>
            </w:r>
          </w:p>
        </w:tc>
      </w:tr>
      <w:tr w:rsidR="007B3093" w14:paraId="4A0E5A2B" w14:textId="77777777">
        <w:trPr>
          <w:trHeight w:val="1155"/>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6CFC4691"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lastRenderedPageBreak/>
              <w:t>Fortalecer los centros de mediación de la PGE.</w:t>
            </w:r>
          </w:p>
        </w:tc>
        <w:tc>
          <w:tcPr>
            <w:tcW w:w="264" w:type="pct"/>
            <w:tcBorders>
              <w:top w:val="nil"/>
              <w:left w:val="nil"/>
              <w:bottom w:val="single" w:sz="4" w:space="0" w:color="auto"/>
              <w:right w:val="single" w:sz="4" w:space="0" w:color="auto"/>
            </w:tcBorders>
            <w:shd w:val="clear" w:color="auto" w:fill="auto"/>
            <w:vAlign w:val="center"/>
            <w:hideMark/>
          </w:tcPr>
          <w:p w14:paraId="252C1A58"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A 2025 se contará por lo menos con 3 Centros de Mediación a nivel nacional fortalecidos.</w:t>
            </w:r>
          </w:p>
        </w:tc>
        <w:tc>
          <w:tcPr>
            <w:tcW w:w="231" w:type="pct"/>
            <w:tcBorders>
              <w:top w:val="nil"/>
              <w:left w:val="nil"/>
              <w:bottom w:val="single" w:sz="4" w:space="0" w:color="auto"/>
              <w:right w:val="single" w:sz="4" w:space="0" w:color="auto"/>
            </w:tcBorders>
            <w:shd w:val="clear" w:color="auto" w:fill="auto"/>
            <w:noWrap/>
            <w:vAlign w:val="center"/>
            <w:hideMark/>
          </w:tcPr>
          <w:p w14:paraId="27FB6A93"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rPr>
              <w:t xml:space="preserve">                     </w:t>
            </w:r>
            <w:r>
              <w:rPr>
                <w:rFonts w:ascii="Calibri" w:eastAsia="Times New Roman" w:hAnsi="Calibri" w:cs="Calibri"/>
                <w:sz w:val="14"/>
                <w:szCs w:val="14"/>
                <w:lang w:val="en-US"/>
              </w:rPr>
              <w:t xml:space="preserve">3 </w:t>
            </w:r>
          </w:p>
        </w:tc>
        <w:tc>
          <w:tcPr>
            <w:tcW w:w="263" w:type="pct"/>
            <w:tcBorders>
              <w:top w:val="nil"/>
              <w:left w:val="nil"/>
              <w:bottom w:val="single" w:sz="4" w:space="0" w:color="auto"/>
              <w:right w:val="single" w:sz="4" w:space="0" w:color="auto"/>
            </w:tcBorders>
            <w:shd w:val="clear" w:color="auto" w:fill="auto"/>
            <w:vAlign w:val="center"/>
            <w:hideMark/>
          </w:tcPr>
          <w:p w14:paraId="7334639D"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 de Centros de Mediación Readecuados</w:t>
            </w:r>
          </w:p>
        </w:tc>
        <w:tc>
          <w:tcPr>
            <w:tcW w:w="230" w:type="pct"/>
            <w:tcBorders>
              <w:top w:val="nil"/>
              <w:left w:val="nil"/>
              <w:bottom w:val="single" w:sz="4" w:space="0" w:color="auto"/>
              <w:right w:val="single" w:sz="4" w:space="0" w:color="auto"/>
            </w:tcBorders>
            <w:shd w:val="clear" w:color="auto" w:fill="auto"/>
            <w:noWrap/>
            <w:vAlign w:val="center"/>
            <w:hideMark/>
          </w:tcPr>
          <w:p w14:paraId="3BDE728D"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4,5%</w:t>
            </w:r>
          </w:p>
        </w:tc>
        <w:tc>
          <w:tcPr>
            <w:tcW w:w="218" w:type="pct"/>
            <w:tcBorders>
              <w:top w:val="nil"/>
              <w:left w:val="nil"/>
              <w:bottom w:val="single" w:sz="4" w:space="0" w:color="auto"/>
              <w:right w:val="single" w:sz="4" w:space="0" w:color="auto"/>
            </w:tcBorders>
            <w:shd w:val="clear" w:color="auto" w:fill="auto"/>
            <w:noWrap/>
            <w:vAlign w:val="center"/>
            <w:hideMark/>
          </w:tcPr>
          <w:p w14:paraId="5FDD5015"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218" w:type="pct"/>
            <w:tcBorders>
              <w:top w:val="nil"/>
              <w:left w:val="nil"/>
              <w:bottom w:val="single" w:sz="4" w:space="0" w:color="auto"/>
              <w:right w:val="single" w:sz="4" w:space="0" w:color="auto"/>
            </w:tcBorders>
            <w:shd w:val="clear" w:color="000000" w:fill="F2F2F2"/>
            <w:noWrap/>
            <w:vAlign w:val="center"/>
            <w:hideMark/>
          </w:tcPr>
          <w:p w14:paraId="48560CB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191" w:type="pct"/>
            <w:tcBorders>
              <w:top w:val="nil"/>
              <w:left w:val="nil"/>
              <w:bottom w:val="single" w:sz="4" w:space="0" w:color="auto"/>
              <w:right w:val="single" w:sz="4" w:space="0" w:color="auto"/>
            </w:tcBorders>
            <w:shd w:val="clear" w:color="auto" w:fill="auto"/>
            <w:noWrap/>
            <w:vAlign w:val="center"/>
            <w:hideMark/>
          </w:tcPr>
          <w:p w14:paraId="2831E50D"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w:t>
            </w:r>
          </w:p>
        </w:tc>
        <w:tc>
          <w:tcPr>
            <w:tcW w:w="257" w:type="pct"/>
            <w:tcBorders>
              <w:top w:val="nil"/>
              <w:left w:val="nil"/>
              <w:bottom w:val="single" w:sz="4" w:space="0" w:color="auto"/>
              <w:right w:val="single" w:sz="4" w:space="0" w:color="auto"/>
            </w:tcBorders>
            <w:shd w:val="clear" w:color="000000" w:fill="F2F2F2"/>
            <w:noWrap/>
            <w:vAlign w:val="center"/>
            <w:hideMark/>
          </w:tcPr>
          <w:p w14:paraId="1D2CFC24"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191" w:type="pct"/>
            <w:tcBorders>
              <w:top w:val="nil"/>
              <w:left w:val="nil"/>
              <w:bottom w:val="single" w:sz="4" w:space="0" w:color="auto"/>
              <w:right w:val="single" w:sz="4" w:space="0" w:color="auto"/>
            </w:tcBorders>
            <w:shd w:val="clear" w:color="auto" w:fill="auto"/>
            <w:noWrap/>
            <w:vAlign w:val="center"/>
            <w:hideMark/>
          </w:tcPr>
          <w:p w14:paraId="61D1B171"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w:t>
            </w:r>
          </w:p>
        </w:tc>
        <w:tc>
          <w:tcPr>
            <w:tcW w:w="257" w:type="pct"/>
            <w:tcBorders>
              <w:top w:val="nil"/>
              <w:left w:val="nil"/>
              <w:bottom w:val="single" w:sz="4" w:space="0" w:color="auto"/>
              <w:right w:val="single" w:sz="4" w:space="0" w:color="auto"/>
            </w:tcBorders>
            <w:shd w:val="clear" w:color="000000" w:fill="F2F2F2"/>
            <w:noWrap/>
            <w:vAlign w:val="center"/>
            <w:hideMark/>
          </w:tcPr>
          <w:p w14:paraId="44911704"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191" w:type="pct"/>
            <w:tcBorders>
              <w:top w:val="nil"/>
              <w:left w:val="nil"/>
              <w:bottom w:val="single" w:sz="4" w:space="0" w:color="auto"/>
              <w:right w:val="single" w:sz="4" w:space="0" w:color="auto"/>
            </w:tcBorders>
            <w:shd w:val="clear" w:color="auto" w:fill="auto"/>
            <w:noWrap/>
            <w:vAlign w:val="center"/>
            <w:hideMark/>
          </w:tcPr>
          <w:p w14:paraId="0D2CBB90"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w:t>
            </w:r>
          </w:p>
        </w:tc>
        <w:tc>
          <w:tcPr>
            <w:tcW w:w="257" w:type="pct"/>
            <w:tcBorders>
              <w:top w:val="nil"/>
              <w:left w:val="nil"/>
              <w:bottom w:val="single" w:sz="4" w:space="0" w:color="auto"/>
              <w:right w:val="single" w:sz="4" w:space="0" w:color="auto"/>
            </w:tcBorders>
            <w:shd w:val="clear" w:color="000000" w:fill="F2F2F2"/>
            <w:noWrap/>
            <w:vAlign w:val="center"/>
            <w:hideMark/>
          </w:tcPr>
          <w:p w14:paraId="08244541"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1,50% </w:t>
            </w:r>
          </w:p>
        </w:tc>
        <w:tc>
          <w:tcPr>
            <w:tcW w:w="191" w:type="pct"/>
            <w:tcBorders>
              <w:top w:val="nil"/>
              <w:left w:val="nil"/>
              <w:bottom w:val="single" w:sz="4" w:space="0" w:color="auto"/>
              <w:right w:val="single" w:sz="4" w:space="0" w:color="auto"/>
            </w:tcBorders>
            <w:shd w:val="clear" w:color="auto" w:fill="auto"/>
            <w:noWrap/>
            <w:vAlign w:val="center"/>
            <w:hideMark/>
          </w:tcPr>
          <w:p w14:paraId="72817C18"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257" w:type="pct"/>
            <w:tcBorders>
              <w:top w:val="nil"/>
              <w:left w:val="nil"/>
              <w:bottom w:val="single" w:sz="4" w:space="0" w:color="auto"/>
              <w:right w:val="single" w:sz="4" w:space="0" w:color="auto"/>
            </w:tcBorders>
            <w:shd w:val="clear" w:color="000000" w:fill="F2F2F2"/>
            <w:noWrap/>
            <w:vAlign w:val="center"/>
            <w:hideMark/>
          </w:tcPr>
          <w:p w14:paraId="6C82885F"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  </w:t>
            </w:r>
          </w:p>
        </w:tc>
        <w:tc>
          <w:tcPr>
            <w:tcW w:w="191" w:type="pct"/>
            <w:tcBorders>
              <w:top w:val="nil"/>
              <w:left w:val="nil"/>
              <w:bottom w:val="single" w:sz="4" w:space="0" w:color="auto"/>
              <w:right w:val="single" w:sz="4" w:space="0" w:color="auto"/>
            </w:tcBorders>
            <w:shd w:val="clear" w:color="auto" w:fill="auto"/>
            <w:noWrap/>
            <w:vAlign w:val="center"/>
            <w:hideMark/>
          </w:tcPr>
          <w:p w14:paraId="66B694D4"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w:t>
            </w:r>
          </w:p>
        </w:tc>
        <w:tc>
          <w:tcPr>
            <w:tcW w:w="257" w:type="pct"/>
            <w:tcBorders>
              <w:top w:val="nil"/>
              <w:left w:val="nil"/>
              <w:bottom w:val="single" w:sz="4" w:space="0" w:color="auto"/>
              <w:right w:val="single" w:sz="4" w:space="0" w:color="auto"/>
            </w:tcBorders>
            <w:shd w:val="clear" w:color="000000" w:fill="F2F2F2"/>
            <w:noWrap/>
            <w:vAlign w:val="center"/>
            <w:hideMark/>
          </w:tcPr>
          <w:p w14:paraId="05786DA6"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1,50% </w:t>
            </w:r>
          </w:p>
        </w:tc>
        <w:tc>
          <w:tcPr>
            <w:tcW w:w="191" w:type="pct"/>
            <w:tcBorders>
              <w:top w:val="nil"/>
              <w:left w:val="nil"/>
              <w:bottom w:val="single" w:sz="4" w:space="0" w:color="auto"/>
              <w:right w:val="single" w:sz="4" w:space="0" w:color="auto"/>
            </w:tcBorders>
            <w:shd w:val="clear" w:color="auto" w:fill="auto"/>
            <w:noWrap/>
            <w:vAlign w:val="center"/>
            <w:hideMark/>
          </w:tcPr>
          <w:p w14:paraId="78132A9B"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w:t>
            </w:r>
          </w:p>
        </w:tc>
        <w:tc>
          <w:tcPr>
            <w:tcW w:w="257" w:type="pct"/>
            <w:tcBorders>
              <w:top w:val="nil"/>
              <w:left w:val="nil"/>
              <w:bottom w:val="single" w:sz="4" w:space="0" w:color="auto"/>
              <w:right w:val="single" w:sz="4" w:space="0" w:color="auto"/>
            </w:tcBorders>
            <w:shd w:val="clear" w:color="000000" w:fill="F2F2F2"/>
            <w:noWrap/>
            <w:vAlign w:val="center"/>
            <w:hideMark/>
          </w:tcPr>
          <w:p w14:paraId="12566A15"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1,50% </w:t>
            </w:r>
          </w:p>
        </w:tc>
        <w:tc>
          <w:tcPr>
            <w:tcW w:w="253" w:type="pct"/>
            <w:tcBorders>
              <w:top w:val="nil"/>
              <w:left w:val="nil"/>
              <w:bottom w:val="single" w:sz="4" w:space="0" w:color="auto"/>
              <w:right w:val="single" w:sz="4" w:space="0" w:color="auto"/>
            </w:tcBorders>
            <w:shd w:val="clear" w:color="000000" w:fill="F2F2F2"/>
            <w:noWrap/>
            <w:vAlign w:val="center"/>
            <w:hideMark/>
          </w:tcPr>
          <w:p w14:paraId="18305F27"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3,0 </w:t>
            </w:r>
          </w:p>
        </w:tc>
        <w:tc>
          <w:tcPr>
            <w:tcW w:w="257" w:type="pct"/>
            <w:tcBorders>
              <w:top w:val="nil"/>
              <w:left w:val="nil"/>
              <w:bottom w:val="single" w:sz="4" w:space="0" w:color="auto"/>
              <w:right w:val="single" w:sz="4" w:space="0" w:color="auto"/>
            </w:tcBorders>
            <w:shd w:val="clear" w:color="000000" w:fill="F2F2F2"/>
            <w:noWrap/>
            <w:vAlign w:val="center"/>
            <w:hideMark/>
          </w:tcPr>
          <w:p w14:paraId="12BF2580"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4,50% </w:t>
            </w:r>
          </w:p>
        </w:tc>
      </w:tr>
      <w:tr w:rsidR="007B3093" w14:paraId="391D1B2D" w14:textId="77777777">
        <w:trPr>
          <w:trHeight w:val="300"/>
        </w:trPr>
        <w:tc>
          <w:tcPr>
            <w:tcW w:w="378" w:type="pct"/>
            <w:tcBorders>
              <w:top w:val="nil"/>
              <w:left w:val="single" w:sz="4" w:space="0" w:color="auto"/>
              <w:bottom w:val="single" w:sz="4" w:space="0" w:color="auto"/>
              <w:right w:val="single" w:sz="4" w:space="0" w:color="auto"/>
            </w:tcBorders>
            <w:shd w:val="clear" w:color="000000" w:fill="DCE6F1"/>
            <w:noWrap/>
            <w:vAlign w:val="center"/>
            <w:hideMark/>
          </w:tcPr>
          <w:p w14:paraId="23A60614" w14:textId="77777777" w:rsidR="007B3093" w:rsidRDefault="00000000">
            <w:pPr>
              <w:spacing w:after="0" w:line="240" w:lineRule="auto"/>
              <w:rPr>
                <w:rFonts w:ascii="Calibri" w:eastAsia="Times New Roman" w:hAnsi="Calibri" w:cs="Calibri"/>
                <w:b/>
                <w:bCs/>
                <w:sz w:val="14"/>
                <w:szCs w:val="14"/>
                <w:lang w:val="en-US"/>
              </w:rPr>
            </w:pPr>
            <w:r>
              <w:rPr>
                <w:rFonts w:ascii="Calibri" w:eastAsia="Times New Roman" w:hAnsi="Calibri" w:cs="Calibri"/>
                <w:b/>
                <w:bCs/>
                <w:sz w:val="14"/>
                <w:szCs w:val="14"/>
                <w:lang w:val="en-US"/>
              </w:rPr>
              <w:t>COMPONENTE 5</w:t>
            </w:r>
          </w:p>
        </w:tc>
        <w:tc>
          <w:tcPr>
            <w:tcW w:w="264" w:type="pct"/>
            <w:tcBorders>
              <w:top w:val="nil"/>
              <w:left w:val="nil"/>
              <w:bottom w:val="single" w:sz="4" w:space="0" w:color="auto"/>
              <w:right w:val="single" w:sz="4" w:space="0" w:color="auto"/>
            </w:tcBorders>
            <w:shd w:val="clear" w:color="000000" w:fill="DCE6F1"/>
            <w:noWrap/>
            <w:vAlign w:val="center"/>
            <w:hideMark/>
          </w:tcPr>
          <w:p w14:paraId="3343FAAB"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31" w:type="pct"/>
            <w:tcBorders>
              <w:top w:val="nil"/>
              <w:left w:val="nil"/>
              <w:bottom w:val="single" w:sz="4" w:space="0" w:color="auto"/>
              <w:right w:val="single" w:sz="4" w:space="0" w:color="auto"/>
            </w:tcBorders>
            <w:shd w:val="clear" w:color="000000" w:fill="DCE6F1"/>
            <w:noWrap/>
            <w:vAlign w:val="center"/>
            <w:hideMark/>
          </w:tcPr>
          <w:p w14:paraId="51F43DF3"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xml:space="preserve"> </w:t>
            </w:r>
          </w:p>
        </w:tc>
        <w:tc>
          <w:tcPr>
            <w:tcW w:w="263" w:type="pct"/>
            <w:tcBorders>
              <w:top w:val="nil"/>
              <w:left w:val="nil"/>
              <w:bottom w:val="single" w:sz="4" w:space="0" w:color="auto"/>
              <w:right w:val="single" w:sz="4" w:space="0" w:color="auto"/>
            </w:tcBorders>
            <w:shd w:val="clear" w:color="000000" w:fill="DCE6F1"/>
            <w:noWrap/>
            <w:vAlign w:val="center"/>
            <w:hideMark/>
          </w:tcPr>
          <w:p w14:paraId="21F9663A" w14:textId="77777777" w:rsidR="007B3093" w:rsidRDefault="00000000">
            <w:pPr>
              <w:spacing w:after="0" w:line="240" w:lineRule="auto"/>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30" w:type="pct"/>
            <w:tcBorders>
              <w:top w:val="nil"/>
              <w:left w:val="nil"/>
              <w:bottom w:val="single" w:sz="4" w:space="0" w:color="auto"/>
              <w:right w:val="single" w:sz="4" w:space="0" w:color="auto"/>
            </w:tcBorders>
            <w:shd w:val="clear" w:color="000000" w:fill="DCE6F1"/>
            <w:noWrap/>
            <w:vAlign w:val="center"/>
            <w:hideMark/>
          </w:tcPr>
          <w:p w14:paraId="77D37577"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6,0%</w:t>
            </w:r>
          </w:p>
        </w:tc>
        <w:tc>
          <w:tcPr>
            <w:tcW w:w="218" w:type="pct"/>
            <w:tcBorders>
              <w:top w:val="nil"/>
              <w:left w:val="nil"/>
              <w:bottom w:val="single" w:sz="4" w:space="0" w:color="auto"/>
              <w:right w:val="single" w:sz="4" w:space="0" w:color="auto"/>
            </w:tcBorders>
            <w:shd w:val="clear" w:color="000000" w:fill="DCE6F1"/>
            <w:noWrap/>
            <w:vAlign w:val="center"/>
            <w:hideMark/>
          </w:tcPr>
          <w:p w14:paraId="064E517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18" w:type="pct"/>
            <w:tcBorders>
              <w:top w:val="nil"/>
              <w:left w:val="nil"/>
              <w:bottom w:val="single" w:sz="4" w:space="0" w:color="auto"/>
              <w:right w:val="single" w:sz="4" w:space="0" w:color="auto"/>
            </w:tcBorders>
            <w:shd w:val="clear" w:color="000000" w:fill="DCE6F1"/>
            <w:noWrap/>
            <w:vAlign w:val="center"/>
            <w:hideMark/>
          </w:tcPr>
          <w:p w14:paraId="0598FA9C"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191" w:type="pct"/>
            <w:tcBorders>
              <w:top w:val="nil"/>
              <w:left w:val="nil"/>
              <w:bottom w:val="single" w:sz="4" w:space="0" w:color="auto"/>
              <w:right w:val="single" w:sz="4" w:space="0" w:color="auto"/>
            </w:tcBorders>
            <w:shd w:val="clear" w:color="000000" w:fill="DCE6F1"/>
            <w:noWrap/>
            <w:vAlign w:val="center"/>
            <w:hideMark/>
          </w:tcPr>
          <w:p w14:paraId="58D2F01D"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2F526047"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1,02% </w:t>
            </w:r>
          </w:p>
        </w:tc>
        <w:tc>
          <w:tcPr>
            <w:tcW w:w="191" w:type="pct"/>
            <w:tcBorders>
              <w:top w:val="nil"/>
              <w:left w:val="nil"/>
              <w:bottom w:val="single" w:sz="4" w:space="0" w:color="auto"/>
              <w:right w:val="single" w:sz="4" w:space="0" w:color="auto"/>
            </w:tcBorders>
            <w:shd w:val="clear" w:color="000000" w:fill="DCE6F1"/>
            <w:noWrap/>
            <w:vAlign w:val="center"/>
            <w:hideMark/>
          </w:tcPr>
          <w:p w14:paraId="0644522C"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06111550"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1,02% </w:t>
            </w:r>
          </w:p>
        </w:tc>
        <w:tc>
          <w:tcPr>
            <w:tcW w:w="191" w:type="pct"/>
            <w:tcBorders>
              <w:top w:val="nil"/>
              <w:left w:val="nil"/>
              <w:bottom w:val="single" w:sz="4" w:space="0" w:color="auto"/>
              <w:right w:val="single" w:sz="4" w:space="0" w:color="auto"/>
            </w:tcBorders>
            <w:shd w:val="clear" w:color="000000" w:fill="DCE6F1"/>
            <w:noWrap/>
            <w:vAlign w:val="center"/>
            <w:hideMark/>
          </w:tcPr>
          <w:p w14:paraId="586B61CC"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2A93B0BE"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1,02% </w:t>
            </w:r>
          </w:p>
        </w:tc>
        <w:tc>
          <w:tcPr>
            <w:tcW w:w="191" w:type="pct"/>
            <w:tcBorders>
              <w:top w:val="nil"/>
              <w:left w:val="nil"/>
              <w:bottom w:val="single" w:sz="4" w:space="0" w:color="auto"/>
              <w:right w:val="single" w:sz="4" w:space="0" w:color="auto"/>
            </w:tcBorders>
            <w:shd w:val="clear" w:color="000000" w:fill="DCE6F1"/>
            <w:noWrap/>
            <w:vAlign w:val="center"/>
            <w:hideMark/>
          </w:tcPr>
          <w:p w14:paraId="7EF0367F"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60679F4B"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1,02% </w:t>
            </w:r>
          </w:p>
        </w:tc>
        <w:tc>
          <w:tcPr>
            <w:tcW w:w="191" w:type="pct"/>
            <w:tcBorders>
              <w:top w:val="nil"/>
              <w:left w:val="nil"/>
              <w:bottom w:val="single" w:sz="4" w:space="0" w:color="auto"/>
              <w:right w:val="single" w:sz="4" w:space="0" w:color="auto"/>
            </w:tcBorders>
            <w:shd w:val="clear" w:color="000000" w:fill="DCE6F1"/>
            <w:noWrap/>
            <w:vAlign w:val="center"/>
            <w:hideMark/>
          </w:tcPr>
          <w:p w14:paraId="0256F583"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5D156054"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  </w:t>
            </w:r>
          </w:p>
        </w:tc>
        <w:tc>
          <w:tcPr>
            <w:tcW w:w="191" w:type="pct"/>
            <w:tcBorders>
              <w:top w:val="nil"/>
              <w:left w:val="nil"/>
              <w:bottom w:val="single" w:sz="4" w:space="0" w:color="auto"/>
              <w:right w:val="single" w:sz="4" w:space="0" w:color="auto"/>
            </w:tcBorders>
            <w:shd w:val="clear" w:color="000000" w:fill="DCE6F1"/>
            <w:noWrap/>
            <w:vAlign w:val="center"/>
            <w:hideMark/>
          </w:tcPr>
          <w:p w14:paraId="181D6A23"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3B7D6F3F"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1,92% </w:t>
            </w:r>
          </w:p>
        </w:tc>
        <w:tc>
          <w:tcPr>
            <w:tcW w:w="253" w:type="pct"/>
            <w:tcBorders>
              <w:top w:val="nil"/>
              <w:left w:val="nil"/>
              <w:bottom w:val="single" w:sz="4" w:space="0" w:color="auto"/>
              <w:right w:val="single" w:sz="4" w:space="0" w:color="auto"/>
            </w:tcBorders>
            <w:shd w:val="clear" w:color="000000" w:fill="DCE6F1"/>
            <w:noWrap/>
            <w:vAlign w:val="center"/>
            <w:hideMark/>
          </w:tcPr>
          <w:p w14:paraId="5621960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w:t>
            </w:r>
          </w:p>
        </w:tc>
        <w:tc>
          <w:tcPr>
            <w:tcW w:w="257" w:type="pct"/>
            <w:tcBorders>
              <w:top w:val="nil"/>
              <w:left w:val="nil"/>
              <w:bottom w:val="single" w:sz="4" w:space="0" w:color="auto"/>
              <w:right w:val="single" w:sz="4" w:space="0" w:color="auto"/>
            </w:tcBorders>
            <w:shd w:val="clear" w:color="000000" w:fill="DCE6F1"/>
            <w:noWrap/>
            <w:vAlign w:val="center"/>
            <w:hideMark/>
          </w:tcPr>
          <w:p w14:paraId="6184A790"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xml:space="preserve">                6,00% </w:t>
            </w:r>
          </w:p>
        </w:tc>
      </w:tr>
      <w:tr w:rsidR="007B3093" w14:paraId="7CB05197" w14:textId="77777777">
        <w:trPr>
          <w:trHeight w:val="1065"/>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2CA85B59"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Diseñar e implementar la estrategia de comunicación de la PGE.</w:t>
            </w:r>
          </w:p>
        </w:tc>
        <w:tc>
          <w:tcPr>
            <w:tcW w:w="264" w:type="pct"/>
            <w:tcBorders>
              <w:top w:val="nil"/>
              <w:left w:val="nil"/>
              <w:bottom w:val="single" w:sz="4" w:space="0" w:color="auto"/>
              <w:right w:val="single" w:sz="4" w:space="0" w:color="auto"/>
            </w:tcBorders>
            <w:shd w:val="clear" w:color="auto" w:fill="auto"/>
            <w:vAlign w:val="center"/>
            <w:hideMark/>
          </w:tcPr>
          <w:p w14:paraId="51C5428B" w14:textId="77777777" w:rsidR="007B3093" w:rsidRDefault="00000000">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A 2025 contará con una estrategia de comunicación 100% implementada.</w:t>
            </w:r>
          </w:p>
        </w:tc>
        <w:tc>
          <w:tcPr>
            <w:tcW w:w="231" w:type="pct"/>
            <w:tcBorders>
              <w:top w:val="nil"/>
              <w:left w:val="nil"/>
              <w:bottom w:val="single" w:sz="4" w:space="0" w:color="auto"/>
              <w:right w:val="single" w:sz="4" w:space="0" w:color="auto"/>
            </w:tcBorders>
            <w:shd w:val="clear" w:color="auto" w:fill="auto"/>
            <w:noWrap/>
            <w:vAlign w:val="center"/>
            <w:hideMark/>
          </w:tcPr>
          <w:p w14:paraId="1796A6D7"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100%</w:t>
            </w:r>
          </w:p>
        </w:tc>
        <w:tc>
          <w:tcPr>
            <w:tcW w:w="263" w:type="pct"/>
            <w:tcBorders>
              <w:top w:val="nil"/>
              <w:left w:val="nil"/>
              <w:bottom w:val="single" w:sz="4" w:space="0" w:color="auto"/>
              <w:right w:val="single" w:sz="4" w:space="0" w:color="auto"/>
            </w:tcBorders>
            <w:shd w:val="clear" w:color="auto" w:fill="auto"/>
            <w:vAlign w:val="center"/>
            <w:hideMark/>
          </w:tcPr>
          <w:p w14:paraId="098B3F81"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 xml:space="preserve">% </w:t>
            </w:r>
            <w:proofErr w:type="spellStart"/>
            <w:r>
              <w:rPr>
                <w:rFonts w:ascii="Calibri" w:eastAsia="Times New Roman" w:hAnsi="Calibri" w:cs="Calibri"/>
                <w:sz w:val="14"/>
                <w:szCs w:val="14"/>
                <w:lang w:val="en-US"/>
              </w:rPr>
              <w:t>Estrategía</w:t>
            </w:r>
            <w:proofErr w:type="spellEnd"/>
            <w:r>
              <w:rPr>
                <w:rFonts w:ascii="Calibri" w:eastAsia="Times New Roman" w:hAnsi="Calibri" w:cs="Calibri"/>
                <w:sz w:val="14"/>
                <w:szCs w:val="14"/>
                <w:lang w:val="en-US"/>
              </w:rPr>
              <w:t xml:space="preserve"> de </w:t>
            </w:r>
            <w:proofErr w:type="spellStart"/>
            <w:r>
              <w:rPr>
                <w:rFonts w:ascii="Calibri" w:eastAsia="Times New Roman" w:hAnsi="Calibri" w:cs="Calibri"/>
                <w:sz w:val="14"/>
                <w:szCs w:val="14"/>
                <w:lang w:val="en-US"/>
              </w:rPr>
              <w:t>comunicación</w:t>
            </w:r>
            <w:proofErr w:type="spellEnd"/>
            <w:r>
              <w:rPr>
                <w:rFonts w:ascii="Calibri" w:eastAsia="Times New Roman" w:hAnsi="Calibri" w:cs="Calibri"/>
                <w:sz w:val="14"/>
                <w:szCs w:val="14"/>
                <w:lang w:val="en-US"/>
              </w:rPr>
              <w:t xml:space="preserve"> </w:t>
            </w:r>
            <w:proofErr w:type="spellStart"/>
            <w:r>
              <w:rPr>
                <w:rFonts w:ascii="Calibri" w:eastAsia="Times New Roman" w:hAnsi="Calibri" w:cs="Calibri"/>
                <w:sz w:val="14"/>
                <w:szCs w:val="14"/>
                <w:lang w:val="en-US"/>
              </w:rPr>
              <w:t>implementada</w:t>
            </w:r>
            <w:proofErr w:type="spellEnd"/>
          </w:p>
        </w:tc>
        <w:tc>
          <w:tcPr>
            <w:tcW w:w="230" w:type="pct"/>
            <w:tcBorders>
              <w:top w:val="nil"/>
              <w:left w:val="nil"/>
              <w:bottom w:val="single" w:sz="4" w:space="0" w:color="auto"/>
              <w:right w:val="single" w:sz="4" w:space="0" w:color="auto"/>
            </w:tcBorders>
            <w:shd w:val="clear" w:color="auto" w:fill="auto"/>
            <w:noWrap/>
            <w:vAlign w:val="center"/>
            <w:hideMark/>
          </w:tcPr>
          <w:p w14:paraId="3E0FF096"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6,0%</w:t>
            </w:r>
          </w:p>
        </w:tc>
        <w:tc>
          <w:tcPr>
            <w:tcW w:w="218" w:type="pct"/>
            <w:tcBorders>
              <w:top w:val="nil"/>
              <w:left w:val="nil"/>
              <w:bottom w:val="single" w:sz="4" w:space="0" w:color="auto"/>
              <w:right w:val="single" w:sz="4" w:space="0" w:color="auto"/>
            </w:tcBorders>
            <w:shd w:val="clear" w:color="auto" w:fill="auto"/>
            <w:noWrap/>
            <w:vAlign w:val="center"/>
            <w:hideMark/>
          </w:tcPr>
          <w:p w14:paraId="048D713A"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w:t>
            </w:r>
          </w:p>
        </w:tc>
        <w:tc>
          <w:tcPr>
            <w:tcW w:w="218" w:type="pct"/>
            <w:tcBorders>
              <w:top w:val="nil"/>
              <w:left w:val="nil"/>
              <w:bottom w:val="single" w:sz="4" w:space="0" w:color="auto"/>
              <w:right w:val="single" w:sz="4" w:space="0" w:color="auto"/>
            </w:tcBorders>
            <w:shd w:val="clear" w:color="000000" w:fill="F2F2F2"/>
            <w:noWrap/>
            <w:vAlign w:val="center"/>
            <w:hideMark/>
          </w:tcPr>
          <w:p w14:paraId="413D8387"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w:t>
            </w:r>
          </w:p>
        </w:tc>
        <w:tc>
          <w:tcPr>
            <w:tcW w:w="191" w:type="pct"/>
            <w:tcBorders>
              <w:top w:val="nil"/>
              <w:left w:val="nil"/>
              <w:bottom w:val="single" w:sz="4" w:space="0" w:color="auto"/>
              <w:right w:val="single" w:sz="4" w:space="0" w:color="auto"/>
            </w:tcBorders>
            <w:shd w:val="clear" w:color="auto" w:fill="auto"/>
            <w:noWrap/>
            <w:vAlign w:val="center"/>
            <w:hideMark/>
          </w:tcPr>
          <w:p w14:paraId="6FEBBA7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0,17</w:t>
            </w:r>
          </w:p>
        </w:tc>
        <w:tc>
          <w:tcPr>
            <w:tcW w:w="257" w:type="pct"/>
            <w:tcBorders>
              <w:top w:val="nil"/>
              <w:left w:val="nil"/>
              <w:bottom w:val="single" w:sz="4" w:space="0" w:color="auto"/>
              <w:right w:val="single" w:sz="4" w:space="0" w:color="auto"/>
            </w:tcBorders>
            <w:shd w:val="clear" w:color="000000" w:fill="F2F2F2"/>
            <w:noWrap/>
            <w:vAlign w:val="center"/>
            <w:hideMark/>
          </w:tcPr>
          <w:p w14:paraId="415E558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1,02%</w:t>
            </w:r>
          </w:p>
        </w:tc>
        <w:tc>
          <w:tcPr>
            <w:tcW w:w="191" w:type="pct"/>
            <w:tcBorders>
              <w:top w:val="nil"/>
              <w:left w:val="nil"/>
              <w:bottom w:val="single" w:sz="4" w:space="0" w:color="auto"/>
              <w:right w:val="single" w:sz="4" w:space="0" w:color="auto"/>
            </w:tcBorders>
            <w:shd w:val="clear" w:color="auto" w:fill="auto"/>
            <w:noWrap/>
            <w:vAlign w:val="center"/>
            <w:hideMark/>
          </w:tcPr>
          <w:p w14:paraId="5B050412"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0,17</w:t>
            </w:r>
          </w:p>
        </w:tc>
        <w:tc>
          <w:tcPr>
            <w:tcW w:w="257" w:type="pct"/>
            <w:tcBorders>
              <w:top w:val="nil"/>
              <w:left w:val="nil"/>
              <w:bottom w:val="single" w:sz="4" w:space="0" w:color="auto"/>
              <w:right w:val="single" w:sz="4" w:space="0" w:color="auto"/>
            </w:tcBorders>
            <w:shd w:val="clear" w:color="000000" w:fill="F2F2F2"/>
            <w:noWrap/>
            <w:vAlign w:val="center"/>
            <w:hideMark/>
          </w:tcPr>
          <w:p w14:paraId="6A7A1E6C"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1,02%</w:t>
            </w:r>
          </w:p>
        </w:tc>
        <w:tc>
          <w:tcPr>
            <w:tcW w:w="191" w:type="pct"/>
            <w:tcBorders>
              <w:top w:val="nil"/>
              <w:left w:val="nil"/>
              <w:bottom w:val="single" w:sz="4" w:space="0" w:color="auto"/>
              <w:right w:val="single" w:sz="4" w:space="0" w:color="auto"/>
            </w:tcBorders>
            <w:shd w:val="clear" w:color="auto" w:fill="auto"/>
            <w:noWrap/>
            <w:vAlign w:val="center"/>
            <w:hideMark/>
          </w:tcPr>
          <w:p w14:paraId="69EE070C"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0,17</w:t>
            </w:r>
          </w:p>
        </w:tc>
        <w:tc>
          <w:tcPr>
            <w:tcW w:w="257" w:type="pct"/>
            <w:tcBorders>
              <w:top w:val="nil"/>
              <w:left w:val="nil"/>
              <w:bottom w:val="single" w:sz="4" w:space="0" w:color="auto"/>
              <w:right w:val="single" w:sz="4" w:space="0" w:color="auto"/>
            </w:tcBorders>
            <w:shd w:val="clear" w:color="000000" w:fill="F2F2F2"/>
            <w:noWrap/>
            <w:vAlign w:val="center"/>
            <w:hideMark/>
          </w:tcPr>
          <w:p w14:paraId="6B915430"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1,02%</w:t>
            </w:r>
          </w:p>
        </w:tc>
        <w:tc>
          <w:tcPr>
            <w:tcW w:w="191" w:type="pct"/>
            <w:tcBorders>
              <w:top w:val="nil"/>
              <w:left w:val="nil"/>
              <w:bottom w:val="single" w:sz="4" w:space="0" w:color="auto"/>
              <w:right w:val="single" w:sz="4" w:space="0" w:color="auto"/>
            </w:tcBorders>
            <w:shd w:val="clear" w:color="auto" w:fill="auto"/>
            <w:noWrap/>
            <w:vAlign w:val="center"/>
            <w:hideMark/>
          </w:tcPr>
          <w:p w14:paraId="4157A6C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0,17</w:t>
            </w:r>
          </w:p>
        </w:tc>
        <w:tc>
          <w:tcPr>
            <w:tcW w:w="257" w:type="pct"/>
            <w:tcBorders>
              <w:top w:val="nil"/>
              <w:left w:val="nil"/>
              <w:bottom w:val="single" w:sz="4" w:space="0" w:color="auto"/>
              <w:right w:val="single" w:sz="4" w:space="0" w:color="auto"/>
            </w:tcBorders>
            <w:shd w:val="clear" w:color="000000" w:fill="F2F2F2"/>
            <w:noWrap/>
            <w:vAlign w:val="center"/>
            <w:hideMark/>
          </w:tcPr>
          <w:p w14:paraId="5AA6FFEE"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1,02%</w:t>
            </w:r>
          </w:p>
        </w:tc>
        <w:tc>
          <w:tcPr>
            <w:tcW w:w="191" w:type="pct"/>
            <w:tcBorders>
              <w:top w:val="nil"/>
              <w:left w:val="nil"/>
              <w:bottom w:val="single" w:sz="4" w:space="0" w:color="auto"/>
              <w:right w:val="single" w:sz="4" w:space="0" w:color="auto"/>
            </w:tcBorders>
            <w:shd w:val="clear" w:color="auto" w:fill="auto"/>
            <w:noWrap/>
            <w:vAlign w:val="center"/>
            <w:hideMark/>
          </w:tcPr>
          <w:p w14:paraId="53B53828"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0,00</w:t>
            </w:r>
          </w:p>
        </w:tc>
        <w:tc>
          <w:tcPr>
            <w:tcW w:w="257" w:type="pct"/>
            <w:tcBorders>
              <w:top w:val="nil"/>
              <w:left w:val="nil"/>
              <w:bottom w:val="single" w:sz="4" w:space="0" w:color="auto"/>
              <w:right w:val="single" w:sz="4" w:space="0" w:color="auto"/>
            </w:tcBorders>
            <w:shd w:val="clear" w:color="000000" w:fill="F2F2F2"/>
            <w:noWrap/>
            <w:vAlign w:val="center"/>
            <w:hideMark/>
          </w:tcPr>
          <w:p w14:paraId="6A38498B"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w:t>
            </w:r>
          </w:p>
        </w:tc>
        <w:tc>
          <w:tcPr>
            <w:tcW w:w="191" w:type="pct"/>
            <w:tcBorders>
              <w:top w:val="nil"/>
              <w:left w:val="nil"/>
              <w:bottom w:val="single" w:sz="4" w:space="0" w:color="auto"/>
              <w:right w:val="single" w:sz="4" w:space="0" w:color="auto"/>
            </w:tcBorders>
            <w:shd w:val="clear" w:color="auto" w:fill="auto"/>
            <w:noWrap/>
            <w:vAlign w:val="center"/>
            <w:hideMark/>
          </w:tcPr>
          <w:p w14:paraId="0C6A52BC"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0,32</w:t>
            </w:r>
          </w:p>
        </w:tc>
        <w:tc>
          <w:tcPr>
            <w:tcW w:w="257" w:type="pct"/>
            <w:tcBorders>
              <w:top w:val="nil"/>
              <w:left w:val="nil"/>
              <w:bottom w:val="single" w:sz="4" w:space="0" w:color="auto"/>
              <w:right w:val="single" w:sz="4" w:space="0" w:color="auto"/>
            </w:tcBorders>
            <w:shd w:val="clear" w:color="000000" w:fill="F2F2F2"/>
            <w:noWrap/>
            <w:vAlign w:val="center"/>
            <w:hideMark/>
          </w:tcPr>
          <w:p w14:paraId="65F4A5B9"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1,92%</w:t>
            </w:r>
          </w:p>
        </w:tc>
        <w:tc>
          <w:tcPr>
            <w:tcW w:w="253" w:type="pct"/>
            <w:tcBorders>
              <w:top w:val="nil"/>
              <w:left w:val="nil"/>
              <w:bottom w:val="single" w:sz="4" w:space="0" w:color="auto"/>
              <w:right w:val="single" w:sz="4" w:space="0" w:color="auto"/>
            </w:tcBorders>
            <w:shd w:val="clear" w:color="000000" w:fill="F2F2F2"/>
            <w:noWrap/>
            <w:vAlign w:val="center"/>
            <w:hideMark/>
          </w:tcPr>
          <w:p w14:paraId="7586A995"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1,0</w:t>
            </w:r>
          </w:p>
        </w:tc>
        <w:tc>
          <w:tcPr>
            <w:tcW w:w="257" w:type="pct"/>
            <w:tcBorders>
              <w:top w:val="nil"/>
              <w:left w:val="nil"/>
              <w:bottom w:val="single" w:sz="4" w:space="0" w:color="auto"/>
              <w:right w:val="single" w:sz="4" w:space="0" w:color="auto"/>
            </w:tcBorders>
            <w:shd w:val="clear" w:color="000000" w:fill="F2F2F2"/>
            <w:noWrap/>
            <w:vAlign w:val="center"/>
            <w:hideMark/>
          </w:tcPr>
          <w:p w14:paraId="4A24B13D" w14:textId="77777777" w:rsidR="007B3093" w:rsidRDefault="00000000">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6,00%</w:t>
            </w:r>
          </w:p>
        </w:tc>
      </w:tr>
      <w:tr w:rsidR="007B3093" w14:paraId="0FC60A0C" w14:textId="77777777">
        <w:trPr>
          <w:trHeight w:val="3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337054B" w14:textId="77777777" w:rsidR="007B3093" w:rsidRDefault="00000000">
            <w:pPr>
              <w:spacing w:after="0" w:line="240" w:lineRule="auto"/>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64" w:type="pct"/>
            <w:tcBorders>
              <w:top w:val="nil"/>
              <w:left w:val="nil"/>
              <w:bottom w:val="single" w:sz="4" w:space="0" w:color="auto"/>
              <w:right w:val="single" w:sz="4" w:space="0" w:color="auto"/>
            </w:tcBorders>
            <w:shd w:val="clear" w:color="auto" w:fill="auto"/>
            <w:noWrap/>
            <w:vAlign w:val="center"/>
            <w:hideMark/>
          </w:tcPr>
          <w:p w14:paraId="40D2D667" w14:textId="77777777" w:rsidR="007B3093" w:rsidRDefault="00000000">
            <w:pPr>
              <w:spacing w:after="0" w:line="240" w:lineRule="auto"/>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31" w:type="pct"/>
            <w:tcBorders>
              <w:top w:val="nil"/>
              <w:left w:val="nil"/>
              <w:bottom w:val="single" w:sz="4" w:space="0" w:color="auto"/>
              <w:right w:val="single" w:sz="4" w:space="0" w:color="auto"/>
            </w:tcBorders>
            <w:shd w:val="clear" w:color="auto" w:fill="auto"/>
            <w:noWrap/>
            <w:vAlign w:val="center"/>
            <w:hideMark/>
          </w:tcPr>
          <w:p w14:paraId="7378042F" w14:textId="77777777" w:rsidR="007B3093" w:rsidRDefault="00000000">
            <w:pPr>
              <w:spacing w:after="0" w:line="240" w:lineRule="auto"/>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63" w:type="pct"/>
            <w:tcBorders>
              <w:top w:val="nil"/>
              <w:left w:val="nil"/>
              <w:bottom w:val="single" w:sz="4" w:space="0" w:color="auto"/>
              <w:right w:val="single" w:sz="4" w:space="0" w:color="auto"/>
            </w:tcBorders>
            <w:shd w:val="clear" w:color="auto" w:fill="auto"/>
            <w:noWrap/>
            <w:vAlign w:val="center"/>
            <w:hideMark/>
          </w:tcPr>
          <w:p w14:paraId="5E4565F3" w14:textId="77777777" w:rsidR="007B3093" w:rsidRDefault="00000000">
            <w:pPr>
              <w:spacing w:after="0" w:line="240" w:lineRule="auto"/>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30" w:type="pct"/>
            <w:tcBorders>
              <w:top w:val="nil"/>
              <w:left w:val="nil"/>
              <w:bottom w:val="single" w:sz="4" w:space="0" w:color="auto"/>
              <w:right w:val="single" w:sz="4" w:space="0" w:color="auto"/>
            </w:tcBorders>
            <w:shd w:val="clear" w:color="000000" w:fill="F2F2F2"/>
            <w:noWrap/>
            <w:vAlign w:val="center"/>
            <w:hideMark/>
          </w:tcPr>
          <w:p w14:paraId="27650441"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100,00%</w:t>
            </w:r>
          </w:p>
        </w:tc>
        <w:tc>
          <w:tcPr>
            <w:tcW w:w="218" w:type="pct"/>
            <w:tcBorders>
              <w:top w:val="nil"/>
              <w:left w:val="nil"/>
              <w:bottom w:val="single" w:sz="4" w:space="0" w:color="auto"/>
              <w:right w:val="single" w:sz="4" w:space="0" w:color="auto"/>
            </w:tcBorders>
            <w:shd w:val="clear" w:color="auto" w:fill="auto"/>
            <w:noWrap/>
            <w:vAlign w:val="center"/>
            <w:hideMark/>
          </w:tcPr>
          <w:p w14:paraId="6960F772"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18" w:type="pct"/>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801B558" w14:textId="77777777" w:rsidR="007B3093" w:rsidRDefault="00000000">
            <w:pPr>
              <w:spacing w:after="0" w:line="240" w:lineRule="auto"/>
              <w:jc w:val="center"/>
              <w:rPr>
                <w:rFonts w:ascii="Calibri" w:eastAsia="Times New Roman" w:hAnsi="Calibri" w:cs="Calibri"/>
                <w:b/>
                <w:bCs/>
                <w:color w:val="FF0000"/>
                <w:sz w:val="14"/>
                <w:szCs w:val="14"/>
                <w:lang w:val="en-US"/>
              </w:rPr>
            </w:pPr>
            <w:r>
              <w:rPr>
                <w:rFonts w:ascii="Calibri" w:eastAsia="Times New Roman" w:hAnsi="Calibri" w:cs="Calibri"/>
                <w:b/>
                <w:bCs/>
                <w:color w:val="FF0000"/>
                <w:sz w:val="14"/>
                <w:szCs w:val="14"/>
                <w:lang w:val="en-US"/>
              </w:rPr>
              <w:t>0,00%</w:t>
            </w:r>
          </w:p>
        </w:tc>
        <w:tc>
          <w:tcPr>
            <w:tcW w:w="191" w:type="pct"/>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0496BE26" w14:textId="77777777" w:rsidR="007B3093" w:rsidRDefault="00000000">
            <w:pPr>
              <w:spacing w:after="0" w:line="240" w:lineRule="auto"/>
              <w:jc w:val="center"/>
              <w:rPr>
                <w:rFonts w:ascii="Calibri" w:eastAsia="Times New Roman" w:hAnsi="Calibri" w:cs="Calibri"/>
                <w:b/>
                <w:bCs/>
                <w:color w:val="FF0000"/>
                <w:sz w:val="14"/>
                <w:szCs w:val="14"/>
                <w:lang w:val="en-US"/>
              </w:rPr>
            </w:pPr>
            <w:r>
              <w:rPr>
                <w:rFonts w:ascii="Calibri" w:eastAsia="Times New Roman" w:hAnsi="Calibri" w:cs="Calibri"/>
                <w:b/>
                <w:bCs/>
                <w:color w:val="FF0000"/>
                <w:sz w:val="14"/>
                <w:szCs w:val="14"/>
                <w:lang w:val="en-US"/>
              </w:rPr>
              <w:t> </w:t>
            </w:r>
          </w:p>
        </w:tc>
        <w:tc>
          <w:tcPr>
            <w:tcW w:w="257" w:type="pct"/>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6096EBB" w14:textId="77777777" w:rsidR="007B3093" w:rsidRDefault="00000000">
            <w:pPr>
              <w:spacing w:after="0" w:line="240" w:lineRule="auto"/>
              <w:jc w:val="center"/>
              <w:rPr>
                <w:rFonts w:ascii="Calibri" w:eastAsia="Times New Roman" w:hAnsi="Calibri" w:cs="Calibri"/>
                <w:b/>
                <w:bCs/>
                <w:color w:val="FF0000"/>
                <w:sz w:val="14"/>
                <w:szCs w:val="14"/>
                <w:lang w:val="en-US"/>
              </w:rPr>
            </w:pPr>
            <w:r>
              <w:rPr>
                <w:rFonts w:ascii="Calibri" w:eastAsia="Times New Roman" w:hAnsi="Calibri" w:cs="Calibri"/>
                <w:b/>
                <w:bCs/>
                <w:color w:val="FF0000"/>
                <w:sz w:val="14"/>
                <w:szCs w:val="14"/>
                <w:lang w:val="en-US"/>
              </w:rPr>
              <w:t>13,72%</w:t>
            </w:r>
          </w:p>
        </w:tc>
        <w:tc>
          <w:tcPr>
            <w:tcW w:w="191" w:type="pct"/>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52E9B4E1" w14:textId="77777777" w:rsidR="007B3093" w:rsidRDefault="00000000">
            <w:pPr>
              <w:spacing w:after="0" w:line="240" w:lineRule="auto"/>
              <w:jc w:val="center"/>
              <w:rPr>
                <w:rFonts w:ascii="Calibri" w:eastAsia="Times New Roman" w:hAnsi="Calibri" w:cs="Calibri"/>
                <w:b/>
                <w:bCs/>
                <w:color w:val="FF0000"/>
                <w:sz w:val="14"/>
                <w:szCs w:val="14"/>
                <w:lang w:val="en-US"/>
              </w:rPr>
            </w:pPr>
            <w:r>
              <w:rPr>
                <w:rFonts w:ascii="Calibri" w:eastAsia="Times New Roman" w:hAnsi="Calibri" w:cs="Calibri"/>
                <w:b/>
                <w:bCs/>
                <w:color w:val="FF0000"/>
                <w:sz w:val="14"/>
                <w:szCs w:val="14"/>
                <w:lang w:val="en-US"/>
              </w:rPr>
              <w:t> </w:t>
            </w:r>
          </w:p>
        </w:tc>
        <w:tc>
          <w:tcPr>
            <w:tcW w:w="257" w:type="pct"/>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ACCF760" w14:textId="77777777" w:rsidR="007B3093" w:rsidRDefault="00000000">
            <w:pPr>
              <w:spacing w:after="0" w:line="240" w:lineRule="auto"/>
              <w:jc w:val="center"/>
              <w:rPr>
                <w:rFonts w:ascii="Calibri" w:eastAsia="Times New Roman" w:hAnsi="Calibri" w:cs="Calibri"/>
                <w:b/>
                <w:bCs/>
                <w:color w:val="FF0000"/>
                <w:sz w:val="14"/>
                <w:szCs w:val="14"/>
                <w:lang w:val="en-US"/>
              </w:rPr>
            </w:pPr>
            <w:r>
              <w:rPr>
                <w:rFonts w:ascii="Calibri" w:eastAsia="Times New Roman" w:hAnsi="Calibri" w:cs="Calibri"/>
                <w:b/>
                <w:bCs/>
                <w:color w:val="FF0000"/>
                <w:sz w:val="14"/>
                <w:szCs w:val="14"/>
                <w:lang w:val="en-US"/>
              </w:rPr>
              <w:t>23,50%</w:t>
            </w:r>
          </w:p>
        </w:tc>
        <w:tc>
          <w:tcPr>
            <w:tcW w:w="191" w:type="pct"/>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543AFD55" w14:textId="77777777" w:rsidR="007B3093" w:rsidRDefault="00000000">
            <w:pPr>
              <w:spacing w:after="0" w:line="240" w:lineRule="auto"/>
              <w:jc w:val="center"/>
              <w:rPr>
                <w:rFonts w:ascii="Calibri" w:eastAsia="Times New Roman" w:hAnsi="Calibri" w:cs="Calibri"/>
                <w:b/>
                <w:bCs/>
                <w:color w:val="FF0000"/>
                <w:sz w:val="14"/>
                <w:szCs w:val="14"/>
                <w:lang w:val="en-US"/>
              </w:rPr>
            </w:pPr>
            <w:r>
              <w:rPr>
                <w:rFonts w:ascii="Calibri" w:eastAsia="Times New Roman" w:hAnsi="Calibri" w:cs="Calibri"/>
                <w:b/>
                <w:bCs/>
                <w:color w:val="FF0000"/>
                <w:sz w:val="14"/>
                <w:szCs w:val="14"/>
                <w:lang w:val="en-US"/>
              </w:rPr>
              <w:t> </w:t>
            </w:r>
          </w:p>
        </w:tc>
        <w:tc>
          <w:tcPr>
            <w:tcW w:w="257" w:type="pct"/>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6158F9A" w14:textId="77777777" w:rsidR="007B3093" w:rsidRDefault="00000000">
            <w:pPr>
              <w:spacing w:after="0" w:line="240" w:lineRule="auto"/>
              <w:jc w:val="center"/>
              <w:rPr>
                <w:rFonts w:ascii="Calibri" w:eastAsia="Times New Roman" w:hAnsi="Calibri" w:cs="Calibri"/>
                <w:b/>
                <w:bCs/>
                <w:color w:val="FF0000"/>
                <w:sz w:val="14"/>
                <w:szCs w:val="14"/>
                <w:lang w:val="en-US"/>
              </w:rPr>
            </w:pPr>
            <w:r>
              <w:rPr>
                <w:rFonts w:ascii="Calibri" w:eastAsia="Times New Roman" w:hAnsi="Calibri" w:cs="Calibri"/>
                <w:b/>
                <w:bCs/>
                <w:color w:val="FF0000"/>
                <w:sz w:val="14"/>
                <w:szCs w:val="14"/>
                <w:lang w:val="en-US"/>
              </w:rPr>
              <w:t>20,55%</w:t>
            </w:r>
          </w:p>
        </w:tc>
        <w:tc>
          <w:tcPr>
            <w:tcW w:w="191" w:type="pct"/>
            <w:tcBorders>
              <w:top w:val="nil"/>
              <w:left w:val="nil"/>
              <w:bottom w:val="single" w:sz="4" w:space="0" w:color="auto"/>
              <w:right w:val="single" w:sz="4" w:space="0" w:color="auto"/>
            </w:tcBorders>
            <w:shd w:val="clear" w:color="auto" w:fill="auto"/>
            <w:noWrap/>
            <w:vAlign w:val="center"/>
            <w:hideMark/>
          </w:tcPr>
          <w:p w14:paraId="3432EC19"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0985D51" w14:textId="77777777" w:rsidR="007B3093" w:rsidRDefault="00000000">
            <w:pPr>
              <w:spacing w:after="0" w:line="240" w:lineRule="auto"/>
              <w:jc w:val="center"/>
              <w:rPr>
                <w:rFonts w:ascii="Calibri" w:eastAsia="Times New Roman" w:hAnsi="Calibri" w:cs="Calibri"/>
                <w:b/>
                <w:bCs/>
                <w:color w:val="FF0000"/>
                <w:sz w:val="14"/>
                <w:szCs w:val="14"/>
                <w:lang w:val="en-US"/>
              </w:rPr>
            </w:pPr>
            <w:r>
              <w:rPr>
                <w:rFonts w:ascii="Calibri" w:eastAsia="Times New Roman" w:hAnsi="Calibri" w:cs="Calibri"/>
                <w:b/>
                <w:bCs/>
                <w:color w:val="FF0000"/>
                <w:sz w:val="14"/>
                <w:szCs w:val="14"/>
                <w:lang w:val="en-US"/>
              </w:rPr>
              <w:t>8,29%</w:t>
            </w:r>
          </w:p>
        </w:tc>
        <w:tc>
          <w:tcPr>
            <w:tcW w:w="191" w:type="pct"/>
            <w:tcBorders>
              <w:top w:val="nil"/>
              <w:left w:val="nil"/>
              <w:bottom w:val="single" w:sz="4" w:space="0" w:color="auto"/>
              <w:right w:val="single" w:sz="4" w:space="0" w:color="auto"/>
            </w:tcBorders>
            <w:shd w:val="clear" w:color="auto" w:fill="auto"/>
            <w:noWrap/>
            <w:vAlign w:val="center"/>
            <w:hideMark/>
          </w:tcPr>
          <w:p w14:paraId="1040A4ED"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B03C9ED" w14:textId="77777777" w:rsidR="007B3093" w:rsidRDefault="00000000">
            <w:pPr>
              <w:spacing w:after="0" w:line="240" w:lineRule="auto"/>
              <w:jc w:val="center"/>
              <w:rPr>
                <w:rFonts w:ascii="Calibri" w:eastAsia="Times New Roman" w:hAnsi="Calibri" w:cs="Calibri"/>
                <w:b/>
                <w:bCs/>
                <w:color w:val="FF0000"/>
                <w:sz w:val="14"/>
                <w:szCs w:val="14"/>
                <w:lang w:val="en-US"/>
              </w:rPr>
            </w:pPr>
            <w:r>
              <w:rPr>
                <w:rFonts w:ascii="Calibri" w:eastAsia="Times New Roman" w:hAnsi="Calibri" w:cs="Calibri"/>
                <w:b/>
                <w:bCs/>
                <w:color w:val="FF0000"/>
                <w:sz w:val="14"/>
                <w:szCs w:val="14"/>
                <w:lang w:val="en-US"/>
              </w:rPr>
              <w:t>6,02%</w:t>
            </w:r>
          </w:p>
        </w:tc>
        <w:tc>
          <w:tcPr>
            <w:tcW w:w="191" w:type="pct"/>
            <w:tcBorders>
              <w:top w:val="nil"/>
              <w:left w:val="nil"/>
              <w:bottom w:val="single" w:sz="4" w:space="0" w:color="auto"/>
              <w:right w:val="single" w:sz="4" w:space="0" w:color="auto"/>
            </w:tcBorders>
            <w:shd w:val="clear" w:color="auto" w:fill="auto"/>
            <w:noWrap/>
            <w:vAlign w:val="center"/>
            <w:hideMark/>
          </w:tcPr>
          <w:p w14:paraId="7B665AEB"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0BAD0B3" w14:textId="77777777" w:rsidR="007B3093" w:rsidRDefault="00000000">
            <w:pPr>
              <w:spacing w:after="0" w:line="240" w:lineRule="auto"/>
              <w:jc w:val="center"/>
              <w:rPr>
                <w:rFonts w:ascii="Calibri" w:eastAsia="Times New Roman" w:hAnsi="Calibri" w:cs="Calibri"/>
                <w:b/>
                <w:bCs/>
                <w:color w:val="FF0000"/>
                <w:sz w:val="14"/>
                <w:szCs w:val="14"/>
                <w:lang w:val="en-US"/>
              </w:rPr>
            </w:pPr>
            <w:r>
              <w:rPr>
                <w:rFonts w:ascii="Calibri" w:eastAsia="Times New Roman" w:hAnsi="Calibri" w:cs="Calibri"/>
                <w:b/>
                <w:bCs/>
                <w:color w:val="FF0000"/>
                <w:sz w:val="14"/>
                <w:szCs w:val="14"/>
                <w:lang w:val="en-US"/>
              </w:rPr>
              <w:t>27,92%</w:t>
            </w:r>
          </w:p>
        </w:tc>
        <w:tc>
          <w:tcPr>
            <w:tcW w:w="253" w:type="pct"/>
            <w:tcBorders>
              <w:top w:val="nil"/>
              <w:left w:val="nil"/>
              <w:bottom w:val="single" w:sz="4" w:space="0" w:color="auto"/>
              <w:right w:val="single" w:sz="4" w:space="0" w:color="auto"/>
            </w:tcBorders>
            <w:shd w:val="clear" w:color="auto" w:fill="auto"/>
            <w:noWrap/>
            <w:vAlign w:val="center"/>
            <w:hideMark/>
          </w:tcPr>
          <w:p w14:paraId="39E52916"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 </w:t>
            </w:r>
          </w:p>
        </w:tc>
        <w:tc>
          <w:tcPr>
            <w:tcW w:w="257" w:type="pct"/>
            <w:tcBorders>
              <w:top w:val="nil"/>
              <w:left w:val="nil"/>
              <w:bottom w:val="single" w:sz="4" w:space="0" w:color="auto"/>
              <w:right w:val="single" w:sz="4" w:space="0" w:color="auto"/>
            </w:tcBorders>
            <w:shd w:val="clear" w:color="000000" w:fill="F2F2F2"/>
            <w:noWrap/>
            <w:vAlign w:val="center"/>
            <w:hideMark/>
          </w:tcPr>
          <w:p w14:paraId="27660477" w14:textId="77777777" w:rsidR="007B3093" w:rsidRDefault="00000000">
            <w:pPr>
              <w:spacing w:after="0" w:line="240" w:lineRule="auto"/>
              <w:jc w:val="center"/>
              <w:rPr>
                <w:rFonts w:ascii="Calibri" w:eastAsia="Times New Roman" w:hAnsi="Calibri" w:cs="Calibri"/>
                <w:b/>
                <w:bCs/>
                <w:sz w:val="14"/>
                <w:szCs w:val="14"/>
                <w:lang w:val="en-US"/>
              </w:rPr>
            </w:pPr>
            <w:r>
              <w:rPr>
                <w:rFonts w:ascii="Calibri" w:eastAsia="Times New Roman" w:hAnsi="Calibri" w:cs="Calibri"/>
                <w:b/>
                <w:bCs/>
                <w:sz w:val="14"/>
                <w:szCs w:val="14"/>
                <w:lang w:val="en-US"/>
              </w:rPr>
              <w:t>100,00%</w:t>
            </w:r>
          </w:p>
        </w:tc>
      </w:tr>
    </w:tbl>
    <w:p w14:paraId="3B7C2668" w14:textId="77777777" w:rsidR="007B3093" w:rsidRDefault="007B3093">
      <w:pPr>
        <w:autoSpaceDE w:val="0"/>
        <w:autoSpaceDN w:val="0"/>
        <w:adjustRightInd w:val="0"/>
        <w:spacing w:after="0" w:line="360" w:lineRule="auto"/>
        <w:ind w:left="-502" w:right="-1"/>
        <w:jc w:val="center"/>
        <w:rPr>
          <w:rFonts w:cstheme="minorHAnsi"/>
          <w:b/>
        </w:rPr>
      </w:pPr>
    </w:p>
    <w:p w14:paraId="24DA3887" w14:textId="77777777" w:rsidR="007B3093" w:rsidRDefault="007B3093">
      <w:pPr>
        <w:autoSpaceDE w:val="0"/>
        <w:autoSpaceDN w:val="0"/>
        <w:adjustRightInd w:val="0"/>
        <w:spacing w:after="0" w:line="360" w:lineRule="auto"/>
        <w:ind w:left="-502" w:right="-1"/>
        <w:jc w:val="center"/>
        <w:rPr>
          <w:rFonts w:cstheme="minorHAnsi"/>
          <w:b/>
        </w:rPr>
        <w:sectPr w:rsidR="007B3093">
          <w:pgSz w:w="16838" w:h="11906" w:orient="landscape"/>
          <w:pgMar w:top="1701" w:right="1418" w:bottom="1701" w:left="1418" w:header="709" w:footer="709" w:gutter="0"/>
          <w:cols w:space="708"/>
          <w:docGrid w:linePitch="360"/>
        </w:sectPr>
      </w:pPr>
    </w:p>
    <w:p w14:paraId="62B7573A" w14:textId="77777777" w:rsidR="007B3093" w:rsidRDefault="007B3093">
      <w:pPr>
        <w:spacing w:after="0" w:line="360" w:lineRule="auto"/>
        <w:jc w:val="both"/>
      </w:pPr>
    </w:p>
    <w:p w14:paraId="2E9A3126" w14:textId="77777777" w:rsidR="007B3093" w:rsidRDefault="00000000">
      <w:pPr>
        <w:pStyle w:val="Prrafodelista"/>
        <w:numPr>
          <w:ilvl w:val="0"/>
          <w:numId w:val="25"/>
        </w:numPr>
        <w:spacing w:after="0" w:line="360" w:lineRule="auto"/>
        <w:jc w:val="both"/>
      </w:pPr>
      <w:r>
        <w:t>Valoración de la calidad de los productos entregados;</w:t>
      </w:r>
    </w:p>
    <w:p w14:paraId="6C5C59EA" w14:textId="77777777" w:rsidR="007B3093" w:rsidRDefault="00000000">
      <w:pPr>
        <w:pStyle w:val="Prrafodelista"/>
        <w:spacing w:before="120" w:after="120" w:line="360" w:lineRule="auto"/>
        <w:ind w:left="142" w:firstLine="425"/>
        <w:contextualSpacing w:val="0"/>
        <w:jc w:val="both"/>
        <w:rPr>
          <w:rFonts w:eastAsia="Times New Roman" w:cstheme="minorHAnsi"/>
          <w:bCs/>
          <w:color w:val="000000"/>
          <w:lang w:eastAsia="es-EC"/>
        </w:rPr>
      </w:pPr>
      <w:r>
        <w:t xml:space="preserve">El alcance de las acciones en </w:t>
      </w:r>
      <w:r>
        <w:rPr>
          <w:rFonts w:eastAsia="Times New Roman" w:cstheme="minorHAnsi"/>
          <w:bCs/>
          <w:color w:val="000000"/>
          <w:lang w:eastAsia="es-EC"/>
        </w:rPr>
        <w:t>cada caso es el siguiente:</w:t>
      </w:r>
    </w:p>
    <w:p w14:paraId="2DF2616B" w14:textId="77777777" w:rsidR="007B3093" w:rsidRDefault="00000000">
      <w:pPr>
        <w:pStyle w:val="Prrafodelista"/>
        <w:numPr>
          <w:ilvl w:val="0"/>
          <w:numId w:val="32"/>
        </w:numPr>
        <w:spacing w:before="120" w:after="120" w:line="360" w:lineRule="auto"/>
        <w:contextualSpacing w:val="0"/>
        <w:jc w:val="both"/>
      </w:pPr>
      <w:r>
        <w:t>Evaluación del desempeño periódico. Califica el desempeño semestral del proyecto de acuerdo con la valoración del grado de cumplimiento de 3 parámetros:</w:t>
      </w:r>
    </w:p>
    <w:p w14:paraId="468FFFA4" w14:textId="77777777" w:rsidR="007B3093" w:rsidRDefault="00000000">
      <w:pPr>
        <w:pStyle w:val="Prrafodelista"/>
        <w:numPr>
          <w:ilvl w:val="0"/>
          <w:numId w:val="26"/>
        </w:numPr>
        <w:spacing w:after="0" w:line="360" w:lineRule="auto"/>
        <w:ind w:left="1320"/>
        <w:jc w:val="both"/>
      </w:pPr>
      <w:r>
        <w:t>Indicadores y metas planteadas para el período, tomando en cuenta el peso relativo de cada uno en su componente y en el proyecto global;</w:t>
      </w:r>
    </w:p>
    <w:p w14:paraId="1D4F1225" w14:textId="77777777" w:rsidR="007B3093" w:rsidRDefault="00000000">
      <w:pPr>
        <w:pStyle w:val="Prrafodelista"/>
        <w:numPr>
          <w:ilvl w:val="0"/>
          <w:numId w:val="26"/>
        </w:numPr>
        <w:spacing w:after="0" w:line="360" w:lineRule="auto"/>
        <w:ind w:left="1320"/>
        <w:jc w:val="both"/>
      </w:pPr>
      <w:r>
        <w:t>Actividades planteadas en el cronograma establecido en lo referente al desarrollo de los componentes; y.</w:t>
      </w:r>
    </w:p>
    <w:p w14:paraId="7D77C791" w14:textId="77777777" w:rsidR="007B3093" w:rsidRDefault="00000000">
      <w:pPr>
        <w:pStyle w:val="Prrafodelista"/>
        <w:numPr>
          <w:ilvl w:val="0"/>
          <w:numId w:val="26"/>
        </w:numPr>
        <w:spacing w:after="0" w:line="360" w:lineRule="auto"/>
        <w:ind w:left="1320"/>
        <w:jc w:val="both"/>
      </w:pPr>
      <w:r>
        <w:t xml:space="preserve">Desembolsos respecto al monto presupuestado. </w:t>
      </w:r>
    </w:p>
    <w:p w14:paraId="772FF35E" w14:textId="77777777" w:rsidR="007B3093" w:rsidRDefault="007B3093">
      <w:pPr>
        <w:pStyle w:val="Prrafodelista"/>
        <w:spacing w:after="0" w:line="360" w:lineRule="auto"/>
        <w:ind w:left="1320"/>
        <w:jc w:val="both"/>
      </w:pPr>
    </w:p>
    <w:p w14:paraId="05985A5C" w14:textId="77777777" w:rsidR="007B3093" w:rsidRDefault="00000000">
      <w:pPr>
        <w:pStyle w:val="Ttulo2"/>
        <w:numPr>
          <w:ilvl w:val="1"/>
          <w:numId w:val="83"/>
        </w:numPr>
        <w:spacing w:before="0" w:line="360" w:lineRule="auto"/>
        <w:ind w:left="426"/>
        <w:rPr>
          <w:rFonts w:asciiTheme="minorHAnsi" w:hAnsiTheme="minorHAnsi" w:cstheme="minorHAnsi"/>
          <w:b/>
          <w:color w:val="auto"/>
          <w:sz w:val="22"/>
          <w:szCs w:val="22"/>
        </w:rPr>
      </w:pPr>
      <w:bookmarkStart w:id="102" w:name="_Toc195008322"/>
      <w:r>
        <w:rPr>
          <w:rFonts w:asciiTheme="minorHAnsi" w:hAnsiTheme="minorHAnsi" w:cstheme="minorHAnsi"/>
          <w:b/>
          <w:color w:val="auto"/>
          <w:sz w:val="22"/>
          <w:szCs w:val="22"/>
        </w:rPr>
        <w:t>Actualización de línea base</w:t>
      </w:r>
      <w:bookmarkEnd w:id="102"/>
    </w:p>
    <w:p w14:paraId="40CF1C9E" w14:textId="77777777" w:rsidR="007B3093" w:rsidRDefault="00000000">
      <w:pPr>
        <w:spacing w:before="120" w:after="120" w:line="360" w:lineRule="auto"/>
      </w:pPr>
      <w:r>
        <w:t>La línea base de 2019 se mantiene en función de que es parte de los elementos del contrato de crédito suscrito con BID.</w:t>
      </w:r>
    </w:p>
    <w:p w14:paraId="64899EC8" w14:textId="77777777" w:rsidR="007B3093" w:rsidRDefault="007B3093">
      <w:pPr>
        <w:spacing w:before="120" w:after="120" w:line="360" w:lineRule="auto"/>
      </w:pPr>
    </w:p>
    <w:p w14:paraId="0E9D4024" w14:textId="77777777" w:rsidR="007B3093" w:rsidRDefault="00000000">
      <w:pPr>
        <w:pStyle w:val="Ttulo2"/>
        <w:numPr>
          <w:ilvl w:val="0"/>
          <w:numId w:val="83"/>
        </w:numPr>
        <w:spacing w:before="0" w:line="360" w:lineRule="auto"/>
        <w:ind w:left="284"/>
        <w:rPr>
          <w:rFonts w:asciiTheme="minorHAnsi" w:hAnsiTheme="minorHAnsi" w:cstheme="minorHAnsi"/>
          <w:b/>
          <w:color w:val="auto"/>
          <w:sz w:val="22"/>
          <w:szCs w:val="22"/>
        </w:rPr>
      </w:pPr>
      <w:bookmarkStart w:id="103" w:name="_Toc195008323"/>
      <w:r>
        <w:rPr>
          <w:rFonts w:asciiTheme="minorHAnsi" w:hAnsiTheme="minorHAnsi" w:cstheme="minorHAnsi"/>
          <w:b/>
          <w:color w:val="auto"/>
          <w:sz w:val="22"/>
          <w:szCs w:val="22"/>
        </w:rPr>
        <w:t>ANEXOS</w:t>
      </w:r>
      <w:bookmarkEnd w:id="103"/>
    </w:p>
    <w:p w14:paraId="41B2649E" w14:textId="77777777" w:rsidR="007B3093" w:rsidRDefault="00000000">
      <w:pPr>
        <w:pStyle w:val="Ttulo2"/>
        <w:numPr>
          <w:ilvl w:val="1"/>
          <w:numId w:val="83"/>
        </w:numPr>
        <w:spacing w:before="0" w:line="360" w:lineRule="auto"/>
        <w:ind w:left="426"/>
        <w:rPr>
          <w:rFonts w:asciiTheme="minorHAnsi" w:hAnsiTheme="minorHAnsi" w:cstheme="minorHAnsi"/>
          <w:b/>
          <w:color w:val="auto"/>
          <w:sz w:val="22"/>
          <w:szCs w:val="22"/>
        </w:rPr>
      </w:pPr>
      <w:bookmarkStart w:id="104" w:name="_Toc195008324"/>
      <w:r>
        <w:rPr>
          <w:rFonts w:asciiTheme="minorHAnsi" w:hAnsiTheme="minorHAnsi" w:cstheme="minorHAnsi"/>
          <w:b/>
          <w:color w:val="auto"/>
          <w:sz w:val="22"/>
          <w:szCs w:val="22"/>
        </w:rPr>
        <w:t>Autorizaciones ambientales otorgadas por el Ministerio del Ambiente y otros según corresponda</w:t>
      </w:r>
      <w:bookmarkEnd w:id="104"/>
    </w:p>
    <w:p w14:paraId="73CADC6F" w14:textId="77777777" w:rsidR="007B3093" w:rsidRDefault="00000000">
      <w:pPr>
        <w:pStyle w:val="Prrafodelista"/>
        <w:spacing w:before="120" w:after="120" w:line="360" w:lineRule="auto"/>
        <w:ind w:left="567"/>
        <w:contextualSpacing w:val="0"/>
      </w:pPr>
      <w:r>
        <w:t>No aplica</w:t>
      </w:r>
    </w:p>
    <w:p w14:paraId="487782C3" w14:textId="77777777" w:rsidR="007B3093" w:rsidRDefault="00000000">
      <w:pPr>
        <w:pStyle w:val="Ttulo2"/>
        <w:numPr>
          <w:ilvl w:val="1"/>
          <w:numId w:val="83"/>
        </w:numPr>
        <w:spacing w:before="0" w:line="360" w:lineRule="auto"/>
        <w:ind w:left="426"/>
        <w:rPr>
          <w:rFonts w:asciiTheme="minorHAnsi" w:hAnsiTheme="minorHAnsi" w:cstheme="minorHAnsi"/>
          <w:b/>
          <w:color w:val="auto"/>
          <w:sz w:val="22"/>
          <w:szCs w:val="22"/>
        </w:rPr>
      </w:pPr>
      <w:bookmarkStart w:id="105" w:name="_Toc195008325"/>
      <w:r>
        <w:rPr>
          <w:rFonts w:asciiTheme="minorHAnsi" w:hAnsiTheme="minorHAnsi" w:cstheme="minorHAnsi"/>
          <w:b/>
          <w:color w:val="auto"/>
          <w:sz w:val="22"/>
          <w:szCs w:val="22"/>
        </w:rPr>
        <w:t>Certificaciones técnicas, costos, disponibilidad de financiamiento y otras.</w:t>
      </w:r>
      <w:bookmarkEnd w:id="105"/>
    </w:p>
    <w:p w14:paraId="2BE0572C" w14:textId="77777777" w:rsidR="007B3093" w:rsidRDefault="00000000">
      <w:pPr>
        <w:pStyle w:val="Prrafodelista"/>
        <w:numPr>
          <w:ilvl w:val="0"/>
          <w:numId w:val="28"/>
        </w:numPr>
        <w:spacing w:before="120" w:after="120" w:line="360" w:lineRule="auto"/>
        <w:contextualSpacing w:val="0"/>
        <w:jc w:val="both"/>
      </w:pPr>
      <w:r>
        <w:t>Certificación que el proyecto forma parte de planificación.</w:t>
      </w:r>
    </w:p>
    <w:p w14:paraId="587CEEC7" w14:textId="77777777" w:rsidR="007B3093" w:rsidRDefault="00000000">
      <w:pPr>
        <w:pStyle w:val="Prrafodelista"/>
        <w:numPr>
          <w:ilvl w:val="0"/>
          <w:numId w:val="28"/>
        </w:numPr>
        <w:spacing w:before="120" w:after="120" w:line="360" w:lineRule="auto"/>
        <w:contextualSpacing w:val="0"/>
        <w:jc w:val="both"/>
      </w:pPr>
      <w:r>
        <w:t>Certificado de disponibilidad de recursos económicos para el financiamiento del proyecto.</w:t>
      </w:r>
    </w:p>
    <w:p w14:paraId="4BE1202F" w14:textId="77777777" w:rsidR="007B3093" w:rsidRDefault="00000000">
      <w:pPr>
        <w:pStyle w:val="Prrafodelista"/>
        <w:numPr>
          <w:ilvl w:val="0"/>
          <w:numId w:val="28"/>
        </w:numPr>
        <w:spacing w:before="120" w:after="120" w:line="360" w:lineRule="auto"/>
        <w:contextualSpacing w:val="0"/>
        <w:jc w:val="both"/>
      </w:pPr>
      <w:r>
        <w:t>CAN/CEC-937/2024 de extensión contrato de crédito hasta el año 2025.</w:t>
      </w:r>
    </w:p>
    <w:p w14:paraId="169C8764" w14:textId="77777777" w:rsidR="007B3093" w:rsidRDefault="00000000">
      <w:pPr>
        <w:pStyle w:val="Prrafodelista"/>
        <w:numPr>
          <w:ilvl w:val="0"/>
          <w:numId w:val="28"/>
        </w:numPr>
        <w:spacing w:before="120" w:after="120" w:line="360" w:lineRule="auto"/>
        <w:contextualSpacing w:val="0"/>
        <w:jc w:val="both"/>
      </w:pPr>
      <w:r>
        <w:t>Certificado que indica que la entidad cuenta con la capacidad técnico y administrativa para la eficiente ejecución del proyecto.</w:t>
      </w:r>
    </w:p>
    <w:p w14:paraId="0E02B26A" w14:textId="77777777" w:rsidR="007B3093" w:rsidRDefault="00000000">
      <w:pPr>
        <w:pStyle w:val="Prrafodelista"/>
        <w:numPr>
          <w:ilvl w:val="0"/>
          <w:numId w:val="28"/>
        </w:numPr>
        <w:spacing w:before="120" w:after="120" w:line="360" w:lineRule="auto"/>
        <w:contextualSpacing w:val="0"/>
        <w:jc w:val="both"/>
      </w:pPr>
      <w:r>
        <w:t>Solicitud de recategorización de recursos (reprogramación no sustancial)</w:t>
      </w:r>
    </w:p>
    <w:p w14:paraId="188350FF" w14:textId="77777777" w:rsidR="007B3093" w:rsidRDefault="00000000">
      <w:pPr>
        <w:pStyle w:val="Prrafodelista"/>
        <w:numPr>
          <w:ilvl w:val="0"/>
          <w:numId w:val="28"/>
        </w:numPr>
        <w:spacing w:before="120" w:after="120" w:line="360" w:lineRule="auto"/>
        <w:contextualSpacing w:val="0"/>
        <w:jc w:val="both"/>
      </w:pPr>
      <w:r>
        <w:t>Informe Técnico de solicitud de reprogramación de recursos</w:t>
      </w:r>
    </w:p>
    <w:p w14:paraId="00C6FADE" w14:textId="77777777" w:rsidR="007B3093" w:rsidRDefault="00000000">
      <w:pPr>
        <w:pStyle w:val="Prrafodelista"/>
        <w:numPr>
          <w:ilvl w:val="0"/>
          <w:numId w:val="28"/>
        </w:numPr>
        <w:spacing w:before="120" w:after="120" w:line="360" w:lineRule="auto"/>
        <w:contextualSpacing w:val="0"/>
        <w:jc w:val="both"/>
      </w:pPr>
      <w:r>
        <w:t>Resolución 012 de MEF aprobando la modificación no sustancial de recursos</w:t>
      </w:r>
    </w:p>
    <w:p w14:paraId="6C92BAE9" w14:textId="77777777" w:rsidR="007B3093" w:rsidRDefault="00000000">
      <w:pPr>
        <w:pStyle w:val="Prrafodelista"/>
        <w:numPr>
          <w:ilvl w:val="0"/>
          <w:numId w:val="28"/>
        </w:numPr>
        <w:spacing w:before="120" w:after="120" w:line="360" w:lineRule="auto"/>
        <w:contextualSpacing w:val="0"/>
        <w:jc w:val="both"/>
      </w:pPr>
      <w:r>
        <w:lastRenderedPageBreak/>
        <w:t>Comunicación de BID con recategorización</w:t>
      </w:r>
    </w:p>
    <w:p w14:paraId="5419798D" w14:textId="77777777" w:rsidR="007B3093" w:rsidRDefault="00000000">
      <w:pPr>
        <w:pStyle w:val="Prrafodelista"/>
        <w:numPr>
          <w:ilvl w:val="0"/>
          <w:numId w:val="28"/>
        </w:numPr>
        <w:spacing w:before="120" w:after="120" w:line="360" w:lineRule="auto"/>
        <w:contextualSpacing w:val="0"/>
        <w:jc w:val="both"/>
      </w:pPr>
      <w:r>
        <w:t>Informe de necesidad de equipo de gestión del PROFIP</w:t>
      </w:r>
    </w:p>
    <w:p w14:paraId="7058F3CE" w14:textId="77777777" w:rsidR="007B3093" w:rsidRDefault="00000000">
      <w:pPr>
        <w:pStyle w:val="Prrafodelista"/>
        <w:numPr>
          <w:ilvl w:val="0"/>
          <w:numId w:val="28"/>
        </w:numPr>
        <w:spacing w:before="120" w:after="120" w:line="360" w:lineRule="auto"/>
        <w:contextualSpacing w:val="0"/>
        <w:jc w:val="both"/>
      </w:pPr>
      <w:r>
        <w:t>Informe de necesidad de capacitación en herramientas de comunicación</w:t>
      </w:r>
    </w:p>
    <w:p w14:paraId="1F8E2105" w14:textId="77777777" w:rsidR="007B3093" w:rsidRDefault="00000000">
      <w:pPr>
        <w:pStyle w:val="Prrafodelista"/>
        <w:numPr>
          <w:ilvl w:val="0"/>
          <w:numId w:val="28"/>
        </w:numPr>
        <w:spacing w:before="120" w:after="120" w:line="360" w:lineRule="auto"/>
        <w:contextualSpacing w:val="0"/>
        <w:jc w:val="both"/>
      </w:pPr>
      <w:r>
        <w:t xml:space="preserve">Informe de necesidad de adquisición de equipos para </w:t>
      </w:r>
      <w:proofErr w:type="spellStart"/>
      <w:r>
        <w:t>TICs</w:t>
      </w:r>
      <w:proofErr w:type="spellEnd"/>
    </w:p>
    <w:p w14:paraId="2A9587F9" w14:textId="77777777" w:rsidR="007B3093" w:rsidRDefault="00000000">
      <w:pPr>
        <w:pStyle w:val="Prrafodelista"/>
        <w:numPr>
          <w:ilvl w:val="0"/>
          <w:numId w:val="28"/>
        </w:numPr>
        <w:spacing w:before="120" w:after="120" w:line="360" w:lineRule="auto"/>
        <w:contextualSpacing w:val="0"/>
        <w:jc w:val="both"/>
      </w:pPr>
      <w:r>
        <w:t>Aval de MINTEL para la gestión de software.</w:t>
      </w:r>
    </w:p>
    <w:sectPr w:rsidR="007B309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E9EDA" w14:textId="77777777" w:rsidR="00A11F06" w:rsidRDefault="00A11F06">
      <w:pPr>
        <w:spacing w:after="0" w:line="240" w:lineRule="auto"/>
      </w:pPr>
      <w:r>
        <w:separator/>
      </w:r>
    </w:p>
  </w:endnote>
  <w:endnote w:type="continuationSeparator" w:id="0">
    <w:p w14:paraId="4DF96478" w14:textId="77777777" w:rsidR="00A11F06" w:rsidRDefault="00A11F06">
      <w:pPr>
        <w:spacing w:after="0" w:line="240" w:lineRule="auto"/>
      </w:pPr>
      <w:r>
        <w:continuationSeparator/>
      </w:r>
    </w:p>
  </w:endnote>
  <w:endnote w:type="continuationNotice" w:id="1">
    <w:p w14:paraId="7DA08CD6" w14:textId="77777777" w:rsidR="00A11F06" w:rsidRDefault="00A11F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092710"/>
      <w:docPartObj>
        <w:docPartGallery w:val="Page Numbers (Bottom of Page)"/>
        <w:docPartUnique/>
      </w:docPartObj>
    </w:sdtPr>
    <w:sdtContent>
      <w:p w14:paraId="5D65A401" w14:textId="77777777" w:rsidR="007B3093" w:rsidRDefault="00000000">
        <w:pPr>
          <w:pStyle w:val="Piedepgina"/>
          <w:jc w:val="right"/>
        </w:pPr>
        <w:r>
          <w:fldChar w:fldCharType="begin"/>
        </w:r>
        <w:r>
          <w:instrText>PAGE   \* MERGEFORMAT</w:instrText>
        </w:r>
        <w:r>
          <w:fldChar w:fldCharType="separate"/>
        </w:r>
        <w:r>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32A5C" w14:textId="77777777" w:rsidR="00A11F06" w:rsidRDefault="00A11F06">
      <w:pPr>
        <w:spacing w:after="0" w:line="240" w:lineRule="auto"/>
      </w:pPr>
      <w:r>
        <w:separator/>
      </w:r>
    </w:p>
  </w:footnote>
  <w:footnote w:type="continuationSeparator" w:id="0">
    <w:p w14:paraId="42D556A3" w14:textId="77777777" w:rsidR="00A11F06" w:rsidRDefault="00A11F06">
      <w:pPr>
        <w:spacing w:after="0" w:line="240" w:lineRule="auto"/>
      </w:pPr>
      <w:r>
        <w:continuationSeparator/>
      </w:r>
    </w:p>
  </w:footnote>
  <w:footnote w:type="continuationNotice" w:id="1">
    <w:p w14:paraId="267540FD" w14:textId="77777777" w:rsidR="00A11F06" w:rsidRDefault="00A11F06">
      <w:pPr>
        <w:spacing w:after="0" w:line="240" w:lineRule="auto"/>
      </w:pPr>
    </w:p>
  </w:footnote>
  <w:footnote w:id="2">
    <w:p w14:paraId="06C1E0D6"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Artículo 237 de la Constitución del Ecuador.</w:t>
      </w:r>
    </w:p>
  </w:footnote>
  <w:footnote w:id="3">
    <w:p w14:paraId="56DB2DFC"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El sistema actual (el SIATH) está obsoleto y no presenta reportes confiables.</w:t>
      </w:r>
    </w:p>
  </w:footnote>
  <w:footnote w:id="4">
    <w:p w14:paraId="317FF7E3"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Ministerio del Trabajo (2018: p. 11).</w:t>
      </w:r>
    </w:p>
  </w:footnote>
  <w:footnote w:id="5">
    <w:p w14:paraId="1555830E" w14:textId="77777777" w:rsidR="007B3093" w:rsidRDefault="00000000">
      <w:pPr>
        <w:pStyle w:val="Textonotapie"/>
        <w:ind w:left="142" w:hanging="142"/>
      </w:pPr>
      <w:r>
        <w:rPr>
          <w:rStyle w:val="Refdenotaalpie"/>
        </w:rPr>
        <w:footnoteRef/>
      </w:r>
      <w:r>
        <w:t xml:space="preserve"> En las entrevistas realizadas en Guayaquil, Cuenca y Lago Agrio, este fue un tema recurrente </w:t>
      </w:r>
      <w:r>
        <w:t>en relación a las mejoras que se necesitan.</w:t>
      </w:r>
    </w:p>
  </w:footnote>
  <w:footnote w:id="6">
    <w:p w14:paraId="0C915D6C" w14:textId="77777777" w:rsidR="007B3093" w:rsidRDefault="00000000">
      <w:pPr>
        <w:autoSpaceDE w:val="0"/>
        <w:autoSpaceDN w:val="0"/>
        <w:adjustRightInd w:val="0"/>
        <w:spacing w:after="0" w:line="240" w:lineRule="auto"/>
        <w:ind w:left="142" w:hanging="142"/>
        <w:jc w:val="both"/>
        <w:rPr>
          <w:rFonts w:cs="Calibri"/>
          <w:sz w:val="20"/>
          <w:szCs w:val="20"/>
        </w:rPr>
      </w:pPr>
      <w:r>
        <w:rPr>
          <w:rStyle w:val="Refdenotaalpie"/>
          <w:rFonts w:cs="Calibri"/>
          <w:sz w:val="20"/>
          <w:szCs w:val="20"/>
        </w:rPr>
        <w:footnoteRef/>
      </w:r>
      <w:r>
        <w:rPr>
          <w:rFonts w:cs="Calibri"/>
          <w:sz w:val="20"/>
          <w:szCs w:val="20"/>
        </w:rPr>
        <w:t xml:space="preserve"> Ministerio de Trabajo, Informe de medición de clima laboral y cultura organizacional 2018.</w:t>
      </w:r>
    </w:p>
  </w:footnote>
  <w:footnote w:id="7">
    <w:p w14:paraId="3FB9A797"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CGE (2018: p.13).</w:t>
      </w:r>
    </w:p>
  </w:footnote>
  <w:footnote w:id="8">
    <w:p w14:paraId="505F1DE7"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CGE (2018: p.13).</w:t>
      </w:r>
    </w:p>
  </w:footnote>
  <w:footnote w:id="9">
    <w:p w14:paraId="6C0AFCC9" w14:textId="77777777" w:rsidR="007B3093" w:rsidRDefault="00000000">
      <w:pPr>
        <w:pStyle w:val="Textonotapie"/>
        <w:ind w:left="142" w:hanging="142"/>
        <w:contextualSpacing/>
        <w:jc w:val="both"/>
        <w:rPr>
          <w:rFonts w:cs="Calibri"/>
        </w:rPr>
      </w:pPr>
      <w:r>
        <w:rPr>
          <w:rStyle w:val="Refdenotaalpie"/>
          <w:rFonts w:cs="Calibri"/>
        </w:rPr>
        <w:footnoteRef/>
      </w:r>
      <w:r>
        <w:rPr>
          <w:rFonts w:cs="Calibri"/>
        </w:rPr>
        <w:t xml:space="preserve"> García (2009: p.256 y 257).  </w:t>
      </w:r>
    </w:p>
  </w:footnote>
  <w:footnote w:id="10">
    <w:p w14:paraId="7C908B00"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Moreno (2009: p.15).</w:t>
      </w:r>
    </w:p>
  </w:footnote>
  <w:footnote w:id="11">
    <w:p w14:paraId="50317310"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García (2015: p. 5).</w:t>
      </w:r>
    </w:p>
  </w:footnote>
  <w:footnote w:id="12">
    <w:p w14:paraId="14181497" w14:textId="77777777" w:rsidR="007B3093" w:rsidRDefault="00000000">
      <w:pPr>
        <w:pStyle w:val="Textonotapie"/>
        <w:ind w:left="142" w:hanging="142"/>
        <w:contextualSpacing/>
        <w:jc w:val="both"/>
        <w:rPr>
          <w:rFonts w:cs="Calibri"/>
        </w:rPr>
      </w:pPr>
      <w:r>
        <w:rPr>
          <w:rStyle w:val="Refdenotaalpie"/>
          <w:rFonts w:cs="Calibri"/>
        </w:rPr>
        <w:footnoteRef/>
      </w:r>
      <w:r>
        <w:rPr>
          <w:rFonts w:cs="Calibri"/>
        </w:rPr>
        <w:t xml:space="preserve"> BID y CLAD (2007: p. 18).  </w:t>
      </w:r>
    </w:p>
  </w:footnote>
  <w:footnote w:id="13">
    <w:p w14:paraId="7ADAAE48"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La Medición de Clima Laboral y Cultura Organizacional, realizada por el Ministerio de Trabajo en noviembre de 2018 establece que la cultura predominante en la Procuraduría General del Estado es una “Cultura Jerarquizada” - Ministerio del Trabajo (2018: p. 11).</w:t>
      </w:r>
    </w:p>
  </w:footnote>
  <w:footnote w:id="14">
    <w:p w14:paraId="325D00A9"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Ministerio del Trabajo (2018: p. 11).</w:t>
      </w:r>
    </w:p>
  </w:footnote>
  <w:footnote w:id="15">
    <w:p w14:paraId="34EF1AA7"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Reunión del 19 de enero con delegación del BID.</w:t>
      </w:r>
    </w:p>
  </w:footnote>
  <w:footnote w:id="16">
    <w:p w14:paraId="53DE488A"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Entrevista con las unidades y reuniones con las unidades y la delegación del BID, del 17 y 18 de enero.</w:t>
      </w:r>
    </w:p>
  </w:footnote>
  <w:footnote w:id="17">
    <w:p w14:paraId="1191C81A"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w:t>
      </w:r>
      <w:proofErr w:type="spellStart"/>
      <w:r>
        <w:rPr>
          <w:rFonts w:cs="Calibri"/>
        </w:rPr>
        <w:t>Demaestri</w:t>
      </w:r>
      <w:proofErr w:type="spellEnd"/>
      <w:r>
        <w:rPr>
          <w:rFonts w:cs="Calibri"/>
        </w:rPr>
        <w:t xml:space="preserve"> y </w:t>
      </w:r>
      <w:proofErr w:type="spellStart"/>
      <w:r>
        <w:rPr>
          <w:rFonts w:cs="Calibri"/>
        </w:rPr>
        <w:t>Moskovits</w:t>
      </w:r>
      <w:proofErr w:type="spellEnd"/>
      <w:r>
        <w:rPr>
          <w:rFonts w:cs="Calibri"/>
        </w:rPr>
        <w:t xml:space="preserve"> (2015: p. 4)</w:t>
      </w:r>
    </w:p>
  </w:footnote>
  <w:footnote w:id="18">
    <w:p w14:paraId="20B64B7D"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Registro en los documentos oficiales.</w:t>
      </w:r>
    </w:p>
  </w:footnote>
  <w:footnote w:id="19">
    <w:p w14:paraId="0C7ABD2D"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w:t>
      </w:r>
      <w:proofErr w:type="spellStart"/>
      <w:r>
        <w:rPr>
          <w:rFonts w:cs="Calibri"/>
        </w:rPr>
        <w:t>Polackova</w:t>
      </w:r>
      <w:proofErr w:type="spellEnd"/>
      <w:r>
        <w:rPr>
          <w:rFonts w:cs="Calibri"/>
        </w:rPr>
        <w:t xml:space="preserve"> (1999: p. 48).</w:t>
      </w:r>
    </w:p>
  </w:footnote>
  <w:footnote w:id="20">
    <w:p w14:paraId="5BB814C1"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w:t>
      </w:r>
      <w:proofErr w:type="spellStart"/>
      <w:r>
        <w:rPr>
          <w:rFonts w:cs="Calibri"/>
        </w:rPr>
        <w:t>Polackova</w:t>
      </w:r>
      <w:proofErr w:type="spellEnd"/>
      <w:r>
        <w:rPr>
          <w:rFonts w:cs="Calibri"/>
        </w:rPr>
        <w:t xml:space="preserve"> (1999: p. 48).</w:t>
      </w:r>
    </w:p>
  </w:footnote>
  <w:footnote w:id="21">
    <w:p w14:paraId="40010CCD"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Ministerio de Hacienda y Crédito Público (2012: p.110).</w:t>
      </w:r>
    </w:p>
  </w:footnote>
  <w:footnote w:id="22">
    <w:p w14:paraId="0354E267" w14:textId="77777777" w:rsidR="007B3093" w:rsidRDefault="00000000">
      <w:pPr>
        <w:pStyle w:val="Textonotapie"/>
        <w:ind w:left="142" w:hanging="142"/>
      </w:pPr>
      <w:r>
        <w:rPr>
          <w:rStyle w:val="Refdenotaalpie"/>
        </w:rPr>
        <w:footnoteRef/>
      </w:r>
      <w:r>
        <w:t xml:space="preserve"> Para referencias, revisar el marco teórico (aproximación conceptual) que ha sido sugerido como parte del proceso de fortalecimiento institucional.</w:t>
      </w:r>
    </w:p>
  </w:footnote>
  <w:footnote w:id="23">
    <w:p w14:paraId="6A7E394B"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Pastor y Rosales (2005: pp. 105 y 106).</w:t>
      </w:r>
    </w:p>
  </w:footnote>
  <w:footnote w:id="24">
    <w:p w14:paraId="0768F514"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Pastor y Rosales (2005: pp. 108 y 109). </w:t>
      </w:r>
    </w:p>
  </w:footnote>
  <w:footnote w:id="25">
    <w:p w14:paraId="608EA9ED"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Servicios generados por el Estado que se hacen difíciles de percibir en el día a día como por ejemplo la defensa militar de un país. </w:t>
      </w:r>
    </w:p>
  </w:footnote>
  <w:footnote w:id="26">
    <w:p w14:paraId="5C19C2A3" w14:textId="77777777" w:rsidR="007B3093" w:rsidRDefault="00000000">
      <w:pPr>
        <w:pStyle w:val="Textonotapie"/>
        <w:ind w:left="142" w:hanging="142"/>
        <w:jc w:val="both"/>
        <w:rPr>
          <w:rFonts w:cs="Calibri"/>
        </w:rPr>
      </w:pPr>
      <w:r>
        <w:rPr>
          <w:rStyle w:val="Refdenotaalpie"/>
          <w:rFonts w:cs="Calibri"/>
        </w:rPr>
        <w:footnoteRef/>
      </w:r>
      <w:r>
        <w:rPr>
          <w:rFonts w:cs="Calibri"/>
        </w:rPr>
        <w:t xml:space="preserve"> Pastor y Rosales (2005: p. 104).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BB69" w14:textId="77777777" w:rsidR="007B3093" w:rsidRDefault="00000000">
    <w:pPr>
      <w:pStyle w:val="Encabezado"/>
      <w:jc w:val="right"/>
    </w:pPr>
    <w:r>
      <w:rPr>
        <w:noProof/>
        <w:lang w:val="en-US"/>
      </w:rPr>
      <w:drawing>
        <wp:inline distT="0" distB="0" distL="0" distR="0" wp14:anchorId="1E34AF66" wp14:editId="6639A9FA">
          <wp:extent cx="3093720" cy="612140"/>
          <wp:effectExtent l="0" t="0" r="0" b="0"/>
          <wp:docPr id="424176235" name="Imagen 424176235"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ABEZADO PGE"/>
                  <pic:cNvPicPr>
                    <a:picLocks noChangeAspect="1" noChangeArrowheads="1"/>
                  </pic:cNvPicPr>
                </pic:nvPicPr>
                <pic:blipFill rotWithShape="1">
                  <a:blip r:embed="rId1">
                    <a:extLst>
                      <a:ext uri="{28A0092B-C50C-407E-A947-70E740481C1C}">
                        <a14:useLocalDpi xmlns:a14="http://schemas.microsoft.com/office/drawing/2010/main" val="0"/>
                      </a:ext>
                    </a:extLst>
                  </a:blip>
                  <a:srcRect r="24243"/>
                  <a:stretch/>
                </pic:blipFill>
                <pic:spPr bwMode="auto">
                  <a:xfrm>
                    <a:off x="0" y="0"/>
                    <a:ext cx="3099921" cy="61336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D3AD86D" wp14:editId="658DAA0F">
          <wp:extent cx="1001444" cy="647700"/>
          <wp:effectExtent l="0" t="0" r="0" b="0"/>
          <wp:docPr id="18256435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 cstate="print">
                    <a:extLst>
                      <a:ext uri="{28A0092B-C50C-407E-A947-70E740481C1C}">
                        <a14:useLocalDpi xmlns:a14="http://schemas.microsoft.com/office/drawing/2010/main" val="0"/>
                      </a:ext>
                    </a:extLst>
                  </a:blip>
                  <a:srcRect l="14197" r="14462" b="29377"/>
                  <a:stretch/>
                </pic:blipFill>
                <pic:spPr bwMode="auto">
                  <a:xfrm>
                    <a:off x="0" y="0"/>
                    <a:ext cx="1026900" cy="66416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29BC"/>
    <w:multiLevelType w:val="hybridMultilevel"/>
    <w:tmpl w:val="12C2E4F2"/>
    <w:lvl w:ilvl="0" w:tplc="46E66A28">
      <w:start w:val="1"/>
      <w:numFmt w:val="decimal"/>
      <w:lvlText w:val="%1."/>
      <w:lvlJc w:val="left"/>
      <w:pPr>
        <w:ind w:left="502" w:hanging="360"/>
      </w:pPr>
      <w:rPr>
        <w:rFonts w:ascii="Calibri" w:eastAsia="Times New Roman" w:hAnsi="Calibri" w:cs="Calibri" w:hint="default"/>
        <w:sz w:val="22"/>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1" w15:restartNumberingAfterBreak="0">
    <w:nsid w:val="06424B53"/>
    <w:multiLevelType w:val="hybridMultilevel"/>
    <w:tmpl w:val="0888831E"/>
    <w:lvl w:ilvl="0" w:tplc="43A0D0E2">
      <w:start w:val="1"/>
      <w:numFmt w:val="decimal"/>
      <w:lvlText w:val="%1."/>
      <w:lvlJc w:val="left"/>
      <w:pPr>
        <w:ind w:left="720" w:hanging="360"/>
      </w:pPr>
      <w:rPr>
        <w:rFonts w:ascii="Calibri" w:eastAsia="Times New Roman" w:hAnsi="Calibri" w:cs="Calibr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6662749"/>
    <w:multiLevelType w:val="multilevel"/>
    <w:tmpl w:val="913C2A1A"/>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07B0085C"/>
    <w:multiLevelType w:val="hybridMultilevel"/>
    <w:tmpl w:val="31A84170"/>
    <w:lvl w:ilvl="0" w:tplc="06EAC272">
      <w:start w:val="1"/>
      <w:numFmt w:val="decimal"/>
      <w:lvlText w:val="%1."/>
      <w:lvlJc w:val="left"/>
      <w:pPr>
        <w:ind w:left="135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7C95190"/>
    <w:multiLevelType w:val="hybridMultilevel"/>
    <w:tmpl w:val="942AB4BA"/>
    <w:lvl w:ilvl="0" w:tplc="B74C50F8">
      <w:numFmt w:val="bullet"/>
      <w:lvlText w:val=""/>
      <w:lvlJc w:val="left"/>
      <w:pPr>
        <w:ind w:left="1776" w:hanging="360"/>
      </w:pPr>
      <w:rPr>
        <w:rFonts w:ascii="Symbol" w:eastAsiaTheme="minorHAnsi" w:hAnsi="Symbol" w:cstheme="minorBidi"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5" w15:restartNumberingAfterBreak="0">
    <w:nsid w:val="07E45DEB"/>
    <w:multiLevelType w:val="hybridMultilevel"/>
    <w:tmpl w:val="7CEE33EC"/>
    <w:lvl w:ilvl="0" w:tplc="300A000F">
      <w:start w:val="1"/>
      <w:numFmt w:val="decimal"/>
      <w:lvlText w:val="%1."/>
      <w:lvlJc w:val="left"/>
      <w:pPr>
        <w:ind w:left="1068" w:hanging="360"/>
      </w:pPr>
      <w:rPr>
        <w:rFonts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6" w15:restartNumberingAfterBreak="0">
    <w:nsid w:val="08F96661"/>
    <w:multiLevelType w:val="hybridMultilevel"/>
    <w:tmpl w:val="0B504E36"/>
    <w:lvl w:ilvl="0" w:tplc="01EE7F88">
      <w:start w:val="1"/>
      <w:numFmt w:val="decimal"/>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7" w15:restartNumberingAfterBreak="0">
    <w:nsid w:val="09967E94"/>
    <w:multiLevelType w:val="hybridMultilevel"/>
    <w:tmpl w:val="AAB681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0B5745B1"/>
    <w:multiLevelType w:val="multilevel"/>
    <w:tmpl w:val="4134FAA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15:restartNumberingAfterBreak="0">
    <w:nsid w:val="0BA742F2"/>
    <w:multiLevelType w:val="hybridMultilevel"/>
    <w:tmpl w:val="1714D6AC"/>
    <w:lvl w:ilvl="0" w:tplc="80FE14D4">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E15E59"/>
    <w:multiLevelType w:val="hybridMultilevel"/>
    <w:tmpl w:val="E076A638"/>
    <w:lvl w:ilvl="0" w:tplc="06EAC272">
      <w:start w:val="1"/>
      <w:numFmt w:val="decimal"/>
      <w:lvlText w:val="%1."/>
      <w:lvlJc w:val="left"/>
      <w:pPr>
        <w:ind w:left="720" w:hanging="360"/>
      </w:pPr>
      <w:rPr>
        <w:rFonts w:hint="default"/>
      </w:rPr>
    </w:lvl>
    <w:lvl w:ilvl="1" w:tplc="300A0019" w:tentative="1">
      <w:start w:val="1"/>
      <w:numFmt w:val="lowerLetter"/>
      <w:lvlText w:val="%2."/>
      <w:lvlJc w:val="left"/>
      <w:pPr>
        <w:ind w:left="807" w:hanging="360"/>
      </w:pPr>
    </w:lvl>
    <w:lvl w:ilvl="2" w:tplc="300A001B" w:tentative="1">
      <w:start w:val="1"/>
      <w:numFmt w:val="lowerRoman"/>
      <w:lvlText w:val="%3."/>
      <w:lvlJc w:val="right"/>
      <w:pPr>
        <w:ind w:left="1527" w:hanging="180"/>
      </w:pPr>
    </w:lvl>
    <w:lvl w:ilvl="3" w:tplc="300A000F" w:tentative="1">
      <w:start w:val="1"/>
      <w:numFmt w:val="decimal"/>
      <w:lvlText w:val="%4."/>
      <w:lvlJc w:val="left"/>
      <w:pPr>
        <w:ind w:left="2247" w:hanging="360"/>
      </w:pPr>
    </w:lvl>
    <w:lvl w:ilvl="4" w:tplc="300A0019" w:tentative="1">
      <w:start w:val="1"/>
      <w:numFmt w:val="lowerLetter"/>
      <w:lvlText w:val="%5."/>
      <w:lvlJc w:val="left"/>
      <w:pPr>
        <w:ind w:left="2967" w:hanging="360"/>
      </w:pPr>
    </w:lvl>
    <w:lvl w:ilvl="5" w:tplc="300A001B" w:tentative="1">
      <w:start w:val="1"/>
      <w:numFmt w:val="lowerRoman"/>
      <w:lvlText w:val="%6."/>
      <w:lvlJc w:val="right"/>
      <w:pPr>
        <w:ind w:left="3687" w:hanging="180"/>
      </w:pPr>
    </w:lvl>
    <w:lvl w:ilvl="6" w:tplc="300A000F" w:tentative="1">
      <w:start w:val="1"/>
      <w:numFmt w:val="decimal"/>
      <w:lvlText w:val="%7."/>
      <w:lvlJc w:val="left"/>
      <w:pPr>
        <w:ind w:left="4407" w:hanging="360"/>
      </w:pPr>
    </w:lvl>
    <w:lvl w:ilvl="7" w:tplc="300A0019" w:tentative="1">
      <w:start w:val="1"/>
      <w:numFmt w:val="lowerLetter"/>
      <w:lvlText w:val="%8."/>
      <w:lvlJc w:val="left"/>
      <w:pPr>
        <w:ind w:left="5127" w:hanging="360"/>
      </w:pPr>
    </w:lvl>
    <w:lvl w:ilvl="8" w:tplc="300A001B" w:tentative="1">
      <w:start w:val="1"/>
      <w:numFmt w:val="lowerRoman"/>
      <w:lvlText w:val="%9."/>
      <w:lvlJc w:val="right"/>
      <w:pPr>
        <w:ind w:left="5847" w:hanging="180"/>
      </w:pPr>
    </w:lvl>
  </w:abstractNum>
  <w:abstractNum w:abstractNumId="11" w15:restartNumberingAfterBreak="0">
    <w:nsid w:val="0E602279"/>
    <w:multiLevelType w:val="hybridMultilevel"/>
    <w:tmpl w:val="E076A638"/>
    <w:lvl w:ilvl="0" w:tplc="06EAC272">
      <w:start w:val="1"/>
      <w:numFmt w:val="decimal"/>
      <w:lvlText w:val="%1."/>
      <w:lvlJc w:val="left"/>
      <w:pPr>
        <w:ind w:left="360" w:hanging="360"/>
      </w:pPr>
      <w:rPr>
        <w:rFonts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12" w15:restartNumberingAfterBreak="0">
    <w:nsid w:val="0F5E2B72"/>
    <w:multiLevelType w:val="hybridMultilevel"/>
    <w:tmpl w:val="C394840C"/>
    <w:lvl w:ilvl="0" w:tplc="300A0017">
      <w:start w:val="1"/>
      <w:numFmt w:val="lowerLetter"/>
      <w:lvlText w:val="%1)"/>
      <w:lvlJc w:val="left"/>
      <w:pPr>
        <w:ind w:left="927" w:hanging="360"/>
      </w:pPr>
      <w:rPr>
        <w:rFonts w:hint="default"/>
      </w:rPr>
    </w:lvl>
    <w:lvl w:ilvl="1" w:tplc="3C002DDA">
      <w:start w:val="1"/>
      <w:numFmt w:val="decimal"/>
      <w:lvlText w:val="%2."/>
      <w:lvlJc w:val="left"/>
      <w:pPr>
        <w:ind w:left="1647" w:hanging="360"/>
      </w:pPr>
      <w:rPr>
        <w:rFonts w:hint="default"/>
      </w:r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13" w15:restartNumberingAfterBreak="0">
    <w:nsid w:val="11AA52EF"/>
    <w:multiLevelType w:val="multilevel"/>
    <w:tmpl w:val="408485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14" w15:restartNumberingAfterBreak="0">
    <w:nsid w:val="11E10E33"/>
    <w:multiLevelType w:val="hybridMultilevel"/>
    <w:tmpl w:val="143CC574"/>
    <w:lvl w:ilvl="0" w:tplc="8E00106E">
      <w:start w:val="1"/>
      <w:numFmt w:val="decimal"/>
      <w:lvlText w:val="%1."/>
      <w:lvlJc w:val="left"/>
      <w:pPr>
        <w:ind w:left="1353" w:hanging="360"/>
      </w:pPr>
      <w:rPr>
        <w:rFonts w:hint="default"/>
        <w:b/>
        <w:sz w:val="22"/>
        <w:szCs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129759CE"/>
    <w:multiLevelType w:val="hybridMultilevel"/>
    <w:tmpl w:val="05A005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4D30F10"/>
    <w:multiLevelType w:val="hybridMultilevel"/>
    <w:tmpl w:val="FD9CE4E8"/>
    <w:lvl w:ilvl="0" w:tplc="9ADC7410">
      <w:start w:val="1"/>
      <w:numFmt w:val="lowerLetter"/>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17" w15:restartNumberingAfterBreak="0">
    <w:nsid w:val="1797430C"/>
    <w:multiLevelType w:val="hybridMultilevel"/>
    <w:tmpl w:val="B81EC8FA"/>
    <w:lvl w:ilvl="0" w:tplc="300A0001">
      <w:start w:val="1"/>
      <w:numFmt w:val="bullet"/>
      <w:lvlText w:val=""/>
      <w:lvlJc w:val="left"/>
      <w:pPr>
        <w:ind w:left="360" w:hanging="360"/>
      </w:pPr>
      <w:rPr>
        <w:rFonts w:ascii="Symbol" w:hAnsi="Symbol"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18" w15:restartNumberingAfterBreak="0">
    <w:nsid w:val="18B6272E"/>
    <w:multiLevelType w:val="hybridMultilevel"/>
    <w:tmpl w:val="6EECC24E"/>
    <w:lvl w:ilvl="0" w:tplc="300A0005">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9" w15:restartNumberingAfterBreak="0">
    <w:nsid w:val="1A1F6074"/>
    <w:multiLevelType w:val="hybridMultilevel"/>
    <w:tmpl w:val="31A84170"/>
    <w:lvl w:ilvl="0" w:tplc="06EAC272">
      <w:start w:val="1"/>
      <w:numFmt w:val="decimal"/>
      <w:lvlText w:val="%1."/>
      <w:lvlJc w:val="left"/>
      <w:pPr>
        <w:ind w:left="135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1A462FA8"/>
    <w:multiLevelType w:val="hybridMultilevel"/>
    <w:tmpl w:val="1486E0B0"/>
    <w:lvl w:ilvl="0" w:tplc="52028CCE">
      <w:start w:val="1"/>
      <w:numFmt w:val="bullet"/>
      <w:lvlText w:val="•"/>
      <w:lvlJc w:val="left"/>
      <w:pPr>
        <w:tabs>
          <w:tab w:val="num" w:pos="720"/>
        </w:tabs>
        <w:ind w:left="720" w:hanging="360"/>
      </w:pPr>
      <w:rPr>
        <w:rFonts w:ascii="Times New Roman" w:hAnsi="Times New Roman" w:hint="default"/>
      </w:rPr>
    </w:lvl>
    <w:lvl w:ilvl="1" w:tplc="648CD84E" w:tentative="1">
      <w:start w:val="1"/>
      <w:numFmt w:val="bullet"/>
      <w:lvlText w:val="•"/>
      <w:lvlJc w:val="left"/>
      <w:pPr>
        <w:tabs>
          <w:tab w:val="num" w:pos="1440"/>
        </w:tabs>
        <w:ind w:left="1440" w:hanging="360"/>
      </w:pPr>
      <w:rPr>
        <w:rFonts w:ascii="Times New Roman" w:hAnsi="Times New Roman" w:hint="default"/>
      </w:rPr>
    </w:lvl>
    <w:lvl w:ilvl="2" w:tplc="C4CA1A4C" w:tentative="1">
      <w:start w:val="1"/>
      <w:numFmt w:val="bullet"/>
      <w:lvlText w:val="•"/>
      <w:lvlJc w:val="left"/>
      <w:pPr>
        <w:tabs>
          <w:tab w:val="num" w:pos="2160"/>
        </w:tabs>
        <w:ind w:left="2160" w:hanging="360"/>
      </w:pPr>
      <w:rPr>
        <w:rFonts w:ascii="Times New Roman" w:hAnsi="Times New Roman" w:hint="default"/>
      </w:rPr>
    </w:lvl>
    <w:lvl w:ilvl="3" w:tplc="37841190" w:tentative="1">
      <w:start w:val="1"/>
      <w:numFmt w:val="bullet"/>
      <w:lvlText w:val="•"/>
      <w:lvlJc w:val="left"/>
      <w:pPr>
        <w:tabs>
          <w:tab w:val="num" w:pos="2880"/>
        </w:tabs>
        <w:ind w:left="2880" w:hanging="360"/>
      </w:pPr>
      <w:rPr>
        <w:rFonts w:ascii="Times New Roman" w:hAnsi="Times New Roman" w:hint="default"/>
      </w:rPr>
    </w:lvl>
    <w:lvl w:ilvl="4" w:tplc="202214C6" w:tentative="1">
      <w:start w:val="1"/>
      <w:numFmt w:val="bullet"/>
      <w:lvlText w:val="•"/>
      <w:lvlJc w:val="left"/>
      <w:pPr>
        <w:tabs>
          <w:tab w:val="num" w:pos="3600"/>
        </w:tabs>
        <w:ind w:left="3600" w:hanging="360"/>
      </w:pPr>
      <w:rPr>
        <w:rFonts w:ascii="Times New Roman" w:hAnsi="Times New Roman" w:hint="default"/>
      </w:rPr>
    </w:lvl>
    <w:lvl w:ilvl="5" w:tplc="5EA8EF4E" w:tentative="1">
      <w:start w:val="1"/>
      <w:numFmt w:val="bullet"/>
      <w:lvlText w:val="•"/>
      <w:lvlJc w:val="left"/>
      <w:pPr>
        <w:tabs>
          <w:tab w:val="num" w:pos="4320"/>
        </w:tabs>
        <w:ind w:left="4320" w:hanging="360"/>
      </w:pPr>
      <w:rPr>
        <w:rFonts w:ascii="Times New Roman" w:hAnsi="Times New Roman" w:hint="default"/>
      </w:rPr>
    </w:lvl>
    <w:lvl w:ilvl="6" w:tplc="4D24B87E" w:tentative="1">
      <w:start w:val="1"/>
      <w:numFmt w:val="bullet"/>
      <w:lvlText w:val="•"/>
      <w:lvlJc w:val="left"/>
      <w:pPr>
        <w:tabs>
          <w:tab w:val="num" w:pos="5040"/>
        </w:tabs>
        <w:ind w:left="5040" w:hanging="360"/>
      </w:pPr>
      <w:rPr>
        <w:rFonts w:ascii="Times New Roman" w:hAnsi="Times New Roman" w:hint="default"/>
      </w:rPr>
    </w:lvl>
    <w:lvl w:ilvl="7" w:tplc="6336987E" w:tentative="1">
      <w:start w:val="1"/>
      <w:numFmt w:val="bullet"/>
      <w:lvlText w:val="•"/>
      <w:lvlJc w:val="left"/>
      <w:pPr>
        <w:tabs>
          <w:tab w:val="num" w:pos="5760"/>
        </w:tabs>
        <w:ind w:left="5760" w:hanging="360"/>
      </w:pPr>
      <w:rPr>
        <w:rFonts w:ascii="Times New Roman" w:hAnsi="Times New Roman" w:hint="default"/>
      </w:rPr>
    </w:lvl>
    <w:lvl w:ilvl="8" w:tplc="9B64E66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A4A46EC"/>
    <w:multiLevelType w:val="hybridMultilevel"/>
    <w:tmpl w:val="0F42D1BE"/>
    <w:lvl w:ilvl="0" w:tplc="06EAC272">
      <w:start w:val="1"/>
      <w:numFmt w:val="decimal"/>
      <w:lvlText w:val="%1."/>
      <w:lvlJc w:val="left"/>
      <w:pPr>
        <w:ind w:left="644" w:hanging="360"/>
      </w:pPr>
      <w:rPr>
        <w:rFonts w:hint="default"/>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22" w15:restartNumberingAfterBreak="0">
    <w:nsid w:val="23C8589E"/>
    <w:multiLevelType w:val="multilevel"/>
    <w:tmpl w:val="F98651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23" w15:restartNumberingAfterBreak="0">
    <w:nsid w:val="27952681"/>
    <w:multiLevelType w:val="hybridMultilevel"/>
    <w:tmpl w:val="A888E2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287707FC"/>
    <w:multiLevelType w:val="hybridMultilevel"/>
    <w:tmpl w:val="E73431EC"/>
    <w:lvl w:ilvl="0" w:tplc="300A0001">
      <w:start w:val="1"/>
      <w:numFmt w:val="bullet"/>
      <w:lvlText w:val=""/>
      <w:lvlJc w:val="left"/>
      <w:pPr>
        <w:ind w:left="1353"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2AE969BF"/>
    <w:multiLevelType w:val="hybridMultilevel"/>
    <w:tmpl w:val="085637BE"/>
    <w:lvl w:ilvl="0" w:tplc="06EAC272">
      <w:start w:val="1"/>
      <w:numFmt w:val="decimal"/>
      <w:lvlText w:val="%1."/>
      <w:lvlJc w:val="left"/>
      <w:pPr>
        <w:ind w:left="644" w:hanging="360"/>
      </w:pPr>
      <w:rPr>
        <w:rFonts w:hint="default"/>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26" w15:restartNumberingAfterBreak="0">
    <w:nsid w:val="2BA2206F"/>
    <w:multiLevelType w:val="hybridMultilevel"/>
    <w:tmpl w:val="BB7C34F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2BE93977"/>
    <w:multiLevelType w:val="hybridMultilevel"/>
    <w:tmpl w:val="E076A638"/>
    <w:lvl w:ilvl="0" w:tplc="06EAC272">
      <w:start w:val="1"/>
      <w:numFmt w:val="decimal"/>
      <w:lvlText w:val="%1."/>
      <w:lvlJc w:val="left"/>
      <w:pPr>
        <w:ind w:left="360" w:hanging="360"/>
      </w:pPr>
      <w:rPr>
        <w:rFonts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28" w15:restartNumberingAfterBreak="0">
    <w:nsid w:val="2E3A35BB"/>
    <w:multiLevelType w:val="hybridMultilevel"/>
    <w:tmpl w:val="7CEE33EC"/>
    <w:lvl w:ilvl="0" w:tplc="300A000F">
      <w:start w:val="1"/>
      <w:numFmt w:val="decimal"/>
      <w:lvlText w:val="%1."/>
      <w:lvlJc w:val="left"/>
      <w:pPr>
        <w:ind w:left="1068" w:hanging="360"/>
      </w:pPr>
      <w:rPr>
        <w:rFonts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9" w15:restartNumberingAfterBreak="0">
    <w:nsid w:val="2E523E57"/>
    <w:multiLevelType w:val="hybridMultilevel"/>
    <w:tmpl w:val="C7FC9956"/>
    <w:lvl w:ilvl="0" w:tplc="3C701D1A">
      <w:start w:val="1"/>
      <w:numFmt w:val="lowerLetter"/>
      <w:lvlText w:val="%1)"/>
      <w:lvlJc w:val="left"/>
      <w:pPr>
        <w:ind w:left="927" w:hanging="360"/>
      </w:pPr>
      <w:rPr>
        <w:rFonts w:eastAsia="Times New Roman" w:cstheme="minorHAnsi" w:hint="default"/>
        <w:color w:val="000000"/>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30" w15:restartNumberingAfterBreak="0">
    <w:nsid w:val="2EAB05E4"/>
    <w:multiLevelType w:val="multilevel"/>
    <w:tmpl w:val="A9E8AA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31" w15:restartNumberingAfterBreak="0">
    <w:nsid w:val="2F297B4D"/>
    <w:multiLevelType w:val="hybridMultilevel"/>
    <w:tmpl w:val="E076A638"/>
    <w:lvl w:ilvl="0" w:tplc="06EAC272">
      <w:start w:val="1"/>
      <w:numFmt w:val="decimal"/>
      <w:lvlText w:val="%1."/>
      <w:lvlJc w:val="left"/>
      <w:pPr>
        <w:ind w:left="360" w:hanging="360"/>
      </w:pPr>
      <w:rPr>
        <w:rFonts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32" w15:restartNumberingAfterBreak="0">
    <w:nsid w:val="310D0B75"/>
    <w:multiLevelType w:val="hybridMultilevel"/>
    <w:tmpl w:val="8784758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33AF6F58"/>
    <w:multiLevelType w:val="hybridMultilevel"/>
    <w:tmpl w:val="E076A638"/>
    <w:lvl w:ilvl="0" w:tplc="06EAC272">
      <w:start w:val="1"/>
      <w:numFmt w:val="decimal"/>
      <w:lvlText w:val="%1."/>
      <w:lvlJc w:val="left"/>
      <w:pPr>
        <w:ind w:left="360" w:hanging="360"/>
      </w:pPr>
      <w:rPr>
        <w:rFonts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34" w15:restartNumberingAfterBreak="0">
    <w:nsid w:val="33B15709"/>
    <w:multiLevelType w:val="hybridMultilevel"/>
    <w:tmpl w:val="B8307F9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350E2590"/>
    <w:multiLevelType w:val="hybridMultilevel"/>
    <w:tmpl w:val="990CD7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379938E3"/>
    <w:multiLevelType w:val="hybridMultilevel"/>
    <w:tmpl w:val="E076A638"/>
    <w:lvl w:ilvl="0" w:tplc="06EAC272">
      <w:start w:val="1"/>
      <w:numFmt w:val="decimal"/>
      <w:lvlText w:val="%1."/>
      <w:lvlJc w:val="left"/>
      <w:pPr>
        <w:ind w:left="720" w:hanging="360"/>
      </w:pPr>
      <w:rPr>
        <w:rFonts w:hint="default"/>
      </w:rPr>
    </w:lvl>
    <w:lvl w:ilvl="1" w:tplc="300A0019">
      <w:start w:val="1"/>
      <w:numFmt w:val="lowerLetter"/>
      <w:lvlText w:val="%2."/>
      <w:lvlJc w:val="left"/>
      <w:pPr>
        <w:ind w:left="807" w:hanging="360"/>
      </w:pPr>
    </w:lvl>
    <w:lvl w:ilvl="2" w:tplc="300A001B" w:tentative="1">
      <w:start w:val="1"/>
      <w:numFmt w:val="lowerRoman"/>
      <w:lvlText w:val="%3."/>
      <w:lvlJc w:val="right"/>
      <w:pPr>
        <w:ind w:left="1527" w:hanging="180"/>
      </w:pPr>
    </w:lvl>
    <w:lvl w:ilvl="3" w:tplc="300A000F" w:tentative="1">
      <w:start w:val="1"/>
      <w:numFmt w:val="decimal"/>
      <w:lvlText w:val="%4."/>
      <w:lvlJc w:val="left"/>
      <w:pPr>
        <w:ind w:left="2247" w:hanging="360"/>
      </w:pPr>
    </w:lvl>
    <w:lvl w:ilvl="4" w:tplc="300A0019" w:tentative="1">
      <w:start w:val="1"/>
      <w:numFmt w:val="lowerLetter"/>
      <w:lvlText w:val="%5."/>
      <w:lvlJc w:val="left"/>
      <w:pPr>
        <w:ind w:left="2967" w:hanging="360"/>
      </w:pPr>
    </w:lvl>
    <w:lvl w:ilvl="5" w:tplc="300A001B" w:tentative="1">
      <w:start w:val="1"/>
      <w:numFmt w:val="lowerRoman"/>
      <w:lvlText w:val="%6."/>
      <w:lvlJc w:val="right"/>
      <w:pPr>
        <w:ind w:left="3687" w:hanging="180"/>
      </w:pPr>
    </w:lvl>
    <w:lvl w:ilvl="6" w:tplc="300A000F" w:tentative="1">
      <w:start w:val="1"/>
      <w:numFmt w:val="decimal"/>
      <w:lvlText w:val="%7."/>
      <w:lvlJc w:val="left"/>
      <w:pPr>
        <w:ind w:left="4407" w:hanging="360"/>
      </w:pPr>
    </w:lvl>
    <w:lvl w:ilvl="7" w:tplc="300A0019" w:tentative="1">
      <w:start w:val="1"/>
      <w:numFmt w:val="lowerLetter"/>
      <w:lvlText w:val="%8."/>
      <w:lvlJc w:val="left"/>
      <w:pPr>
        <w:ind w:left="5127" w:hanging="360"/>
      </w:pPr>
    </w:lvl>
    <w:lvl w:ilvl="8" w:tplc="300A001B" w:tentative="1">
      <w:start w:val="1"/>
      <w:numFmt w:val="lowerRoman"/>
      <w:lvlText w:val="%9."/>
      <w:lvlJc w:val="right"/>
      <w:pPr>
        <w:ind w:left="5847" w:hanging="180"/>
      </w:pPr>
    </w:lvl>
  </w:abstractNum>
  <w:abstractNum w:abstractNumId="37" w15:restartNumberingAfterBreak="0">
    <w:nsid w:val="389311E9"/>
    <w:multiLevelType w:val="hybridMultilevel"/>
    <w:tmpl w:val="7CEE33EC"/>
    <w:lvl w:ilvl="0" w:tplc="300A000F">
      <w:start w:val="1"/>
      <w:numFmt w:val="decimal"/>
      <w:lvlText w:val="%1."/>
      <w:lvlJc w:val="left"/>
      <w:pPr>
        <w:ind w:left="1068" w:hanging="360"/>
      </w:pPr>
      <w:rPr>
        <w:rFonts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8" w15:restartNumberingAfterBreak="0">
    <w:nsid w:val="3CE735F4"/>
    <w:multiLevelType w:val="hybridMultilevel"/>
    <w:tmpl w:val="F17A64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3DF06D48"/>
    <w:multiLevelType w:val="hybridMultilevel"/>
    <w:tmpl w:val="7CEE33EC"/>
    <w:lvl w:ilvl="0" w:tplc="300A000F">
      <w:start w:val="1"/>
      <w:numFmt w:val="decimal"/>
      <w:lvlText w:val="%1."/>
      <w:lvlJc w:val="left"/>
      <w:pPr>
        <w:ind w:left="1068" w:hanging="360"/>
      </w:pPr>
      <w:rPr>
        <w:rFonts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0" w15:restartNumberingAfterBreak="0">
    <w:nsid w:val="3EAE4B96"/>
    <w:multiLevelType w:val="multilevel"/>
    <w:tmpl w:val="297E520E"/>
    <w:lvl w:ilvl="0">
      <w:start w:val="1"/>
      <w:numFmt w:val="decimal"/>
      <w:lvlText w:val="%1."/>
      <w:lvlJc w:val="left"/>
      <w:pPr>
        <w:ind w:left="360" w:hanging="360"/>
      </w:pPr>
      <w:rPr>
        <w:rFonts w:hint="default"/>
      </w:rPr>
    </w:lvl>
    <w:lvl w:ilvl="1">
      <w:start w:val="1"/>
      <w:numFmt w:val="decimal"/>
      <w:lvlText w:val="%1.%2."/>
      <w:lvlJc w:val="left"/>
      <w:pPr>
        <w:ind w:left="643"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3EB44381"/>
    <w:multiLevelType w:val="hybridMultilevel"/>
    <w:tmpl w:val="31A84170"/>
    <w:lvl w:ilvl="0" w:tplc="06EAC272">
      <w:start w:val="1"/>
      <w:numFmt w:val="decimal"/>
      <w:lvlText w:val="%1."/>
      <w:lvlJc w:val="left"/>
      <w:pPr>
        <w:ind w:left="135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401950B0"/>
    <w:multiLevelType w:val="hybridMultilevel"/>
    <w:tmpl w:val="BE901874"/>
    <w:lvl w:ilvl="0" w:tplc="C70C939E">
      <w:start w:val="1"/>
      <w:numFmt w:val="decimal"/>
      <w:lvlText w:val="%1."/>
      <w:lvlJc w:val="left"/>
      <w:pPr>
        <w:ind w:left="600" w:hanging="360"/>
      </w:pPr>
      <w:rPr>
        <w:rFonts w:hint="default"/>
      </w:rPr>
    </w:lvl>
    <w:lvl w:ilvl="1" w:tplc="300A0019" w:tentative="1">
      <w:start w:val="1"/>
      <w:numFmt w:val="lowerLetter"/>
      <w:lvlText w:val="%2."/>
      <w:lvlJc w:val="left"/>
      <w:pPr>
        <w:ind w:left="1320" w:hanging="360"/>
      </w:pPr>
    </w:lvl>
    <w:lvl w:ilvl="2" w:tplc="300A001B" w:tentative="1">
      <w:start w:val="1"/>
      <w:numFmt w:val="lowerRoman"/>
      <w:lvlText w:val="%3."/>
      <w:lvlJc w:val="right"/>
      <w:pPr>
        <w:ind w:left="2040" w:hanging="180"/>
      </w:pPr>
    </w:lvl>
    <w:lvl w:ilvl="3" w:tplc="300A000F" w:tentative="1">
      <w:start w:val="1"/>
      <w:numFmt w:val="decimal"/>
      <w:lvlText w:val="%4."/>
      <w:lvlJc w:val="left"/>
      <w:pPr>
        <w:ind w:left="2760" w:hanging="360"/>
      </w:pPr>
    </w:lvl>
    <w:lvl w:ilvl="4" w:tplc="300A0019" w:tentative="1">
      <w:start w:val="1"/>
      <w:numFmt w:val="lowerLetter"/>
      <w:lvlText w:val="%5."/>
      <w:lvlJc w:val="left"/>
      <w:pPr>
        <w:ind w:left="3480" w:hanging="360"/>
      </w:pPr>
    </w:lvl>
    <w:lvl w:ilvl="5" w:tplc="300A001B" w:tentative="1">
      <w:start w:val="1"/>
      <w:numFmt w:val="lowerRoman"/>
      <w:lvlText w:val="%6."/>
      <w:lvlJc w:val="right"/>
      <w:pPr>
        <w:ind w:left="4200" w:hanging="180"/>
      </w:pPr>
    </w:lvl>
    <w:lvl w:ilvl="6" w:tplc="300A000F" w:tentative="1">
      <w:start w:val="1"/>
      <w:numFmt w:val="decimal"/>
      <w:lvlText w:val="%7."/>
      <w:lvlJc w:val="left"/>
      <w:pPr>
        <w:ind w:left="4920" w:hanging="360"/>
      </w:pPr>
    </w:lvl>
    <w:lvl w:ilvl="7" w:tplc="300A0019" w:tentative="1">
      <w:start w:val="1"/>
      <w:numFmt w:val="lowerLetter"/>
      <w:lvlText w:val="%8."/>
      <w:lvlJc w:val="left"/>
      <w:pPr>
        <w:ind w:left="5640" w:hanging="360"/>
      </w:pPr>
    </w:lvl>
    <w:lvl w:ilvl="8" w:tplc="300A001B" w:tentative="1">
      <w:start w:val="1"/>
      <w:numFmt w:val="lowerRoman"/>
      <w:lvlText w:val="%9."/>
      <w:lvlJc w:val="right"/>
      <w:pPr>
        <w:ind w:left="6360" w:hanging="180"/>
      </w:pPr>
    </w:lvl>
  </w:abstractNum>
  <w:abstractNum w:abstractNumId="43" w15:restartNumberingAfterBreak="0">
    <w:nsid w:val="424D4588"/>
    <w:multiLevelType w:val="hybridMultilevel"/>
    <w:tmpl w:val="E076A638"/>
    <w:lvl w:ilvl="0" w:tplc="06EAC272">
      <w:start w:val="1"/>
      <w:numFmt w:val="decimal"/>
      <w:lvlText w:val="%1."/>
      <w:lvlJc w:val="left"/>
      <w:pPr>
        <w:ind w:left="135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43F832D0"/>
    <w:multiLevelType w:val="hybridMultilevel"/>
    <w:tmpl w:val="31A84170"/>
    <w:lvl w:ilvl="0" w:tplc="06EAC272">
      <w:start w:val="1"/>
      <w:numFmt w:val="decimal"/>
      <w:lvlText w:val="%1."/>
      <w:lvlJc w:val="left"/>
      <w:pPr>
        <w:ind w:left="135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45E80A55"/>
    <w:multiLevelType w:val="hybridMultilevel"/>
    <w:tmpl w:val="3BF0BA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46945840"/>
    <w:multiLevelType w:val="hybridMultilevel"/>
    <w:tmpl w:val="AFE8019A"/>
    <w:lvl w:ilvl="0" w:tplc="04090003">
      <w:start w:val="1"/>
      <w:numFmt w:val="bullet"/>
      <w:lvlText w:val="o"/>
      <w:lvlJc w:val="left"/>
      <w:pPr>
        <w:ind w:left="764" w:hanging="360"/>
      </w:pPr>
      <w:rPr>
        <w:rFonts w:ascii="Courier New" w:hAnsi="Courier New" w:cs="Courier New"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47" w15:restartNumberingAfterBreak="0">
    <w:nsid w:val="46EE683D"/>
    <w:multiLevelType w:val="hybridMultilevel"/>
    <w:tmpl w:val="710A0464"/>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B2C244BA">
      <w:start w:val="1"/>
      <w:numFmt w:val="decimal"/>
      <w:lvlText w:val="%4."/>
      <w:lvlJc w:val="left"/>
      <w:pPr>
        <w:ind w:left="2880" w:hanging="360"/>
      </w:pPr>
      <w:rPr>
        <w:rFonts w:asciiTheme="minorHAnsi" w:eastAsiaTheme="minorHAnsi" w:hAnsiTheme="minorHAnsi" w:cstheme="minorHAnsi"/>
      </w:r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15:restartNumberingAfterBreak="0">
    <w:nsid w:val="485E0E9F"/>
    <w:multiLevelType w:val="hybridMultilevel"/>
    <w:tmpl w:val="38626BA8"/>
    <w:lvl w:ilvl="0" w:tplc="CBEEFED2">
      <w:start w:val="1"/>
      <w:numFmt w:val="decimal"/>
      <w:lvlText w:val="%1."/>
      <w:lvlJc w:val="left"/>
      <w:pPr>
        <w:ind w:left="60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4A2B1365"/>
    <w:multiLevelType w:val="hybridMultilevel"/>
    <w:tmpl w:val="7976362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0" w15:restartNumberingAfterBreak="0">
    <w:nsid w:val="4C441343"/>
    <w:multiLevelType w:val="hybridMultilevel"/>
    <w:tmpl w:val="59A8D6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4C645C99"/>
    <w:multiLevelType w:val="hybridMultilevel"/>
    <w:tmpl w:val="68B8E0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4D295C0C"/>
    <w:multiLevelType w:val="hybridMultilevel"/>
    <w:tmpl w:val="7F3A3EA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807" w:hanging="360"/>
      </w:pPr>
    </w:lvl>
    <w:lvl w:ilvl="2" w:tplc="300A001B" w:tentative="1">
      <w:start w:val="1"/>
      <w:numFmt w:val="lowerRoman"/>
      <w:lvlText w:val="%3."/>
      <w:lvlJc w:val="right"/>
      <w:pPr>
        <w:ind w:left="1527" w:hanging="180"/>
      </w:pPr>
    </w:lvl>
    <w:lvl w:ilvl="3" w:tplc="300A000F" w:tentative="1">
      <w:start w:val="1"/>
      <w:numFmt w:val="decimal"/>
      <w:lvlText w:val="%4."/>
      <w:lvlJc w:val="left"/>
      <w:pPr>
        <w:ind w:left="2247" w:hanging="360"/>
      </w:pPr>
    </w:lvl>
    <w:lvl w:ilvl="4" w:tplc="300A0019" w:tentative="1">
      <w:start w:val="1"/>
      <w:numFmt w:val="lowerLetter"/>
      <w:lvlText w:val="%5."/>
      <w:lvlJc w:val="left"/>
      <w:pPr>
        <w:ind w:left="2967" w:hanging="360"/>
      </w:pPr>
    </w:lvl>
    <w:lvl w:ilvl="5" w:tplc="300A001B" w:tentative="1">
      <w:start w:val="1"/>
      <w:numFmt w:val="lowerRoman"/>
      <w:lvlText w:val="%6."/>
      <w:lvlJc w:val="right"/>
      <w:pPr>
        <w:ind w:left="3687" w:hanging="180"/>
      </w:pPr>
    </w:lvl>
    <w:lvl w:ilvl="6" w:tplc="300A000F" w:tentative="1">
      <w:start w:val="1"/>
      <w:numFmt w:val="decimal"/>
      <w:lvlText w:val="%7."/>
      <w:lvlJc w:val="left"/>
      <w:pPr>
        <w:ind w:left="4407" w:hanging="360"/>
      </w:pPr>
    </w:lvl>
    <w:lvl w:ilvl="7" w:tplc="300A0019" w:tentative="1">
      <w:start w:val="1"/>
      <w:numFmt w:val="lowerLetter"/>
      <w:lvlText w:val="%8."/>
      <w:lvlJc w:val="left"/>
      <w:pPr>
        <w:ind w:left="5127" w:hanging="360"/>
      </w:pPr>
    </w:lvl>
    <w:lvl w:ilvl="8" w:tplc="300A001B" w:tentative="1">
      <w:start w:val="1"/>
      <w:numFmt w:val="lowerRoman"/>
      <w:lvlText w:val="%9."/>
      <w:lvlJc w:val="right"/>
      <w:pPr>
        <w:ind w:left="5847" w:hanging="180"/>
      </w:pPr>
    </w:lvl>
  </w:abstractNum>
  <w:abstractNum w:abstractNumId="53" w15:restartNumberingAfterBreak="0">
    <w:nsid w:val="4E623AEA"/>
    <w:multiLevelType w:val="hybridMultilevel"/>
    <w:tmpl w:val="C394840C"/>
    <w:lvl w:ilvl="0" w:tplc="FFFFFFFF">
      <w:start w:val="1"/>
      <w:numFmt w:val="lowerLetter"/>
      <w:lvlText w:val="%1)"/>
      <w:lvlJc w:val="left"/>
      <w:pPr>
        <w:ind w:left="927" w:hanging="360"/>
      </w:pPr>
      <w:rPr>
        <w:rFonts w:hint="default"/>
      </w:rPr>
    </w:lvl>
    <w:lvl w:ilvl="1" w:tplc="FFFFFFFF">
      <w:start w:val="1"/>
      <w:numFmt w:val="decimal"/>
      <w:lvlText w:val="%2."/>
      <w:lvlJc w:val="left"/>
      <w:pPr>
        <w:ind w:left="1647" w:hanging="360"/>
      </w:pPr>
      <w:rPr>
        <w:rFonts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4" w15:restartNumberingAfterBreak="0">
    <w:nsid w:val="4F471BC1"/>
    <w:multiLevelType w:val="hybridMultilevel"/>
    <w:tmpl w:val="6180CF50"/>
    <w:lvl w:ilvl="0" w:tplc="0C1621B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15:restartNumberingAfterBreak="0">
    <w:nsid w:val="50396427"/>
    <w:multiLevelType w:val="hybridMultilevel"/>
    <w:tmpl w:val="E076A638"/>
    <w:lvl w:ilvl="0" w:tplc="06EAC272">
      <w:start w:val="1"/>
      <w:numFmt w:val="decimal"/>
      <w:lvlText w:val="%1."/>
      <w:lvlJc w:val="left"/>
      <w:pPr>
        <w:ind w:left="360" w:hanging="360"/>
      </w:pPr>
      <w:rPr>
        <w:rFonts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56" w15:restartNumberingAfterBreak="0">
    <w:nsid w:val="518C350D"/>
    <w:multiLevelType w:val="hybridMultilevel"/>
    <w:tmpl w:val="BE901874"/>
    <w:lvl w:ilvl="0" w:tplc="C70C939E">
      <w:start w:val="1"/>
      <w:numFmt w:val="decimal"/>
      <w:lvlText w:val="%1."/>
      <w:lvlJc w:val="left"/>
      <w:pPr>
        <w:ind w:left="600" w:hanging="360"/>
      </w:pPr>
      <w:rPr>
        <w:rFonts w:hint="default"/>
      </w:rPr>
    </w:lvl>
    <w:lvl w:ilvl="1" w:tplc="300A0019" w:tentative="1">
      <w:start w:val="1"/>
      <w:numFmt w:val="lowerLetter"/>
      <w:lvlText w:val="%2."/>
      <w:lvlJc w:val="left"/>
      <w:pPr>
        <w:ind w:left="1320" w:hanging="360"/>
      </w:pPr>
    </w:lvl>
    <w:lvl w:ilvl="2" w:tplc="300A001B" w:tentative="1">
      <w:start w:val="1"/>
      <w:numFmt w:val="lowerRoman"/>
      <w:lvlText w:val="%3."/>
      <w:lvlJc w:val="right"/>
      <w:pPr>
        <w:ind w:left="2040" w:hanging="180"/>
      </w:pPr>
    </w:lvl>
    <w:lvl w:ilvl="3" w:tplc="300A000F" w:tentative="1">
      <w:start w:val="1"/>
      <w:numFmt w:val="decimal"/>
      <w:lvlText w:val="%4."/>
      <w:lvlJc w:val="left"/>
      <w:pPr>
        <w:ind w:left="2760" w:hanging="360"/>
      </w:pPr>
    </w:lvl>
    <w:lvl w:ilvl="4" w:tplc="300A0019" w:tentative="1">
      <w:start w:val="1"/>
      <w:numFmt w:val="lowerLetter"/>
      <w:lvlText w:val="%5."/>
      <w:lvlJc w:val="left"/>
      <w:pPr>
        <w:ind w:left="3480" w:hanging="360"/>
      </w:pPr>
    </w:lvl>
    <w:lvl w:ilvl="5" w:tplc="300A001B" w:tentative="1">
      <w:start w:val="1"/>
      <w:numFmt w:val="lowerRoman"/>
      <w:lvlText w:val="%6."/>
      <w:lvlJc w:val="right"/>
      <w:pPr>
        <w:ind w:left="4200" w:hanging="180"/>
      </w:pPr>
    </w:lvl>
    <w:lvl w:ilvl="6" w:tplc="300A000F" w:tentative="1">
      <w:start w:val="1"/>
      <w:numFmt w:val="decimal"/>
      <w:lvlText w:val="%7."/>
      <w:lvlJc w:val="left"/>
      <w:pPr>
        <w:ind w:left="4920" w:hanging="360"/>
      </w:pPr>
    </w:lvl>
    <w:lvl w:ilvl="7" w:tplc="300A0019" w:tentative="1">
      <w:start w:val="1"/>
      <w:numFmt w:val="lowerLetter"/>
      <w:lvlText w:val="%8."/>
      <w:lvlJc w:val="left"/>
      <w:pPr>
        <w:ind w:left="5640" w:hanging="360"/>
      </w:pPr>
    </w:lvl>
    <w:lvl w:ilvl="8" w:tplc="300A001B" w:tentative="1">
      <w:start w:val="1"/>
      <w:numFmt w:val="lowerRoman"/>
      <w:lvlText w:val="%9."/>
      <w:lvlJc w:val="right"/>
      <w:pPr>
        <w:ind w:left="6360" w:hanging="180"/>
      </w:pPr>
    </w:lvl>
  </w:abstractNum>
  <w:abstractNum w:abstractNumId="57" w15:restartNumberingAfterBreak="0">
    <w:nsid w:val="52467D0F"/>
    <w:multiLevelType w:val="hybridMultilevel"/>
    <w:tmpl w:val="39781932"/>
    <w:lvl w:ilvl="0" w:tplc="EC226F2A">
      <w:start w:val="1"/>
      <w:numFmt w:val="decimal"/>
      <w:lvlText w:val="%1."/>
      <w:lvlJc w:val="left"/>
      <w:pPr>
        <w:ind w:left="720" w:hanging="360"/>
      </w:pPr>
      <w:rPr>
        <w:rFonts w:ascii="Calibri" w:eastAsia="Times New Roman" w:hAnsi="Calibri" w:cs="Calibr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8" w15:restartNumberingAfterBreak="0">
    <w:nsid w:val="538F537B"/>
    <w:multiLevelType w:val="hybridMultilevel"/>
    <w:tmpl w:val="31A84170"/>
    <w:lvl w:ilvl="0" w:tplc="06EAC272">
      <w:start w:val="1"/>
      <w:numFmt w:val="decimal"/>
      <w:lvlText w:val="%1."/>
      <w:lvlJc w:val="left"/>
      <w:pPr>
        <w:ind w:left="360" w:hanging="360"/>
      </w:pPr>
      <w:rPr>
        <w:rFonts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59" w15:restartNumberingAfterBreak="0">
    <w:nsid w:val="54A16449"/>
    <w:multiLevelType w:val="hybridMultilevel"/>
    <w:tmpl w:val="E076A638"/>
    <w:lvl w:ilvl="0" w:tplc="06EAC272">
      <w:start w:val="1"/>
      <w:numFmt w:val="decimal"/>
      <w:lvlText w:val="%1."/>
      <w:lvlJc w:val="left"/>
      <w:pPr>
        <w:ind w:left="360" w:hanging="360"/>
      </w:pPr>
      <w:rPr>
        <w:rFonts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60" w15:restartNumberingAfterBreak="0">
    <w:nsid w:val="587B264F"/>
    <w:multiLevelType w:val="hybridMultilevel"/>
    <w:tmpl w:val="7BA83CCA"/>
    <w:lvl w:ilvl="0" w:tplc="80FE14D4">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1" w15:restartNumberingAfterBreak="0">
    <w:nsid w:val="59124635"/>
    <w:multiLevelType w:val="hybridMultilevel"/>
    <w:tmpl w:val="273CB32E"/>
    <w:lvl w:ilvl="0" w:tplc="300A000F">
      <w:start w:val="1"/>
      <w:numFmt w:val="decimal"/>
      <w:lvlText w:val="%1."/>
      <w:lvlJc w:val="left"/>
      <w:pPr>
        <w:ind w:left="1287" w:hanging="360"/>
      </w:pPr>
    </w:lvl>
    <w:lvl w:ilvl="1" w:tplc="300A0019" w:tentative="1">
      <w:start w:val="1"/>
      <w:numFmt w:val="lowerLetter"/>
      <w:lvlText w:val="%2."/>
      <w:lvlJc w:val="left"/>
      <w:pPr>
        <w:ind w:left="2007" w:hanging="360"/>
      </w:pPr>
    </w:lvl>
    <w:lvl w:ilvl="2" w:tplc="300A001B" w:tentative="1">
      <w:start w:val="1"/>
      <w:numFmt w:val="lowerRoman"/>
      <w:lvlText w:val="%3."/>
      <w:lvlJc w:val="right"/>
      <w:pPr>
        <w:ind w:left="2727" w:hanging="180"/>
      </w:pPr>
    </w:lvl>
    <w:lvl w:ilvl="3" w:tplc="300A000F" w:tentative="1">
      <w:start w:val="1"/>
      <w:numFmt w:val="decimal"/>
      <w:lvlText w:val="%4."/>
      <w:lvlJc w:val="left"/>
      <w:pPr>
        <w:ind w:left="3447" w:hanging="360"/>
      </w:pPr>
    </w:lvl>
    <w:lvl w:ilvl="4" w:tplc="300A0019" w:tentative="1">
      <w:start w:val="1"/>
      <w:numFmt w:val="lowerLetter"/>
      <w:lvlText w:val="%5."/>
      <w:lvlJc w:val="left"/>
      <w:pPr>
        <w:ind w:left="4167" w:hanging="360"/>
      </w:pPr>
    </w:lvl>
    <w:lvl w:ilvl="5" w:tplc="300A001B" w:tentative="1">
      <w:start w:val="1"/>
      <w:numFmt w:val="lowerRoman"/>
      <w:lvlText w:val="%6."/>
      <w:lvlJc w:val="right"/>
      <w:pPr>
        <w:ind w:left="4887" w:hanging="180"/>
      </w:pPr>
    </w:lvl>
    <w:lvl w:ilvl="6" w:tplc="300A000F" w:tentative="1">
      <w:start w:val="1"/>
      <w:numFmt w:val="decimal"/>
      <w:lvlText w:val="%7."/>
      <w:lvlJc w:val="left"/>
      <w:pPr>
        <w:ind w:left="5607" w:hanging="360"/>
      </w:pPr>
    </w:lvl>
    <w:lvl w:ilvl="7" w:tplc="300A0019" w:tentative="1">
      <w:start w:val="1"/>
      <w:numFmt w:val="lowerLetter"/>
      <w:lvlText w:val="%8."/>
      <w:lvlJc w:val="left"/>
      <w:pPr>
        <w:ind w:left="6327" w:hanging="360"/>
      </w:pPr>
    </w:lvl>
    <w:lvl w:ilvl="8" w:tplc="300A001B" w:tentative="1">
      <w:start w:val="1"/>
      <w:numFmt w:val="lowerRoman"/>
      <w:lvlText w:val="%9."/>
      <w:lvlJc w:val="right"/>
      <w:pPr>
        <w:ind w:left="7047" w:hanging="180"/>
      </w:pPr>
    </w:lvl>
  </w:abstractNum>
  <w:abstractNum w:abstractNumId="62" w15:restartNumberingAfterBreak="0">
    <w:nsid w:val="5AAE21A3"/>
    <w:multiLevelType w:val="multilevel"/>
    <w:tmpl w:val="A466875E"/>
    <w:lvl w:ilvl="0">
      <w:start w:val="1"/>
      <w:numFmt w:val="decimal"/>
      <w:lvlText w:val="%1."/>
      <w:lvlJc w:val="left"/>
      <w:pPr>
        <w:ind w:left="360" w:hanging="360"/>
      </w:pPr>
      <w:rPr>
        <w:rFonts w:hint="default"/>
      </w:rPr>
    </w:lvl>
    <w:lvl w:ilvl="1">
      <w:start w:val="1"/>
      <w:numFmt w:val="decimal"/>
      <w:isLgl/>
      <w:lvlText w:val="%1.%2."/>
      <w:lvlJc w:val="left"/>
      <w:pPr>
        <w:ind w:left="-491"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5B4A6DC5"/>
    <w:multiLevelType w:val="hybridMultilevel"/>
    <w:tmpl w:val="5694014E"/>
    <w:lvl w:ilvl="0" w:tplc="9AC2A110">
      <w:start w:val="1"/>
      <w:numFmt w:val="decimal"/>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64" w15:restartNumberingAfterBreak="0">
    <w:nsid w:val="5B8075E3"/>
    <w:multiLevelType w:val="hybridMultilevel"/>
    <w:tmpl w:val="29ECB272"/>
    <w:lvl w:ilvl="0" w:tplc="300A0001">
      <w:start w:val="1"/>
      <w:numFmt w:val="bullet"/>
      <w:lvlText w:val=""/>
      <w:lvlJc w:val="left"/>
      <w:pPr>
        <w:ind w:left="786" w:hanging="360"/>
      </w:pPr>
      <w:rPr>
        <w:rFonts w:ascii="Symbol" w:hAnsi="Symbol" w:hint="default"/>
      </w:rPr>
    </w:lvl>
    <w:lvl w:ilvl="1" w:tplc="46B600FE">
      <w:numFmt w:val="bullet"/>
      <w:lvlText w:val="-"/>
      <w:lvlJc w:val="left"/>
      <w:pPr>
        <w:ind w:left="1506" w:hanging="360"/>
      </w:pPr>
      <w:rPr>
        <w:rFonts w:ascii="Calibri" w:eastAsiaTheme="minorHAnsi" w:hAnsi="Calibri" w:cstheme="minorHAnsi"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65" w15:restartNumberingAfterBreak="0">
    <w:nsid w:val="5BBD3E44"/>
    <w:multiLevelType w:val="hybridMultilevel"/>
    <w:tmpl w:val="E076A638"/>
    <w:lvl w:ilvl="0" w:tplc="06EAC272">
      <w:start w:val="1"/>
      <w:numFmt w:val="decimal"/>
      <w:lvlText w:val="%1."/>
      <w:lvlJc w:val="left"/>
      <w:pPr>
        <w:ind w:left="135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6" w15:restartNumberingAfterBreak="0">
    <w:nsid w:val="5C14427F"/>
    <w:multiLevelType w:val="hybridMultilevel"/>
    <w:tmpl w:val="853CBE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5CBC5298"/>
    <w:multiLevelType w:val="multilevel"/>
    <w:tmpl w:val="3EF2201E"/>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8" w15:restartNumberingAfterBreak="0">
    <w:nsid w:val="5D247340"/>
    <w:multiLevelType w:val="hybridMultilevel"/>
    <w:tmpl w:val="54247CC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15:restartNumberingAfterBreak="0">
    <w:nsid w:val="5E36071A"/>
    <w:multiLevelType w:val="hybridMultilevel"/>
    <w:tmpl w:val="8AB00B04"/>
    <w:lvl w:ilvl="0" w:tplc="300A000F">
      <w:start w:val="1"/>
      <w:numFmt w:val="decimal"/>
      <w:lvlText w:val="%1."/>
      <w:lvlJc w:val="left"/>
      <w:pPr>
        <w:ind w:left="360" w:hanging="360"/>
      </w:pPr>
    </w:lvl>
    <w:lvl w:ilvl="1" w:tplc="FB102FD2">
      <w:start w:val="1"/>
      <w:numFmt w:val="lowerRoman"/>
      <w:lvlText w:val="%2."/>
      <w:lvlJc w:val="left"/>
      <w:pPr>
        <w:ind w:left="1440" w:hanging="720"/>
      </w:pPr>
      <w:rPr>
        <w:rFonts w:hint="default"/>
      </w:r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0" w15:restartNumberingAfterBreak="0">
    <w:nsid w:val="60F31C88"/>
    <w:multiLevelType w:val="hybridMultilevel"/>
    <w:tmpl w:val="E076A638"/>
    <w:lvl w:ilvl="0" w:tplc="06EAC272">
      <w:start w:val="1"/>
      <w:numFmt w:val="decimal"/>
      <w:lvlText w:val="%1."/>
      <w:lvlJc w:val="left"/>
      <w:pPr>
        <w:ind w:left="360" w:hanging="360"/>
      </w:pPr>
      <w:rPr>
        <w:rFonts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71" w15:restartNumberingAfterBreak="0">
    <w:nsid w:val="61136CF4"/>
    <w:multiLevelType w:val="hybridMultilevel"/>
    <w:tmpl w:val="E076A638"/>
    <w:lvl w:ilvl="0" w:tplc="06EAC272">
      <w:start w:val="1"/>
      <w:numFmt w:val="decimal"/>
      <w:lvlText w:val="%1."/>
      <w:lvlJc w:val="left"/>
      <w:pPr>
        <w:ind w:left="360" w:hanging="360"/>
      </w:pPr>
      <w:rPr>
        <w:rFonts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72" w15:restartNumberingAfterBreak="0">
    <w:nsid w:val="63991E4E"/>
    <w:multiLevelType w:val="hybridMultilevel"/>
    <w:tmpl w:val="7CEE33EC"/>
    <w:lvl w:ilvl="0" w:tplc="300A000F">
      <w:start w:val="1"/>
      <w:numFmt w:val="decimal"/>
      <w:lvlText w:val="%1."/>
      <w:lvlJc w:val="left"/>
      <w:pPr>
        <w:ind w:left="1068" w:hanging="360"/>
      </w:pPr>
      <w:rPr>
        <w:rFonts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73" w15:restartNumberingAfterBreak="0">
    <w:nsid w:val="64B706E2"/>
    <w:multiLevelType w:val="hybridMultilevel"/>
    <w:tmpl w:val="E0D4DDFC"/>
    <w:lvl w:ilvl="0" w:tplc="F1C4B4AC">
      <w:start w:val="1"/>
      <w:numFmt w:val="decimal"/>
      <w:lvlText w:val="%1."/>
      <w:lvlJc w:val="left"/>
      <w:pPr>
        <w:ind w:left="720" w:hanging="360"/>
      </w:pPr>
      <w:rPr>
        <w:rFonts w:ascii="Calibri" w:eastAsia="Times New Roman" w:hAnsi="Calibri" w:cs="Calibr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4" w15:restartNumberingAfterBreak="0">
    <w:nsid w:val="66A228A1"/>
    <w:multiLevelType w:val="hybridMultilevel"/>
    <w:tmpl w:val="CF4C463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75" w15:restartNumberingAfterBreak="0">
    <w:nsid w:val="67487D3F"/>
    <w:multiLevelType w:val="hybridMultilevel"/>
    <w:tmpl w:val="5836A7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6" w15:restartNumberingAfterBreak="0">
    <w:nsid w:val="67AF749E"/>
    <w:multiLevelType w:val="hybridMultilevel"/>
    <w:tmpl w:val="E076A638"/>
    <w:lvl w:ilvl="0" w:tplc="06EAC272">
      <w:start w:val="1"/>
      <w:numFmt w:val="decimal"/>
      <w:lvlText w:val="%1."/>
      <w:lvlJc w:val="left"/>
      <w:pPr>
        <w:ind w:left="720" w:hanging="360"/>
      </w:pPr>
      <w:rPr>
        <w:rFonts w:hint="default"/>
      </w:rPr>
    </w:lvl>
    <w:lvl w:ilvl="1" w:tplc="300A0019" w:tentative="1">
      <w:start w:val="1"/>
      <w:numFmt w:val="lowerLetter"/>
      <w:lvlText w:val="%2."/>
      <w:lvlJc w:val="left"/>
      <w:pPr>
        <w:ind w:left="807" w:hanging="360"/>
      </w:pPr>
    </w:lvl>
    <w:lvl w:ilvl="2" w:tplc="300A001B" w:tentative="1">
      <w:start w:val="1"/>
      <w:numFmt w:val="lowerRoman"/>
      <w:lvlText w:val="%3."/>
      <w:lvlJc w:val="right"/>
      <w:pPr>
        <w:ind w:left="1527" w:hanging="180"/>
      </w:pPr>
    </w:lvl>
    <w:lvl w:ilvl="3" w:tplc="300A000F" w:tentative="1">
      <w:start w:val="1"/>
      <w:numFmt w:val="decimal"/>
      <w:lvlText w:val="%4."/>
      <w:lvlJc w:val="left"/>
      <w:pPr>
        <w:ind w:left="2247" w:hanging="360"/>
      </w:pPr>
    </w:lvl>
    <w:lvl w:ilvl="4" w:tplc="300A0019" w:tentative="1">
      <w:start w:val="1"/>
      <w:numFmt w:val="lowerLetter"/>
      <w:lvlText w:val="%5."/>
      <w:lvlJc w:val="left"/>
      <w:pPr>
        <w:ind w:left="2967" w:hanging="360"/>
      </w:pPr>
    </w:lvl>
    <w:lvl w:ilvl="5" w:tplc="300A001B" w:tentative="1">
      <w:start w:val="1"/>
      <w:numFmt w:val="lowerRoman"/>
      <w:lvlText w:val="%6."/>
      <w:lvlJc w:val="right"/>
      <w:pPr>
        <w:ind w:left="3687" w:hanging="180"/>
      </w:pPr>
    </w:lvl>
    <w:lvl w:ilvl="6" w:tplc="300A000F" w:tentative="1">
      <w:start w:val="1"/>
      <w:numFmt w:val="decimal"/>
      <w:lvlText w:val="%7."/>
      <w:lvlJc w:val="left"/>
      <w:pPr>
        <w:ind w:left="4407" w:hanging="360"/>
      </w:pPr>
    </w:lvl>
    <w:lvl w:ilvl="7" w:tplc="300A0019" w:tentative="1">
      <w:start w:val="1"/>
      <w:numFmt w:val="lowerLetter"/>
      <w:lvlText w:val="%8."/>
      <w:lvlJc w:val="left"/>
      <w:pPr>
        <w:ind w:left="5127" w:hanging="360"/>
      </w:pPr>
    </w:lvl>
    <w:lvl w:ilvl="8" w:tplc="300A001B" w:tentative="1">
      <w:start w:val="1"/>
      <w:numFmt w:val="lowerRoman"/>
      <w:lvlText w:val="%9."/>
      <w:lvlJc w:val="right"/>
      <w:pPr>
        <w:ind w:left="5847" w:hanging="180"/>
      </w:pPr>
    </w:lvl>
  </w:abstractNum>
  <w:abstractNum w:abstractNumId="77" w15:restartNumberingAfterBreak="0">
    <w:nsid w:val="69DC699B"/>
    <w:multiLevelType w:val="hybridMultilevel"/>
    <w:tmpl w:val="E076A638"/>
    <w:lvl w:ilvl="0" w:tplc="06EAC272">
      <w:start w:val="1"/>
      <w:numFmt w:val="decimal"/>
      <w:lvlText w:val="%1."/>
      <w:lvlJc w:val="left"/>
      <w:pPr>
        <w:ind w:left="135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8" w15:restartNumberingAfterBreak="0">
    <w:nsid w:val="69EC6393"/>
    <w:multiLevelType w:val="hybridMultilevel"/>
    <w:tmpl w:val="BB40325E"/>
    <w:lvl w:ilvl="0" w:tplc="300A0001">
      <w:start w:val="1"/>
      <w:numFmt w:val="bullet"/>
      <w:lvlText w:val=""/>
      <w:lvlJc w:val="left"/>
      <w:pPr>
        <w:tabs>
          <w:tab w:val="num" w:pos="567"/>
        </w:tabs>
        <w:ind w:left="567" w:hanging="360"/>
      </w:pPr>
      <w:rPr>
        <w:rFonts w:ascii="Symbol" w:hAnsi="Symbol" w:hint="default"/>
      </w:rPr>
    </w:lvl>
    <w:lvl w:ilvl="1" w:tplc="648CD84E" w:tentative="1">
      <w:start w:val="1"/>
      <w:numFmt w:val="bullet"/>
      <w:lvlText w:val="•"/>
      <w:lvlJc w:val="left"/>
      <w:pPr>
        <w:tabs>
          <w:tab w:val="num" w:pos="1287"/>
        </w:tabs>
        <w:ind w:left="1287" w:hanging="360"/>
      </w:pPr>
      <w:rPr>
        <w:rFonts w:ascii="Times New Roman" w:hAnsi="Times New Roman" w:hint="default"/>
      </w:rPr>
    </w:lvl>
    <w:lvl w:ilvl="2" w:tplc="C4CA1A4C" w:tentative="1">
      <w:start w:val="1"/>
      <w:numFmt w:val="bullet"/>
      <w:lvlText w:val="•"/>
      <w:lvlJc w:val="left"/>
      <w:pPr>
        <w:tabs>
          <w:tab w:val="num" w:pos="2007"/>
        </w:tabs>
        <w:ind w:left="2007" w:hanging="360"/>
      </w:pPr>
      <w:rPr>
        <w:rFonts w:ascii="Times New Roman" w:hAnsi="Times New Roman" w:hint="default"/>
      </w:rPr>
    </w:lvl>
    <w:lvl w:ilvl="3" w:tplc="37841190" w:tentative="1">
      <w:start w:val="1"/>
      <w:numFmt w:val="bullet"/>
      <w:lvlText w:val="•"/>
      <w:lvlJc w:val="left"/>
      <w:pPr>
        <w:tabs>
          <w:tab w:val="num" w:pos="2727"/>
        </w:tabs>
        <w:ind w:left="2727" w:hanging="360"/>
      </w:pPr>
      <w:rPr>
        <w:rFonts w:ascii="Times New Roman" w:hAnsi="Times New Roman" w:hint="default"/>
      </w:rPr>
    </w:lvl>
    <w:lvl w:ilvl="4" w:tplc="202214C6" w:tentative="1">
      <w:start w:val="1"/>
      <w:numFmt w:val="bullet"/>
      <w:lvlText w:val="•"/>
      <w:lvlJc w:val="left"/>
      <w:pPr>
        <w:tabs>
          <w:tab w:val="num" w:pos="3447"/>
        </w:tabs>
        <w:ind w:left="3447" w:hanging="360"/>
      </w:pPr>
      <w:rPr>
        <w:rFonts w:ascii="Times New Roman" w:hAnsi="Times New Roman" w:hint="default"/>
      </w:rPr>
    </w:lvl>
    <w:lvl w:ilvl="5" w:tplc="5EA8EF4E" w:tentative="1">
      <w:start w:val="1"/>
      <w:numFmt w:val="bullet"/>
      <w:lvlText w:val="•"/>
      <w:lvlJc w:val="left"/>
      <w:pPr>
        <w:tabs>
          <w:tab w:val="num" w:pos="4167"/>
        </w:tabs>
        <w:ind w:left="4167" w:hanging="360"/>
      </w:pPr>
      <w:rPr>
        <w:rFonts w:ascii="Times New Roman" w:hAnsi="Times New Roman" w:hint="default"/>
      </w:rPr>
    </w:lvl>
    <w:lvl w:ilvl="6" w:tplc="4D24B87E" w:tentative="1">
      <w:start w:val="1"/>
      <w:numFmt w:val="bullet"/>
      <w:lvlText w:val="•"/>
      <w:lvlJc w:val="left"/>
      <w:pPr>
        <w:tabs>
          <w:tab w:val="num" w:pos="4887"/>
        </w:tabs>
        <w:ind w:left="4887" w:hanging="360"/>
      </w:pPr>
      <w:rPr>
        <w:rFonts w:ascii="Times New Roman" w:hAnsi="Times New Roman" w:hint="default"/>
      </w:rPr>
    </w:lvl>
    <w:lvl w:ilvl="7" w:tplc="6336987E" w:tentative="1">
      <w:start w:val="1"/>
      <w:numFmt w:val="bullet"/>
      <w:lvlText w:val="•"/>
      <w:lvlJc w:val="left"/>
      <w:pPr>
        <w:tabs>
          <w:tab w:val="num" w:pos="5607"/>
        </w:tabs>
        <w:ind w:left="5607" w:hanging="360"/>
      </w:pPr>
      <w:rPr>
        <w:rFonts w:ascii="Times New Roman" w:hAnsi="Times New Roman" w:hint="default"/>
      </w:rPr>
    </w:lvl>
    <w:lvl w:ilvl="8" w:tplc="9B64E666" w:tentative="1">
      <w:start w:val="1"/>
      <w:numFmt w:val="bullet"/>
      <w:lvlText w:val="•"/>
      <w:lvlJc w:val="left"/>
      <w:pPr>
        <w:tabs>
          <w:tab w:val="num" w:pos="6327"/>
        </w:tabs>
        <w:ind w:left="6327" w:hanging="360"/>
      </w:pPr>
      <w:rPr>
        <w:rFonts w:ascii="Times New Roman" w:hAnsi="Times New Roman" w:hint="default"/>
      </w:rPr>
    </w:lvl>
  </w:abstractNum>
  <w:abstractNum w:abstractNumId="79" w15:restartNumberingAfterBreak="0">
    <w:nsid w:val="6AEE0090"/>
    <w:multiLevelType w:val="hybridMultilevel"/>
    <w:tmpl w:val="7530444E"/>
    <w:lvl w:ilvl="0" w:tplc="300A0001">
      <w:start w:val="1"/>
      <w:numFmt w:val="bullet"/>
      <w:lvlText w:val=""/>
      <w:lvlJc w:val="left"/>
      <w:pPr>
        <w:ind w:left="360" w:hanging="360"/>
      </w:pPr>
      <w:rPr>
        <w:rFonts w:ascii="Symbol" w:hAnsi="Symbol"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80" w15:restartNumberingAfterBreak="0">
    <w:nsid w:val="6B1257E2"/>
    <w:multiLevelType w:val="hybridMultilevel"/>
    <w:tmpl w:val="E076A638"/>
    <w:lvl w:ilvl="0" w:tplc="06EAC272">
      <w:start w:val="1"/>
      <w:numFmt w:val="decimal"/>
      <w:lvlText w:val="%1."/>
      <w:lvlJc w:val="left"/>
      <w:pPr>
        <w:ind w:left="360" w:hanging="360"/>
      </w:pPr>
      <w:rPr>
        <w:rFonts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81" w15:restartNumberingAfterBreak="0">
    <w:nsid w:val="6D2E5DCE"/>
    <w:multiLevelType w:val="hybridMultilevel"/>
    <w:tmpl w:val="E076A638"/>
    <w:lvl w:ilvl="0" w:tplc="06EAC272">
      <w:start w:val="1"/>
      <w:numFmt w:val="decimal"/>
      <w:lvlText w:val="%1."/>
      <w:lvlJc w:val="left"/>
      <w:pPr>
        <w:ind w:left="720" w:hanging="360"/>
      </w:pPr>
      <w:rPr>
        <w:rFonts w:hint="default"/>
      </w:rPr>
    </w:lvl>
    <w:lvl w:ilvl="1" w:tplc="300A0019">
      <w:start w:val="1"/>
      <w:numFmt w:val="lowerLetter"/>
      <w:lvlText w:val="%2."/>
      <w:lvlJc w:val="left"/>
      <w:pPr>
        <w:ind w:left="807" w:hanging="360"/>
      </w:pPr>
    </w:lvl>
    <w:lvl w:ilvl="2" w:tplc="300A001B" w:tentative="1">
      <w:start w:val="1"/>
      <w:numFmt w:val="lowerRoman"/>
      <w:lvlText w:val="%3."/>
      <w:lvlJc w:val="right"/>
      <w:pPr>
        <w:ind w:left="1527" w:hanging="180"/>
      </w:pPr>
    </w:lvl>
    <w:lvl w:ilvl="3" w:tplc="300A000F" w:tentative="1">
      <w:start w:val="1"/>
      <w:numFmt w:val="decimal"/>
      <w:lvlText w:val="%4."/>
      <w:lvlJc w:val="left"/>
      <w:pPr>
        <w:ind w:left="2247" w:hanging="360"/>
      </w:pPr>
    </w:lvl>
    <w:lvl w:ilvl="4" w:tplc="300A0019" w:tentative="1">
      <w:start w:val="1"/>
      <w:numFmt w:val="lowerLetter"/>
      <w:lvlText w:val="%5."/>
      <w:lvlJc w:val="left"/>
      <w:pPr>
        <w:ind w:left="2967" w:hanging="360"/>
      </w:pPr>
    </w:lvl>
    <w:lvl w:ilvl="5" w:tplc="300A001B" w:tentative="1">
      <w:start w:val="1"/>
      <w:numFmt w:val="lowerRoman"/>
      <w:lvlText w:val="%6."/>
      <w:lvlJc w:val="right"/>
      <w:pPr>
        <w:ind w:left="3687" w:hanging="180"/>
      </w:pPr>
    </w:lvl>
    <w:lvl w:ilvl="6" w:tplc="300A000F" w:tentative="1">
      <w:start w:val="1"/>
      <w:numFmt w:val="decimal"/>
      <w:lvlText w:val="%7."/>
      <w:lvlJc w:val="left"/>
      <w:pPr>
        <w:ind w:left="4407" w:hanging="360"/>
      </w:pPr>
    </w:lvl>
    <w:lvl w:ilvl="7" w:tplc="300A0019" w:tentative="1">
      <w:start w:val="1"/>
      <w:numFmt w:val="lowerLetter"/>
      <w:lvlText w:val="%8."/>
      <w:lvlJc w:val="left"/>
      <w:pPr>
        <w:ind w:left="5127" w:hanging="360"/>
      </w:pPr>
    </w:lvl>
    <w:lvl w:ilvl="8" w:tplc="300A001B" w:tentative="1">
      <w:start w:val="1"/>
      <w:numFmt w:val="lowerRoman"/>
      <w:lvlText w:val="%9."/>
      <w:lvlJc w:val="right"/>
      <w:pPr>
        <w:ind w:left="5847" w:hanging="180"/>
      </w:pPr>
    </w:lvl>
  </w:abstractNum>
  <w:abstractNum w:abstractNumId="82" w15:restartNumberingAfterBreak="0">
    <w:nsid w:val="6D34447E"/>
    <w:multiLevelType w:val="hybridMultilevel"/>
    <w:tmpl w:val="CAC6893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3" w15:restartNumberingAfterBreak="0">
    <w:nsid w:val="6D6620C1"/>
    <w:multiLevelType w:val="hybridMultilevel"/>
    <w:tmpl w:val="7570D05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4" w15:restartNumberingAfterBreak="0">
    <w:nsid w:val="6F3C120B"/>
    <w:multiLevelType w:val="multilevel"/>
    <w:tmpl w:val="D67AAB1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85" w15:restartNumberingAfterBreak="0">
    <w:nsid w:val="6F6D01DA"/>
    <w:multiLevelType w:val="multilevel"/>
    <w:tmpl w:val="D1AC488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86" w15:restartNumberingAfterBreak="0">
    <w:nsid w:val="6FF563F3"/>
    <w:multiLevelType w:val="multilevel"/>
    <w:tmpl w:val="81BECCAA"/>
    <w:lvl w:ilvl="0">
      <w:start w:val="1"/>
      <w:numFmt w:val="decimal"/>
      <w:lvlText w:val="%1."/>
      <w:lvlJc w:val="left"/>
      <w:pPr>
        <w:ind w:left="96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822"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684" w:hanging="1080"/>
      </w:pPr>
      <w:rPr>
        <w:rFonts w:hint="default"/>
      </w:rPr>
    </w:lvl>
    <w:lvl w:ilvl="5">
      <w:start w:val="1"/>
      <w:numFmt w:val="decimal"/>
      <w:isLgl/>
      <w:lvlText w:val="%1.%2.%3.%4.%5.%6."/>
      <w:lvlJc w:val="left"/>
      <w:pPr>
        <w:ind w:left="2935" w:hanging="1080"/>
      </w:pPr>
      <w:rPr>
        <w:rFonts w:hint="default"/>
      </w:rPr>
    </w:lvl>
    <w:lvl w:ilvl="6">
      <w:start w:val="1"/>
      <w:numFmt w:val="decimal"/>
      <w:isLgl/>
      <w:lvlText w:val="%1.%2.%3.%4.%5.%6.%7."/>
      <w:lvlJc w:val="left"/>
      <w:pPr>
        <w:ind w:left="3546" w:hanging="1440"/>
      </w:pPr>
      <w:rPr>
        <w:rFonts w:hint="default"/>
      </w:rPr>
    </w:lvl>
    <w:lvl w:ilvl="7">
      <w:start w:val="1"/>
      <w:numFmt w:val="decimal"/>
      <w:isLgl/>
      <w:lvlText w:val="%1.%2.%3.%4.%5.%6.%7.%8."/>
      <w:lvlJc w:val="left"/>
      <w:pPr>
        <w:ind w:left="3797" w:hanging="1440"/>
      </w:pPr>
      <w:rPr>
        <w:rFonts w:hint="default"/>
      </w:rPr>
    </w:lvl>
    <w:lvl w:ilvl="8">
      <w:start w:val="1"/>
      <w:numFmt w:val="decimal"/>
      <w:isLgl/>
      <w:lvlText w:val="%1.%2.%3.%4.%5.%6.%7.%8.%9."/>
      <w:lvlJc w:val="left"/>
      <w:pPr>
        <w:ind w:left="4408" w:hanging="1800"/>
      </w:pPr>
      <w:rPr>
        <w:rFonts w:hint="default"/>
      </w:rPr>
    </w:lvl>
  </w:abstractNum>
  <w:abstractNum w:abstractNumId="87" w15:restartNumberingAfterBreak="0">
    <w:nsid w:val="70606842"/>
    <w:multiLevelType w:val="hybridMultilevel"/>
    <w:tmpl w:val="E076A638"/>
    <w:lvl w:ilvl="0" w:tplc="06EAC272">
      <w:start w:val="1"/>
      <w:numFmt w:val="decimal"/>
      <w:lvlText w:val="%1."/>
      <w:lvlJc w:val="left"/>
      <w:pPr>
        <w:ind w:left="360" w:hanging="360"/>
      </w:pPr>
      <w:rPr>
        <w:rFonts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88" w15:restartNumberingAfterBreak="0">
    <w:nsid w:val="71BD2378"/>
    <w:multiLevelType w:val="hybridMultilevel"/>
    <w:tmpl w:val="E0F475F6"/>
    <w:lvl w:ilvl="0" w:tplc="57BC1B48">
      <w:start w:val="1"/>
      <w:numFmt w:val="decimal"/>
      <w:lvlText w:val="%1."/>
      <w:lvlJc w:val="left"/>
      <w:pPr>
        <w:ind w:left="502"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89" w15:restartNumberingAfterBreak="0">
    <w:nsid w:val="74A93E33"/>
    <w:multiLevelType w:val="hybridMultilevel"/>
    <w:tmpl w:val="D662F4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0" w15:restartNumberingAfterBreak="0">
    <w:nsid w:val="75465563"/>
    <w:multiLevelType w:val="hybridMultilevel"/>
    <w:tmpl w:val="E076A638"/>
    <w:lvl w:ilvl="0" w:tplc="06EAC272">
      <w:start w:val="1"/>
      <w:numFmt w:val="decimal"/>
      <w:lvlText w:val="%1."/>
      <w:lvlJc w:val="left"/>
      <w:pPr>
        <w:ind w:left="720" w:hanging="360"/>
      </w:pPr>
      <w:rPr>
        <w:rFonts w:hint="default"/>
      </w:rPr>
    </w:lvl>
    <w:lvl w:ilvl="1" w:tplc="300A0019" w:tentative="1">
      <w:start w:val="1"/>
      <w:numFmt w:val="lowerLetter"/>
      <w:lvlText w:val="%2."/>
      <w:lvlJc w:val="left"/>
      <w:pPr>
        <w:ind w:left="807" w:hanging="360"/>
      </w:pPr>
    </w:lvl>
    <w:lvl w:ilvl="2" w:tplc="300A001B" w:tentative="1">
      <w:start w:val="1"/>
      <w:numFmt w:val="lowerRoman"/>
      <w:lvlText w:val="%3."/>
      <w:lvlJc w:val="right"/>
      <w:pPr>
        <w:ind w:left="1527" w:hanging="180"/>
      </w:pPr>
    </w:lvl>
    <w:lvl w:ilvl="3" w:tplc="300A000F" w:tentative="1">
      <w:start w:val="1"/>
      <w:numFmt w:val="decimal"/>
      <w:lvlText w:val="%4."/>
      <w:lvlJc w:val="left"/>
      <w:pPr>
        <w:ind w:left="2247" w:hanging="360"/>
      </w:pPr>
    </w:lvl>
    <w:lvl w:ilvl="4" w:tplc="300A0019" w:tentative="1">
      <w:start w:val="1"/>
      <w:numFmt w:val="lowerLetter"/>
      <w:lvlText w:val="%5."/>
      <w:lvlJc w:val="left"/>
      <w:pPr>
        <w:ind w:left="2967" w:hanging="360"/>
      </w:pPr>
    </w:lvl>
    <w:lvl w:ilvl="5" w:tplc="300A001B" w:tentative="1">
      <w:start w:val="1"/>
      <w:numFmt w:val="lowerRoman"/>
      <w:lvlText w:val="%6."/>
      <w:lvlJc w:val="right"/>
      <w:pPr>
        <w:ind w:left="3687" w:hanging="180"/>
      </w:pPr>
    </w:lvl>
    <w:lvl w:ilvl="6" w:tplc="300A000F" w:tentative="1">
      <w:start w:val="1"/>
      <w:numFmt w:val="decimal"/>
      <w:lvlText w:val="%7."/>
      <w:lvlJc w:val="left"/>
      <w:pPr>
        <w:ind w:left="4407" w:hanging="360"/>
      </w:pPr>
    </w:lvl>
    <w:lvl w:ilvl="7" w:tplc="300A0019" w:tentative="1">
      <w:start w:val="1"/>
      <w:numFmt w:val="lowerLetter"/>
      <w:lvlText w:val="%8."/>
      <w:lvlJc w:val="left"/>
      <w:pPr>
        <w:ind w:left="5127" w:hanging="360"/>
      </w:pPr>
    </w:lvl>
    <w:lvl w:ilvl="8" w:tplc="300A001B" w:tentative="1">
      <w:start w:val="1"/>
      <w:numFmt w:val="lowerRoman"/>
      <w:lvlText w:val="%9."/>
      <w:lvlJc w:val="right"/>
      <w:pPr>
        <w:ind w:left="5847" w:hanging="180"/>
      </w:pPr>
    </w:lvl>
  </w:abstractNum>
  <w:abstractNum w:abstractNumId="91" w15:restartNumberingAfterBreak="0">
    <w:nsid w:val="75EE014A"/>
    <w:multiLevelType w:val="hybridMultilevel"/>
    <w:tmpl w:val="D302943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2" w15:restartNumberingAfterBreak="0">
    <w:nsid w:val="764E6836"/>
    <w:multiLevelType w:val="hybridMultilevel"/>
    <w:tmpl w:val="D302943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3" w15:restartNumberingAfterBreak="0">
    <w:nsid w:val="79D66573"/>
    <w:multiLevelType w:val="hybridMultilevel"/>
    <w:tmpl w:val="61CA048C"/>
    <w:lvl w:ilvl="0" w:tplc="300A0001">
      <w:start w:val="1"/>
      <w:numFmt w:val="bullet"/>
      <w:lvlText w:val=""/>
      <w:lvlJc w:val="left"/>
      <w:pPr>
        <w:ind w:left="360" w:hanging="360"/>
      </w:pPr>
      <w:rPr>
        <w:rFonts w:ascii="Symbol" w:hAnsi="Symbol" w:hint="default"/>
      </w:rPr>
    </w:lvl>
    <w:lvl w:ilvl="1" w:tplc="300A0019" w:tentative="1">
      <w:start w:val="1"/>
      <w:numFmt w:val="lowerLetter"/>
      <w:lvlText w:val="%2."/>
      <w:lvlJc w:val="left"/>
      <w:pPr>
        <w:ind w:left="447" w:hanging="360"/>
      </w:pPr>
    </w:lvl>
    <w:lvl w:ilvl="2" w:tplc="300A001B" w:tentative="1">
      <w:start w:val="1"/>
      <w:numFmt w:val="lowerRoman"/>
      <w:lvlText w:val="%3."/>
      <w:lvlJc w:val="right"/>
      <w:pPr>
        <w:ind w:left="1167" w:hanging="180"/>
      </w:pPr>
    </w:lvl>
    <w:lvl w:ilvl="3" w:tplc="300A000F" w:tentative="1">
      <w:start w:val="1"/>
      <w:numFmt w:val="decimal"/>
      <w:lvlText w:val="%4."/>
      <w:lvlJc w:val="left"/>
      <w:pPr>
        <w:ind w:left="1887" w:hanging="360"/>
      </w:pPr>
    </w:lvl>
    <w:lvl w:ilvl="4" w:tplc="300A0019" w:tentative="1">
      <w:start w:val="1"/>
      <w:numFmt w:val="lowerLetter"/>
      <w:lvlText w:val="%5."/>
      <w:lvlJc w:val="left"/>
      <w:pPr>
        <w:ind w:left="2607" w:hanging="360"/>
      </w:pPr>
    </w:lvl>
    <w:lvl w:ilvl="5" w:tplc="300A001B" w:tentative="1">
      <w:start w:val="1"/>
      <w:numFmt w:val="lowerRoman"/>
      <w:lvlText w:val="%6."/>
      <w:lvlJc w:val="right"/>
      <w:pPr>
        <w:ind w:left="3327" w:hanging="180"/>
      </w:pPr>
    </w:lvl>
    <w:lvl w:ilvl="6" w:tplc="300A000F" w:tentative="1">
      <w:start w:val="1"/>
      <w:numFmt w:val="decimal"/>
      <w:lvlText w:val="%7."/>
      <w:lvlJc w:val="left"/>
      <w:pPr>
        <w:ind w:left="4047" w:hanging="360"/>
      </w:pPr>
    </w:lvl>
    <w:lvl w:ilvl="7" w:tplc="300A0019" w:tentative="1">
      <w:start w:val="1"/>
      <w:numFmt w:val="lowerLetter"/>
      <w:lvlText w:val="%8."/>
      <w:lvlJc w:val="left"/>
      <w:pPr>
        <w:ind w:left="4767" w:hanging="360"/>
      </w:pPr>
    </w:lvl>
    <w:lvl w:ilvl="8" w:tplc="300A001B" w:tentative="1">
      <w:start w:val="1"/>
      <w:numFmt w:val="lowerRoman"/>
      <w:lvlText w:val="%9."/>
      <w:lvlJc w:val="right"/>
      <w:pPr>
        <w:ind w:left="5487" w:hanging="180"/>
      </w:pPr>
    </w:lvl>
  </w:abstractNum>
  <w:abstractNum w:abstractNumId="94" w15:restartNumberingAfterBreak="0">
    <w:nsid w:val="79F85F87"/>
    <w:multiLevelType w:val="hybridMultilevel"/>
    <w:tmpl w:val="E076A638"/>
    <w:lvl w:ilvl="0" w:tplc="06EAC272">
      <w:start w:val="1"/>
      <w:numFmt w:val="decimal"/>
      <w:lvlText w:val="%1."/>
      <w:lvlJc w:val="left"/>
      <w:pPr>
        <w:ind w:left="720" w:hanging="360"/>
      </w:pPr>
      <w:rPr>
        <w:rFonts w:hint="default"/>
      </w:rPr>
    </w:lvl>
    <w:lvl w:ilvl="1" w:tplc="300A0019" w:tentative="1">
      <w:start w:val="1"/>
      <w:numFmt w:val="lowerLetter"/>
      <w:lvlText w:val="%2."/>
      <w:lvlJc w:val="left"/>
      <w:pPr>
        <w:ind w:left="807" w:hanging="360"/>
      </w:pPr>
    </w:lvl>
    <w:lvl w:ilvl="2" w:tplc="300A001B" w:tentative="1">
      <w:start w:val="1"/>
      <w:numFmt w:val="lowerRoman"/>
      <w:lvlText w:val="%3."/>
      <w:lvlJc w:val="right"/>
      <w:pPr>
        <w:ind w:left="1527" w:hanging="180"/>
      </w:pPr>
    </w:lvl>
    <w:lvl w:ilvl="3" w:tplc="300A000F" w:tentative="1">
      <w:start w:val="1"/>
      <w:numFmt w:val="decimal"/>
      <w:lvlText w:val="%4."/>
      <w:lvlJc w:val="left"/>
      <w:pPr>
        <w:ind w:left="2247" w:hanging="360"/>
      </w:pPr>
    </w:lvl>
    <w:lvl w:ilvl="4" w:tplc="300A0019" w:tentative="1">
      <w:start w:val="1"/>
      <w:numFmt w:val="lowerLetter"/>
      <w:lvlText w:val="%5."/>
      <w:lvlJc w:val="left"/>
      <w:pPr>
        <w:ind w:left="2967" w:hanging="360"/>
      </w:pPr>
    </w:lvl>
    <w:lvl w:ilvl="5" w:tplc="300A001B" w:tentative="1">
      <w:start w:val="1"/>
      <w:numFmt w:val="lowerRoman"/>
      <w:lvlText w:val="%6."/>
      <w:lvlJc w:val="right"/>
      <w:pPr>
        <w:ind w:left="3687" w:hanging="180"/>
      </w:pPr>
    </w:lvl>
    <w:lvl w:ilvl="6" w:tplc="300A000F" w:tentative="1">
      <w:start w:val="1"/>
      <w:numFmt w:val="decimal"/>
      <w:lvlText w:val="%7."/>
      <w:lvlJc w:val="left"/>
      <w:pPr>
        <w:ind w:left="4407" w:hanging="360"/>
      </w:pPr>
    </w:lvl>
    <w:lvl w:ilvl="7" w:tplc="300A0019" w:tentative="1">
      <w:start w:val="1"/>
      <w:numFmt w:val="lowerLetter"/>
      <w:lvlText w:val="%8."/>
      <w:lvlJc w:val="left"/>
      <w:pPr>
        <w:ind w:left="5127" w:hanging="360"/>
      </w:pPr>
    </w:lvl>
    <w:lvl w:ilvl="8" w:tplc="300A001B" w:tentative="1">
      <w:start w:val="1"/>
      <w:numFmt w:val="lowerRoman"/>
      <w:lvlText w:val="%9."/>
      <w:lvlJc w:val="right"/>
      <w:pPr>
        <w:ind w:left="5847" w:hanging="180"/>
      </w:pPr>
    </w:lvl>
  </w:abstractNum>
  <w:abstractNum w:abstractNumId="95" w15:restartNumberingAfterBreak="0">
    <w:nsid w:val="7BA65A55"/>
    <w:multiLevelType w:val="hybridMultilevel"/>
    <w:tmpl w:val="D25832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6" w15:restartNumberingAfterBreak="0">
    <w:nsid w:val="7D561401"/>
    <w:multiLevelType w:val="hybridMultilevel"/>
    <w:tmpl w:val="08F4F85C"/>
    <w:lvl w:ilvl="0" w:tplc="9CD04BD8">
      <w:start w:val="1"/>
      <w:numFmt w:val="decimal"/>
      <w:lvlText w:val="%1."/>
      <w:lvlJc w:val="left"/>
      <w:pPr>
        <w:ind w:left="720" w:hanging="360"/>
      </w:pPr>
      <w:rPr>
        <w:rFonts w:hint="default"/>
        <w:sz w:val="22"/>
        <w:szCs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7" w15:restartNumberingAfterBreak="0">
    <w:nsid w:val="7E2829BB"/>
    <w:multiLevelType w:val="hybridMultilevel"/>
    <w:tmpl w:val="6180CF50"/>
    <w:lvl w:ilvl="0" w:tplc="0C1621B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640958075">
    <w:abstractNumId w:val="40"/>
  </w:num>
  <w:num w:numId="2" w16cid:durableId="839546616">
    <w:abstractNumId w:val="15"/>
  </w:num>
  <w:num w:numId="3" w16cid:durableId="1727875451">
    <w:abstractNumId w:val="64"/>
  </w:num>
  <w:num w:numId="4" w16cid:durableId="1558207040">
    <w:abstractNumId w:val="50"/>
  </w:num>
  <w:num w:numId="5" w16cid:durableId="2042396273">
    <w:abstractNumId w:val="32"/>
  </w:num>
  <w:num w:numId="6" w16cid:durableId="208690142">
    <w:abstractNumId w:val="96"/>
  </w:num>
  <w:num w:numId="7" w16cid:durableId="63766608">
    <w:abstractNumId w:val="38"/>
  </w:num>
  <w:num w:numId="8" w16cid:durableId="1662542163">
    <w:abstractNumId w:val="56"/>
  </w:num>
  <w:num w:numId="9" w16cid:durableId="43647352">
    <w:abstractNumId w:val="43"/>
  </w:num>
  <w:num w:numId="10" w16cid:durableId="1382945680">
    <w:abstractNumId w:val="19"/>
  </w:num>
  <w:num w:numId="11" w16cid:durableId="480388774">
    <w:abstractNumId w:val="41"/>
  </w:num>
  <w:num w:numId="12" w16cid:durableId="1517960120">
    <w:abstractNumId w:val="90"/>
  </w:num>
  <w:num w:numId="13" w16cid:durableId="1175725362">
    <w:abstractNumId w:val="14"/>
  </w:num>
  <w:num w:numId="14" w16cid:durableId="1354498659">
    <w:abstractNumId w:val="71"/>
  </w:num>
  <w:num w:numId="15" w16cid:durableId="125045747">
    <w:abstractNumId w:val="31"/>
  </w:num>
  <w:num w:numId="16" w16cid:durableId="505554911">
    <w:abstractNumId w:val="3"/>
  </w:num>
  <w:num w:numId="17" w16cid:durableId="1030565721">
    <w:abstractNumId w:val="44"/>
  </w:num>
  <w:num w:numId="18" w16cid:durableId="1420827598">
    <w:abstractNumId w:val="13"/>
  </w:num>
  <w:num w:numId="19" w16cid:durableId="971252482">
    <w:abstractNumId w:val="82"/>
  </w:num>
  <w:num w:numId="20" w16cid:durableId="919408227">
    <w:abstractNumId w:val="23"/>
  </w:num>
  <w:num w:numId="21" w16cid:durableId="1976910205">
    <w:abstractNumId w:val="91"/>
  </w:num>
  <w:num w:numId="22" w16cid:durableId="518859530">
    <w:abstractNumId w:val="63"/>
  </w:num>
  <w:num w:numId="23" w16cid:durableId="1750227584">
    <w:abstractNumId w:val="26"/>
  </w:num>
  <w:num w:numId="24" w16cid:durableId="937522770">
    <w:abstractNumId w:val="86"/>
  </w:num>
  <w:num w:numId="25" w16cid:durableId="2092005569">
    <w:abstractNumId w:val="95"/>
  </w:num>
  <w:num w:numId="26" w16cid:durableId="1538548773">
    <w:abstractNumId w:val="35"/>
  </w:num>
  <w:num w:numId="27" w16cid:durableId="1475680946">
    <w:abstractNumId w:val="18"/>
  </w:num>
  <w:num w:numId="28" w16cid:durableId="333722667">
    <w:abstractNumId w:val="6"/>
  </w:num>
  <w:num w:numId="29" w16cid:durableId="1166095165">
    <w:abstractNumId w:val="75"/>
  </w:num>
  <w:num w:numId="30" w16cid:durableId="1329746586">
    <w:abstractNumId w:val="45"/>
  </w:num>
  <w:num w:numId="31" w16cid:durableId="1848250031">
    <w:abstractNumId w:val="12"/>
  </w:num>
  <w:num w:numId="32" w16cid:durableId="392658246">
    <w:abstractNumId w:val="29"/>
  </w:num>
  <w:num w:numId="33" w16cid:durableId="881938548">
    <w:abstractNumId w:val="69"/>
  </w:num>
  <w:num w:numId="34" w16cid:durableId="999579552">
    <w:abstractNumId w:val="77"/>
  </w:num>
  <w:num w:numId="35" w16cid:durableId="1683315211">
    <w:abstractNumId w:val="62"/>
  </w:num>
  <w:num w:numId="36" w16cid:durableId="917984603">
    <w:abstractNumId w:val="65"/>
  </w:num>
  <w:num w:numId="37" w16cid:durableId="1574897991">
    <w:abstractNumId w:val="20"/>
  </w:num>
  <w:num w:numId="38" w16cid:durableId="623778217">
    <w:abstractNumId w:val="89"/>
  </w:num>
  <w:num w:numId="39" w16cid:durableId="714932761">
    <w:abstractNumId w:val="78"/>
  </w:num>
  <w:num w:numId="40" w16cid:durableId="85537901">
    <w:abstractNumId w:val="16"/>
  </w:num>
  <w:num w:numId="41" w16cid:durableId="2134010721">
    <w:abstractNumId w:val="8"/>
  </w:num>
  <w:num w:numId="42" w16cid:durableId="912861900">
    <w:abstractNumId w:val="72"/>
  </w:num>
  <w:num w:numId="43" w16cid:durableId="642658977">
    <w:abstractNumId w:val="37"/>
  </w:num>
  <w:num w:numId="44" w16cid:durableId="1899439871">
    <w:abstractNumId w:val="39"/>
  </w:num>
  <w:num w:numId="45" w16cid:durableId="88240104">
    <w:abstractNumId w:val="28"/>
  </w:num>
  <w:num w:numId="46" w16cid:durableId="1635990625">
    <w:abstractNumId w:val="34"/>
  </w:num>
  <w:num w:numId="47" w16cid:durableId="1012342296">
    <w:abstractNumId w:val="61"/>
  </w:num>
  <w:num w:numId="48" w16cid:durableId="1564411117">
    <w:abstractNumId w:val="5"/>
  </w:num>
  <w:num w:numId="49" w16cid:durableId="2009478162">
    <w:abstractNumId w:val="79"/>
  </w:num>
  <w:num w:numId="50" w16cid:durableId="264659542">
    <w:abstractNumId w:val="17"/>
  </w:num>
  <w:num w:numId="51" w16cid:durableId="1673220599">
    <w:abstractNumId w:val="24"/>
  </w:num>
  <w:num w:numId="52" w16cid:durableId="537006623">
    <w:abstractNumId w:val="49"/>
  </w:num>
  <w:num w:numId="53" w16cid:durableId="1676573159">
    <w:abstractNumId w:val="66"/>
  </w:num>
  <w:num w:numId="54" w16cid:durableId="591090320">
    <w:abstractNumId w:val="83"/>
  </w:num>
  <w:num w:numId="55" w16cid:durableId="239409969">
    <w:abstractNumId w:val="51"/>
  </w:num>
  <w:num w:numId="56" w16cid:durableId="314072882">
    <w:abstractNumId w:val="93"/>
  </w:num>
  <w:num w:numId="57" w16cid:durableId="1630698366">
    <w:abstractNumId w:val="92"/>
  </w:num>
  <w:num w:numId="58" w16cid:durableId="1299534420">
    <w:abstractNumId w:val="97"/>
  </w:num>
  <w:num w:numId="59" w16cid:durableId="1415396146">
    <w:abstractNumId w:val="42"/>
  </w:num>
  <w:num w:numId="60" w16cid:durableId="1269003728">
    <w:abstractNumId w:val="54"/>
  </w:num>
  <w:num w:numId="61" w16cid:durableId="1655720367">
    <w:abstractNumId w:val="76"/>
  </w:num>
  <w:num w:numId="62" w16cid:durableId="1169713024">
    <w:abstractNumId w:val="52"/>
  </w:num>
  <w:num w:numId="63" w16cid:durableId="1778672474">
    <w:abstractNumId w:val="94"/>
  </w:num>
  <w:num w:numId="64" w16cid:durableId="428815121">
    <w:abstractNumId w:val="10"/>
  </w:num>
  <w:num w:numId="65" w16cid:durableId="1718814211">
    <w:abstractNumId w:val="81"/>
  </w:num>
  <w:num w:numId="66" w16cid:durableId="103379530">
    <w:abstractNumId w:val="36"/>
  </w:num>
  <w:num w:numId="67" w16cid:durableId="784882948">
    <w:abstractNumId w:val="80"/>
  </w:num>
  <w:num w:numId="68" w16cid:durableId="1050109946">
    <w:abstractNumId w:val="70"/>
  </w:num>
  <w:num w:numId="69" w16cid:durableId="480393655">
    <w:abstractNumId w:val="59"/>
  </w:num>
  <w:num w:numId="70" w16cid:durableId="1595091214">
    <w:abstractNumId w:val="25"/>
  </w:num>
  <w:num w:numId="71" w16cid:durableId="1781029896">
    <w:abstractNumId w:val="58"/>
  </w:num>
  <w:num w:numId="72" w16cid:durableId="538247722">
    <w:abstractNumId w:val="87"/>
  </w:num>
  <w:num w:numId="73" w16cid:durableId="414521948">
    <w:abstractNumId w:val="55"/>
  </w:num>
  <w:num w:numId="74" w16cid:durableId="1696033696">
    <w:abstractNumId w:val="27"/>
  </w:num>
  <w:num w:numId="75" w16cid:durableId="327442063">
    <w:abstractNumId w:val="33"/>
  </w:num>
  <w:num w:numId="76" w16cid:durableId="1288925168">
    <w:abstractNumId w:val="11"/>
  </w:num>
  <w:num w:numId="77" w16cid:durableId="1007755518">
    <w:abstractNumId w:val="84"/>
  </w:num>
  <w:num w:numId="78" w16cid:durableId="109667495">
    <w:abstractNumId w:val="21"/>
  </w:num>
  <w:num w:numId="79" w16cid:durableId="2021001103">
    <w:abstractNumId w:val="85"/>
  </w:num>
  <w:num w:numId="80" w16cid:durableId="602997704">
    <w:abstractNumId w:val="22"/>
  </w:num>
  <w:num w:numId="81" w16cid:durableId="1509782834">
    <w:abstractNumId w:val="30"/>
  </w:num>
  <w:num w:numId="82" w16cid:durableId="1441489865">
    <w:abstractNumId w:val="60"/>
  </w:num>
  <w:num w:numId="83" w16cid:durableId="1519732864">
    <w:abstractNumId w:val="67"/>
  </w:num>
  <w:num w:numId="84" w16cid:durableId="705524047">
    <w:abstractNumId w:val="9"/>
  </w:num>
  <w:num w:numId="85" w16cid:durableId="25957685">
    <w:abstractNumId w:val="46"/>
  </w:num>
  <w:num w:numId="86" w16cid:durableId="559830971">
    <w:abstractNumId w:val="47"/>
  </w:num>
  <w:num w:numId="87" w16cid:durableId="1505896149">
    <w:abstractNumId w:val="53"/>
  </w:num>
  <w:num w:numId="88" w16cid:durableId="286401873">
    <w:abstractNumId w:val="7"/>
  </w:num>
  <w:num w:numId="89" w16cid:durableId="1018193920">
    <w:abstractNumId w:val="74"/>
  </w:num>
  <w:num w:numId="90" w16cid:durableId="805590960">
    <w:abstractNumId w:val="4"/>
  </w:num>
  <w:num w:numId="91" w16cid:durableId="1423986857">
    <w:abstractNumId w:val="88"/>
  </w:num>
  <w:num w:numId="92" w16cid:durableId="398478241">
    <w:abstractNumId w:val="48"/>
  </w:num>
  <w:num w:numId="93" w16cid:durableId="490757366">
    <w:abstractNumId w:val="2"/>
  </w:num>
  <w:num w:numId="94" w16cid:durableId="1056395306">
    <w:abstractNumId w:val="0"/>
  </w:num>
  <w:num w:numId="95" w16cid:durableId="1487355732">
    <w:abstractNumId w:val="73"/>
  </w:num>
  <w:num w:numId="96" w16cid:durableId="754130854">
    <w:abstractNumId w:val="1"/>
  </w:num>
  <w:num w:numId="97" w16cid:durableId="1627740833">
    <w:abstractNumId w:val="57"/>
  </w:num>
  <w:num w:numId="98" w16cid:durableId="333265786">
    <w:abstractNumId w:val="6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revisionView w:markup="0" w:comments="0" w:insDel="0" w:formatting="0" w:inkAnnotation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093"/>
    <w:rsid w:val="00011E0F"/>
    <w:rsid w:val="0065022A"/>
    <w:rsid w:val="006F1318"/>
    <w:rsid w:val="007B3093"/>
    <w:rsid w:val="00A11F06"/>
    <w:rsid w:val="00D60D2E"/>
    <w:rsid w:val="00DB552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BCF6D"/>
  <w15:docId w15:val="{F447BD32-5109-4009-9F7A-9695101CD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9"/>
    <w:semiHidden/>
    <w:rPr>
      <w:rFonts w:asciiTheme="majorHAnsi" w:eastAsiaTheme="majorEastAsia" w:hAnsiTheme="majorHAnsi" w:cstheme="majorBidi"/>
      <w:color w:val="2E74B5" w:themeColor="accent1" w:themeShade="BF"/>
    </w:rPr>
  </w:style>
  <w:style w:type="paragraph" w:styleId="Prrafodelista">
    <w:name w:val="List Paragraph"/>
    <w:aliases w:val="TIT 2 IND,Capítulo,titulo 5,References,Paragraphe  revu,Titulo D,Texto,List Paragraph1,Titulo 1,Titulo 2,List Paragraph,Subtitulo1,Párrafo de lista2,Bullet List,FooterText,numbered,Paragraphe de liste1,lp1,MAPA,Viñeta,TITULO A,Bullet 1"/>
    <w:basedOn w:val="Normal"/>
    <w:link w:val="PrrafodelistaCar"/>
    <w:uiPriority w:val="34"/>
    <w:qFormat/>
    <w:pPr>
      <w:ind w:left="720"/>
      <w:contextualSpacing/>
    </w:pPr>
  </w:style>
  <w:style w:type="character" w:customStyle="1" w:styleId="PrrafodelistaCar">
    <w:name w:val="Párrafo de lista Car"/>
    <w:aliases w:val="TIT 2 IND Car,Capítulo Car,titulo 5 Car,References Car,Paragraphe  revu Car,Titulo D Car,Texto Car,List Paragraph1 Car,Titulo 1 Car,Titulo 2 Car,List Paragraph Car,Subtitulo1 Car,Párrafo de lista2 Car,Bullet List Car,FooterText Car"/>
    <w:link w:val="Prrafodelista"/>
    <w:uiPriority w:val="34"/>
    <w:qFormat/>
  </w:style>
  <w:style w:type="paragraph" w:styleId="Textonotapie">
    <w:name w:val="footnote text"/>
    <w:basedOn w:val="Normal"/>
    <w:link w:val="TextonotapieCar"/>
    <w:uiPriority w:val="99"/>
    <w:unhideWhenUsed/>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Pr>
      <w:rFonts w:ascii="Calibri" w:eastAsia="Calibri" w:hAnsi="Calibri" w:cs="Times New Roman"/>
      <w:sz w:val="20"/>
      <w:szCs w:val="20"/>
    </w:rPr>
  </w:style>
  <w:style w:type="character" w:styleId="Refdenotaalpie">
    <w:name w:val="footnote reference"/>
    <w:basedOn w:val="Fuentedeprrafopredeter"/>
    <w:uiPriority w:val="99"/>
    <w:unhideWhenUsed/>
    <w:rPr>
      <w:vertAlign w:val="superscript"/>
    </w:rPr>
  </w:style>
  <w:style w:type="table" w:styleId="Tablaconcuadrcula">
    <w:name w:val="Table Grid"/>
    <w:basedOn w:val="Tablanormal"/>
    <w:uiPriority w:val="3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paragraph" w:styleId="Sinespaciado">
    <w:name w:val="No Spacing"/>
    <w:link w:val="SinespaciadoCar"/>
    <w:uiPriority w:val="1"/>
    <w:qFormat/>
    <w:pPr>
      <w:spacing w:after="0" w:line="240" w:lineRule="auto"/>
    </w:pPr>
  </w:style>
  <w:style w:type="character" w:customStyle="1" w:styleId="SinespaciadoCar">
    <w:name w:val="Sin espaciado Car"/>
    <w:basedOn w:val="Fuentedeprrafopredeter"/>
    <w:link w:val="Sinespaciado"/>
    <w:uiPriority w:val="1"/>
  </w:style>
  <w:style w:type="paragraph" w:styleId="TtuloTDC">
    <w:name w:val="TOC Heading"/>
    <w:basedOn w:val="Ttulo1"/>
    <w:next w:val="Normal"/>
    <w:uiPriority w:val="39"/>
    <w:unhideWhenUsed/>
    <w:qFormat/>
    <w:pPr>
      <w:outlineLvl w:val="9"/>
    </w:pPr>
    <w:rPr>
      <w:lang w:eastAsia="es-EC"/>
    </w:rPr>
  </w:style>
  <w:style w:type="paragraph" w:styleId="TDC2">
    <w:name w:val="toc 2"/>
    <w:basedOn w:val="Normal"/>
    <w:next w:val="Normal"/>
    <w:autoRedefine/>
    <w:uiPriority w:val="39"/>
    <w:unhideWhenUsed/>
    <w:pPr>
      <w:spacing w:after="100"/>
      <w:ind w:left="220"/>
    </w:pPr>
  </w:style>
  <w:style w:type="character" w:styleId="Hipervnculo">
    <w:name w:val="Hyperlink"/>
    <w:basedOn w:val="Fuentedeprrafopredeter"/>
    <w:uiPriority w:val="99"/>
    <w:unhideWhenUsed/>
    <w:rPr>
      <w:color w:val="0563C1" w:themeColor="hyperlink"/>
      <w:u w:val="single"/>
    </w:rPr>
  </w:style>
  <w:style w:type="paragraph" w:styleId="TDC1">
    <w:name w:val="toc 1"/>
    <w:basedOn w:val="Normal"/>
    <w:next w:val="Normal"/>
    <w:autoRedefine/>
    <w:uiPriority w:val="39"/>
    <w:unhideWhenUsed/>
    <w:pPr>
      <w:spacing w:after="100"/>
    </w:pPr>
    <w:rPr>
      <w:rFonts w:eastAsiaTheme="minorEastAsia" w:cs="Times New Roman"/>
      <w:lang w:eastAsia="es-EC"/>
    </w:rPr>
  </w:style>
  <w:style w:type="paragraph" w:styleId="TDC3">
    <w:name w:val="toc 3"/>
    <w:basedOn w:val="Normal"/>
    <w:next w:val="Normal"/>
    <w:autoRedefine/>
    <w:uiPriority w:val="39"/>
    <w:unhideWhenUsed/>
    <w:pPr>
      <w:spacing w:after="100"/>
      <w:ind w:left="440"/>
    </w:pPr>
    <w:rPr>
      <w:rFonts w:eastAsiaTheme="minorEastAsia" w:cs="Times New Roman"/>
      <w:lang w:eastAsia="es-EC"/>
    </w:rPr>
  </w:style>
  <w:style w:type="character" w:styleId="Hipervnculovisitado">
    <w:name w:val="FollowedHyperlink"/>
    <w:basedOn w:val="Fuentedeprrafopredeter"/>
    <w:uiPriority w:val="99"/>
    <w:semiHidden/>
    <w:unhideWhenUsed/>
    <w:rPr>
      <w:color w:val="800080"/>
      <w:u w:val="singl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608">
    <w:name w:val="xl7608"/>
    <w:basedOn w:val="Normal"/>
    <w:pP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609">
    <w:name w:val="xl7609"/>
    <w:basedOn w:val="Normal"/>
    <w:pPr>
      <w:shd w:val="clear" w:color="000000" w:fill="FFFFFF"/>
      <w:spacing w:before="100" w:beforeAutospacing="1" w:after="100" w:afterAutospacing="1" w:line="240" w:lineRule="auto"/>
    </w:pPr>
    <w:rPr>
      <w:rFonts w:ascii="Times New Roman" w:eastAsia="Times New Roman" w:hAnsi="Times New Roman" w:cs="Times New Roman"/>
      <w:b/>
      <w:bCs/>
      <w:color w:val="E26B0A"/>
      <w:sz w:val="24"/>
      <w:szCs w:val="24"/>
      <w:lang w:eastAsia="es-EC"/>
    </w:rPr>
  </w:style>
  <w:style w:type="paragraph" w:customStyle="1" w:styleId="xl7610">
    <w:name w:val="xl7610"/>
    <w:basedOn w:val="Normal"/>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611">
    <w:name w:val="xl7611"/>
    <w:basedOn w:val="Normal"/>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7612">
    <w:name w:val="xl7612"/>
    <w:basedOn w:val="Normal"/>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7613">
    <w:name w:val="xl7613"/>
    <w:basedOn w:val="Normal"/>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614">
    <w:name w:val="xl7614"/>
    <w:basedOn w:val="Normal"/>
    <w:pPr>
      <w:shd w:val="clear" w:color="000000" w:fill="FFFFFF"/>
      <w:spacing w:before="100" w:beforeAutospacing="1" w:after="100" w:afterAutospacing="1" w:line="240" w:lineRule="auto"/>
      <w:ind w:firstLineChars="100" w:firstLine="100"/>
    </w:pPr>
    <w:rPr>
      <w:rFonts w:ascii="Times New Roman" w:eastAsia="Times New Roman" w:hAnsi="Times New Roman" w:cs="Times New Roman"/>
      <w:sz w:val="24"/>
      <w:szCs w:val="24"/>
      <w:lang w:eastAsia="es-EC"/>
    </w:rPr>
  </w:style>
  <w:style w:type="paragraph" w:customStyle="1" w:styleId="xl7615">
    <w:name w:val="xl7615"/>
    <w:basedOn w:val="Normal"/>
    <w:pPr>
      <w:shd w:val="clear" w:color="000000" w:fill="FFFFFF"/>
      <w:spacing w:before="100" w:beforeAutospacing="1" w:after="100" w:afterAutospacing="1" w:line="240" w:lineRule="auto"/>
    </w:pPr>
    <w:rPr>
      <w:rFonts w:ascii="Times New Roman" w:eastAsia="Times New Roman" w:hAnsi="Times New Roman" w:cs="Times New Roman"/>
      <w:color w:val="404040"/>
      <w:sz w:val="24"/>
      <w:szCs w:val="24"/>
      <w:lang w:eastAsia="es-EC"/>
    </w:rPr>
  </w:style>
  <w:style w:type="paragraph" w:customStyle="1" w:styleId="xl7616">
    <w:name w:val="xl7616"/>
    <w:basedOn w:val="Normal"/>
    <w:pPr>
      <w:shd w:val="clear" w:color="000000" w:fill="FFFFFF"/>
      <w:spacing w:before="100" w:beforeAutospacing="1" w:after="100" w:afterAutospacing="1" w:line="240" w:lineRule="auto"/>
      <w:ind w:firstLineChars="300" w:firstLine="300"/>
    </w:pPr>
    <w:rPr>
      <w:rFonts w:ascii="Times New Roman" w:eastAsia="Times New Roman" w:hAnsi="Times New Roman" w:cs="Times New Roman"/>
      <w:sz w:val="24"/>
      <w:szCs w:val="24"/>
      <w:lang w:eastAsia="es-EC"/>
    </w:rPr>
  </w:style>
  <w:style w:type="paragraph" w:customStyle="1" w:styleId="xl7617">
    <w:name w:val="xl7617"/>
    <w:basedOn w:val="Normal"/>
    <w:pPr>
      <w:shd w:val="clear" w:color="000000" w:fill="FFFFFF"/>
      <w:spacing w:before="100" w:beforeAutospacing="1" w:after="100" w:afterAutospacing="1" w:line="240" w:lineRule="auto"/>
    </w:pPr>
    <w:rPr>
      <w:rFonts w:ascii="Times New Roman" w:eastAsia="Times New Roman" w:hAnsi="Times New Roman" w:cs="Times New Roman"/>
      <w:i/>
      <w:iCs/>
      <w:color w:val="404040"/>
      <w:sz w:val="24"/>
      <w:szCs w:val="24"/>
      <w:lang w:eastAsia="es-EC"/>
    </w:rPr>
  </w:style>
  <w:style w:type="paragraph" w:customStyle="1" w:styleId="xl7618">
    <w:name w:val="xl7618"/>
    <w:basedOn w:val="Normal"/>
    <w:pPr>
      <w:shd w:val="clear" w:color="000000" w:fill="FFFFFF"/>
      <w:spacing w:before="100" w:beforeAutospacing="1" w:after="100" w:afterAutospacing="1" w:line="240" w:lineRule="auto"/>
    </w:pPr>
    <w:rPr>
      <w:rFonts w:ascii="Times New Roman" w:eastAsia="Times New Roman" w:hAnsi="Times New Roman" w:cs="Times New Roman"/>
      <w:b/>
      <w:bCs/>
      <w:color w:val="E26B0A"/>
      <w:sz w:val="24"/>
      <w:szCs w:val="24"/>
      <w:lang w:eastAsia="es-EC"/>
    </w:rPr>
  </w:style>
  <w:style w:type="paragraph" w:customStyle="1" w:styleId="xl7619">
    <w:name w:val="xl7619"/>
    <w:basedOn w:val="Normal"/>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620">
    <w:name w:val="xl7620"/>
    <w:basedOn w:val="Normal"/>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7621">
    <w:name w:val="xl7621"/>
    <w:basedOn w:val="Normal"/>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7622">
    <w:name w:val="xl762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7623">
    <w:name w:val="xl76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es-EC"/>
    </w:rPr>
  </w:style>
  <w:style w:type="paragraph" w:customStyle="1" w:styleId="xl7624">
    <w:name w:val="xl762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es-EC"/>
    </w:rPr>
  </w:style>
  <w:style w:type="paragraph" w:customStyle="1" w:styleId="xl7625">
    <w:name w:val="xl762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i/>
      <w:iCs/>
      <w:sz w:val="20"/>
      <w:szCs w:val="20"/>
      <w:lang w:eastAsia="es-EC"/>
    </w:rPr>
  </w:style>
  <w:style w:type="paragraph" w:customStyle="1" w:styleId="xl7626">
    <w:name w:val="xl762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es-EC"/>
    </w:rPr>
  </w:style>
  <w:style w:type="paragraph" w:customStyle="1" w:styleId="xl7627">
    <w:name w:val="xl762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es-EC"/>
    </w:rPr>
  </w:style>
  <w:style w:type="paragraph" w:customStyle="1" w:styleId="xl7628">
    <w:name w:val="xl762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i/>
      <w:iCs/>
      <w:sz w:val="20"/>
      <w:szCs w:val="20"/>
      <w:lang w:eastAsia="es-EC"/>
    </w:rPr>
  </w:style>
  <w:style w:type="character" w:customStyle="1" w:styleId="normaltextrun">
    <w:name w:val="normaltextrun"/>
    <w:basedOn w:val="Fuentedeprrafopredeter"/>
  </w:style>
  <w:style w:type="character" w:customStyle="1" w:styleId="Ninguno">
    <w:name w:val="Ninguno"/>
  </w:style>
  <w:style w:type="paragraph" w:styleId="Textoindependiente">
    <w:name w:val="Body Text"/>
    <w:basedOn w:val="Normal"/>
    <w:link w:val="TextoindependienteCar"/>
    <w:pPr>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rPr>
      <w:rFonts w:ascii="Times New Roman" w:eastAsia="Times New Roman" w:hAnsi="Times New Roman" w:cs="Times New Roman"/>
      <w:sz w:val="24"/>
      <w:szCs w:val="24"/>
    </w:rPr>
  </w:style>
  <w:style w:type="paragraph" w:styleId="Revisin">
    <w:name w:val="Revision"/>
    <w:hidden/>
    <w:uiPriority w:val="99"/>
    <w:semiHidden/>
    <w:pPr>
      <w:spacing w:after="0" w:line="240" w:lineRule="auto"/>
    </w:p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pPr>
      <w:pBdr>
        <w:top w:val="single" w:sz="8" w:space="0" w:color="auto"/>
        <w:left w:val="single" w:sz="8" w:space="14"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val="en-US"/>
    </w:rPr>
  </w:style>
  <w:style w:type="paragraph" w:customStyle="1" w:styleId="xl68">
    <w:name w:val="xl68"/>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pPr>
      <w:pBdr>
        <w:top w:val="single" w:sz="4" w:space="0" w:color="auto"/>
        <w:left w:val="single" w:sz="8" w:space="14"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val="en-US"/>
    </w:rPr>
  </w:style>
  <w:style w:type="paragraph" w:customStyle="1" w:styleId="xl71">
    <w:name w:val="xl71"/>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pPr>
      <w:pBdr>
        <w:top w:val="single" w:sz="4" w:space="0" w:color="auto"/>
        <w:left w:val="single" w:sz="8" w:space="14" w:color="auto"/>
        <w:bottom w:val="single" w:sz="8"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val="en-US"/>
    </w:rPr>
  </w:style>
  <w:style w:type="paragraph" w:customStyle="1" w:styleId="xl73">
    <w:name w:val="xl73"/>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8">
    <w:name w:val="xl78"/>
    <w:basedOn w:val="Normal"/>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9">
    <w:name w:val="xl79"/>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80">
    <w:name w:val="xl80"/>
    <w:basedOn w:val="Normal"/>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lang w:val="en-US"/>
    </w:rPr>
  </w:style>
  <w:style w:type="paragraph" w:customStyle="1" w:styleId="xl81">
    <w:name w:val="xl81"/>
    <w:basedOn w:val="Normal"/>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val="en-US"/>
    </w:rPr>
  </w:style>
  <w:style w:type="paragraph" w:customStyle="1" w:styleId="xl82">
    <w:name w:val="xl82"/>
    <w:basedOn w:val="Normal"/>
    <w:pPr>
      <w:spacing w:before="100" w:beforeAutospacing="1" w:after="100" w:afterAutospacing="1" w:line="240" w:lineRule="auto"/>
    </w:pPr>
    <w:rPr>
      <w:rFonts w:ascii="Times New Roman" w:eastAsia="Times New Roman" w:hAnsi="Times New Roman" w:cs="Times New Roman"/>
      <w:b/>
      <w:bCs/>
      <w:color w:val="FF6600"/>
      <w:sz w:val="24"/>
      <w:szCs w:val="24"/>
      <w:lang w:val="en-US"/>
    </w:rPr>
  </w:style>
  <w:style w:type="paragraph" w:customStyle="1" w:styleId="xl83">
    <w:name w:val="xl83"/>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4">
    <w:name w:val="xl84"/>
    <w:basedOn w:val="Normal"/>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5">
    <w:name w:val="xl85"/>
    <w:basedOn w:val="Normal"/>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9">
    <w:name w:val="xl89"/>
    <w:basedOn w:val="Normal"/>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0">
    <w:name w:val="xl90"/>
    <w:basedOn w:val="Normal"/>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lang w:val="en-US"/>
    </w:rPr>
  </w:style>
  <w:style w:type="paragraph" w:customStyle="1" w:styleId="xl91">
    <w:name w:val="xl91"/>
    <w:basedOn w:val="Normal"/>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92">
    <w:name w:val="xl92"/>
    <w:basedOn w:val="Normal"/>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93">
    <w:name w:val="xl93"/>
    <w:basedOn w:val="Normal"/>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94">
    <w:name w:val="xl94"/>
    <w:basedOn w:val="Normal"/>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val="en-US"/>
    </w:rPr>
  </w:style>
  <w:style w:type="paragraph" w:customStyle="1" w:styleId="xl95">
    <w:name w:val="xl95"/>
    <w:basedOn w:val="Normal"/>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val="en-US"/>
    </w:rPr>
  </w:style>
  <w:style w:type="paragraph" w:customStyle="1" w:styleId="xl96">
    <w:name w:val="xl96"/>
    <w:basedOn w:val="Normal"/>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val="en-US"/>
    </w:rPr>
  </w:style>
  <w:style w:type="paragraph" w:customStyle="1" w:styleId="xl97">
    <w:name w:val="xl97"/>
    <w:basedOn w:val="Normal"/>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n-US"/>
    </w:rPr>
  </w:style>
  <w:style w:type="paragraph" w:customStyle="1" w:styleId="xl98">
    <w:name w:val="xl98"/>
    <w:basedOn w:val="Normal"/>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100">
    <w:name w:val="xl100"/>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101">
    <w:name w:val="xl101"/>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102">
    <w:name w:val="xl102"/>
    <w:basedOn w:val="Normal"/>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103">
    <w:name w:val="xl103"/>
    <w:basedOn w:val="Normal"/>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5">
    <w:name w:val="xl105"/>
    <w:basedOn w:val="Normal"/>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val="en-US"/>
    </w:rPr>
  </w:style>
  <w:style w:type="paragraph" w:customStyle="1" w:styleId="xl106">
    <w:name w:val="xl106"/>
    <w:basedOn w:val="Normal"/>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107">
    <w:name w:val="xl107"/>
    <w:basedOn w:val="Normal"/>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108">
    <w:name w:val="xl108"/>
    <w:basedOn w:val="Normal"/>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109">
    <w:name w:val="xl109"/>
    <w:basedOn w:val="Normal"/>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0">
    <w:name w:val="xl110"/>
    <w:basedOn w:val="Normal"/>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n-US"/>
    </w:rPr>
  </w:style>
  <w:style w:type="paragraph" w:customStyle="1" w:styleId="xl111">
    <w:name w:val="xl111"/>
    <w:basedOn w:val="Normal"/>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lang w:val="en-US"/>
    </w:rPr>
  </w:style>
  <w:style w:type="paragraph" w:customStyle="1" w:styleId="xl112">
    <w:name w:val="xl112"/>
    <w:basedOn w:val="Normal"/>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113">
    <w:name w:val="xl113"/>
    <w:basedOn w:val="Normal"/>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4">
    <w:name w:val="xl114"/>
    <w:basedOn w:val="Normal"/>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15">
    <w:name w:val="xl115"/>
    <w:basedOn w:val="Normal"/>
    <w:pPr>
      <w:pBdr>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16">
    <w:name w:val="xl116"/>
    <w:basedOn w:val="Normal"/>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17">
    <w:name w:val="xl117"/>
    <w:basedOn w:val="Normal"/>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18">
    <w:name w:val="xl118"/>
    <w:basedOn w:val="Normal"/>
    <w:pPr>
      <w:pBdr>
        <w:left w:val="single" w:sz="8" w:space="0" w:color="auto"/>
      </w:pBdr>
      <w:spacing w:before="100" w:beforeAutospacing="1" w:after="100" w:afterAutospacing="1" w:line="240" w:lineRule="auto"/>
    </w:pPr>
    <w:rPr>
      <w:rFonts w:ascii="Times New Roman" w:eastAsia="Times New Roman" w:hAnsi="Times New Roman" w:cs="Times New Roman"/>
      <w:b/>
      <w:bCs/>
      <w:color w:val="FF6600"/>
      <w:sz w:val="24"/>
      <w:szCs w:val="24"/>
      <w:lang w:val="en-US"/>
    </w:rPr>
  </w:style>
  <w:style w:type="paragraph" w:customStyle="1" w:styleId="xl119">
    <w:name w:val="xl119"/>
    <w:basedOn w:val="Normal"/>
    <w:pPr>
      <w:pBdr>
        <w:right w:val="single" w:sz="8" w:space="0" w:color="auto"/>
      </w:pBdr>
      <w:spacing w:before="100" w:beforeAutospacing="1" w:after="100" w:afterAutospacing="1" w:line="240" w:lineRule="auto"/>
    </w:pPr>
    <w:rPr>
      <w:rFonts w:ascii="Times New Roman" w:eastAsia="Times New Roman" w:hAnsi="Times New Roman" w:cs="Times New Roman"/>
      <w:b/>
      <w:bCs/>
      <w:color w:val="FF6600"/>
      <w:sz w:val="24"/>
      <w:szCs w:val="24"/>
      <w:lang w:val="en-US"/>
    </w:rPr>
  </w:style>
  <w:style w:type="paragraph" w:customStyle="1" w:styleId="xl120">
    <w:name w:val="xl120"/>
    <w:basedOn w:val="Normal"/>
    <w:pPr>
      <w:pBdr>
        <w:lef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122">
    <w:name w:val="xl122"/>
    <w:basedOn w:val="Normal"/>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3">
    <w:name w:val="xl123"/>
    <w:basedOn w:val="Normal"/>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4">
    <w:name w:val="xl124"/>
    <w:basedOn w:val="Normal"/>
    <w:pPr>
      <w:pBdr>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25">
    <w:name w:val="xl125"/>
    <w:basedOn w:val="Normal"/>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FF6600"/>
      <w:sz w:val="24"/>
      <w:szCs w:val="24"/>
      <w:lang w:val="en-US"/>
    </w:rPr>
  </w:style>
  <w:style w:type="paragraph" w:customStyle="1" w:styleId="xl126">
    <w:name w:val="xl126"/>
    <w:basedOn w:val="Normal"/>
    <w:pPr>
      <w:pBdr>
        <w:bottom w:val="single" w:sz="8" w:space="0" w:color="auto"/>
      </w:pBdr>
      <w:spacing w:before="100" w:beforeAutospacing="1" w:after="100" w:afterAutospacing="1" w:line="240" w:lineRule="auto"/>
    </w:pPr>
    <w:rPr>
      <w:rFonts w:ascii="Times New Roman" w:eastAsia="Times New Roman" w:hAnsi="Times New Roman" w:cs="Times New Roman"/>
      <w:b/>
      <w:bCs/>
      <w:color w:val="FF6600"/>
      <w:sz w:val="24"/>
      <w:szCs w:val="24"/>
      <w:lang w:val="en-US"/>
    </w:rPr>
  </w:style>
  <w:style w:type="paragraph" w:customStyle="1" w:styleId="xl127">
    <w:name w:val="xl127"/>
    <w:basedOn w:val="Normal"/>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FF6600"/>
      <w:sz w:val="24"/>
      <w:szCs w:val="24"/>
      <w:lang w:val="en-US"/>
    </w:rPr>
  </w:style>
  <w:style w:type="paragraph" w:customStyle="1" w:styleId="xl121">
    <w:name w:val="xl121"/>
    <w:basedOn w:val="Normal"/>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8">
    <w:name w:val="xl128"/>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9">
    <w:name w:val="xl129"/>
    <w:basedOn w:val="Normal"/>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0">
    <w:name w:val="xl130"/>
    <w:basedOn w:val="Normal"/>
    <w:pPr>
      <w:pBdr>
        <w:bottom w:val="single" w:sz="8" w:space="0" w:color="auto"/>
      </w:pBdr>
      <w:spacing w:before="100" w:beforeAutospacing="1" w:after="100" w:afterAutospacing="1" w:line="240" w:lineRule="auto"/>
    </w:pPr>
    <w:rPr>
      <w:rFonts w:ascii="Times New Roman" w:eastAsia="Times New Roman" w:hAnsi="Times New Roman" w:cs="Times New Roman"/>
      <w:b/>
      <w:bCs/>
      <w:color w:val="FF6600"/>
      <w:sz w:val="24"/>
      <w:szCs w:val="24"/>
      <w:lang w:val="en-US"/>
    </w:rPr>
  </w:style>
  <w:style w:type="paragraph" w:customStyle="1" w:styleId="xl131">
    <w:name w:val="xl131"/>
    <w:basedOn w:val="Normal"/>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FF6600"/>
      <w:sz w:val="24"/>
      <w:szCs w:val="24"/>
      <w:lang w:val="en-US"/>
    </w:rPr>
  </w:style>
  <w:style w:type="paragraph" w:customStyle="1" w:styleId="xl132">
    <w:name w:val="xl132"/>
    <w:basedOn w:val="Normal"/>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33">
    <w:name w:val="xl133"/>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adecuadrcula4-nfasis11">
    <w:name w:val="Tabla de cuadrícula 4 - Énfasis 11"/>
    <w:basedOn w:val="Tabla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sinformato">
    <w:name w:val="Plain Text"/>
    <w:basedOn w:val="Normal"/>
    <w:link w:val="TextosinformatoCar"/>
    <w:uiPriority w:val="99"/>
    <w:unhideWhenUsed/>
    <w:pPr>
      <w:spacing w:after="0" w:line="240" w:lineRule="auto"/>
      <w:jc w:val="both"/>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Pr>
      <w:rFonts w:ascii="Consolas" w:eastAsia="Calibri" w:hAnsi="Consolas" w:cs="Times New Roman"/>
      <w:sz w:val="21"/>
      <w:szCs w:val="21"/>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9417">
      <w:bodyDiv w:val="1"/>
      <w:marLeft w:val="0"/>
      <w:marRight w:val="0"/>
      <w:marTop w:val="0"/>
      <w:marBottom w:val="0"/>
      <w:divBdr>
        <w:top w:val="none" w:sz="0" w:space="0" w:color="auto"/>
        <w:left w:val="none" w:sz="0" w:space="0" w:color="auto"/>
        <w:bottom w:val="none" w:sz="0" w:space="0" w:color="auto"/>
        <w:right w:val="none" w:sz="0" w:space="0" w:color="auto"/>
      </w:divBdr>
    </w:div>
    <w:div w:id="30737790">
      <w:bodyDiv w:val="1"/>
      <w:marLeft w:val="0"/>
      <w:marRight w:val="0"/>
      <w:marTop w:val="0"/>
      <w:marBottom w:val="0"/>
      <w:divBdr>
        <w:top w:val="none" w:sz="0" w:space="0" w:color="auto"/>
        <w:left w:val="none" w:sz="0" w:space="0" w:color="auto"/>
        <w:bottom w:val="none" w:sz="0" w:space="0" w:color="auto"/>
        <w:right w:val="none" w:sz="0" w:space="0" w:color="auto"/>
      </w:divBdr>
    </w:div>
    <w:div w:id="33699410">
      <w:bodyDiv w:val="1"/>
      <w:marLeft w:val="0"/>
      <w:marRight w:val="0"/>
      <w:marTop w:val="0"/>
      <w:marBottom w:val="0"/>
      <w:divBdr>
        <w:top w:val="none" w:sz="0" w:space="0" w:color="auto"/>
        <w:left w:val="none" w:sz="0" w:space="0" w:color="auto"/>
        <w:bottom w:val="none" w:sz="0" w:space="0" w:color="auto"/>
        <w:right w:val="none" w:sz="0" w:space="0" w:color="auto"/>
      </w:divBdr>
    </w:div>
    <w:div w:id="43991307">
      <w:bodyDiv w:val="1"/>
      <w:marLeft w:val="0"/>
      <w:marRight w:val="0"/>
      <w:marTop w:val="0"/>
      <w:marBottom w:val="0"/>
      <w:divBdr>
        <w:top w:val="none" w:sz="0" w:space="0" w:color="auto"/>
        <w:left w:val="none" w:sz="0" w:space="0" w:color="auto"/>
        <w:bottom w:val="none" w:sz="0" w:space="0" w:color="auto"/>
        <w:right w:val="none" w:sz="0" w:space="0" w:color="auto"/>
      </w:divBdr>
    </w:div>
    <w:div w:id="65539819">
      <w:bodyDiv w:val="1"/>
      <w:marLeft w:val="0"/>
      <w:marRight w:val="0"/>
      <w:marTop w:val="0"/>
      <w:marBottom w:val="0"/>
      <w:divBdr>
        <w:top w:val="none" w:sz="0" w:space="0" w:color="auto"/>
        <w:left w:val="none" w:sz="0" w:space="0" w:color="auto"/>
        <w:bottom w:val="none" w:sz="0" w:space="0" w:color="auto"/>
        <w:right w:val="none" w:sz="0" w:space="0" w:color="auto"/>
      </w:divBdr>
    </w:div>
    <w:div w:id="68038100">
      <w:bodyDiv w:val="1"/>
      <w:marLeft w:val="0"/>
      <w:marRight w:val="0"/>
      <w:marTop w:val="0"/>
      <w:marBottom w:val="0"/>
      <w:divBdr>
        <w:top w:val="none" w:sz="0" w:space="0" w:color="auto"/>
        <w:left w:val="none" w:sz="0" w:space="0" w:color="auto"/>
        <w:bottom w:val="none" w:sz="0" w:space="0" w:color="auto"/>
        <w:right w:val="none" w:sz="0" w:space="0" w:color="auto"/>
      </w:divBdr>
    </w:div>
    <w:div w:id="85464327">
      <w:bodyDiv w:val="1"/>
      <w:marLeft w:val="0"/>
      <w:marRight w:val="0"/>
      <w:marTop w:val="0"/>
      <w:marBottom w:val="0"/>
      <w:divBdr>
        <w:top w:val="none" w:sz="0" w:space="0" w:color="auto"/>
        <w:left w:val="none" w:sz="0" w:space="0" w:color="auto"/>
        <w:bottom w:val="none" w:sz="0" w:space="0" w:color="auto"/>
        <w:right w:val="none" w:sz="0" w:space="0" w:color="auto"/>
      </w:divBdr>
    </w:div>
    <w:div w:id="89009625">
      <w:bodyDiv w:val="1"/>
      <w:marLeft w:val="0"/>
      <w:marRight w:val="0"/>
      <w:marTop w:val="0"/>
      <w:marBottom w:val="0"/>
      <w:divBdr>
        <w:top w:val="none" w:sz="0" w:space="0" w:color="auto"/>
        <w:left w:val="none" w:sz="0" w:space="0" w:color="auto"/>
        <w:bottom w:val="none" w:sz="0" w:space="0" w:color="auto"/>
        <w:right w:val="none" w:sz="0" w:space="0" w:color="auto"/>
      </w:divBdr>
    </w:div>
    <w:div w:id="96869134">
      <w:bodyDiv w:val="1"/>
      <w:marLeft w:val="0"/>
      <w:marRight w:val="0"/>
      <w:marTop w:val="0"/>
      <w:marBottom w:val="0"/>
      <w:divBdr>
        <w:top w:val="none" w:sz="0" w:space="0" w:color="auto"/>
        <w:left w:val="none" w:sz="0" w:space="0" w:color="auto"/>
        <w:bottom w:val="none" w:sz="0" w:space="0" w:color="auto"/>
        <w:right w:val="none" w:sz="0" w:space="0" w:color="auto"/>
      </w:divBdr>
    </w:div>
    <w:div w:id="98842632">
      <w:bodyDiv w:val="1"/>
      <w:marLeft w:val="0"/>
      <w:marRight w:val="0"/>
      <w:marTop w:val="0"/>
      <w:marBottom w:val="0"/>
      <w:divBdr>
        <w:top w:val="none" w:sz="0" w:space="0" w:color="auto"/>
        <w:left w:val="none" w:sz="0" w:space="0" w:color="auto"/>
        <w:bottom w:val="none" w:sz="0" w:space="0" w:color="auto"/>
        <w:right w:val="none" w:sz="0" w:space="0" w:color="auto"/>
      </w:divBdr>
    </w:div>
    <w:div w:id="99842624">
      <w:bodyDiv w:val="1"/>
      <w:marLeft w:val="0"/>
      <w:marRight w:val="0"/>
      <w:marTop w:val="0"/>
      <w:marBottom w:val="0"/>
      <w:divBdr>
        <w:top w:val="none" w:sz="0" w:space="0" w:color="auto"/>
        <w:left w:val="none" w:sz="0" w:space="0" w:color="auto"/>
        <w:bottom w:val="none" w:sz="0" w:space="0" w:color="auto"/>
        <w:right w:val="none" w:sz="0" w:space="0" w:color="auto"/>
      </w:divBdr>
    </w:div>
    <w:div w:id="103234471">
      <w:bodyDiv w:val="1"/>
      <w:marLeft w:val="0"/>
      <w:marRight w:val="0"/>
      <w:marTop w:val="0"/>
      <w:marBottom w:val="0"/>
      <w:divBdr>
        <w:top w:val="none" w:sz="0" w:space="0" w:color="auto"/>
        <w:left w:val="none" w:sz="0" w:space="0" w:color="auto"/>
        <w:bottom w:val="none" w:sz="0" w:space="0" w:color="auto"/>
        <w:right w:val="none" w:sz="0" w:space="0" w:color="auto"/>
      </w:divBdr>
    </w:div>
    <w:div w:id="116073558">
      <w:bodyDiv w:val="1"/>
      <w:marLeft w:val="0"/>
      <w:marRight w:val="0"/>
      <w:marTop w:val="0"/>
      <w:marBottom w:val="0"/>
      <w:divBdr>
        <w:top w:val="none" w:sz="0" w:space="0" w:color="auto"/>
        <w:left w:val="none" w:sz="0" w:space="0" w:color="auto"/>
        <w:bottom w:val="none" w:sz="0" w:space="0" w:color="auto"/>
        <w:right w:val="none" w:sz="0" w:space="0" w:color="auto"/>
      </w:divBdr>
    </w:div>
    <w:div w:id="121122165">
      <w:bodyDiv w:val="1"/>
      <w:marLeft w:val="0"/>
      <w:marRight w:val="0"/>
      <w:marTop w:val="0"/>
      <w:marBottom w:val="0"/>
      <w:divBdr>
        <w:top w:val="none" w:sz="0" w:space="0" w:color="auto"/>
        <w:left w:val="none" w:sz="0" w:space="0" w:color="auto"/>
        <w:bottom w:val="none" w:sz="0" w:space="0" w:color="auto"/>
        <w:right w:val="none" w:sz="0" w:space="0" w:color="auto"/>
      </w:divBdr>
    </w:div>
    <w:div w:id="123744096">
      <w:bodyDiv w:val="1"/>
      <w:marLeft w:val="0"/>
      <w:marRight w:val="0"/>
      <w:marTop w:val="0"/>
      <w:marBottom w:val="0"/>
      <w:divBdr>
        <w:top w:val="none" w:sz="0" w:space="0" w:color="auto"/>
        <w:left w:val="none" w:sz="0" w:space="0" w:color="auto"/>
        <w:bottom w:val="none" w:sz="0" w:space="0" w:color="auto"/>
        <w:right w:val="none" w:sz="0" w:space="0" w:color="auto"/>
      </w:divBdr>
    </w:div>
    <w:div w:id="130250043">
      <w:bodyDiv w:val="1"/>
      <w:marLeft w:val="0"/>
      <w:marRight w:val="0"/>
      <w:marTop w:val="0"/>
      <w:marBottom w:val="0"/>
      <w:divBdr>
        <w:top w:val="none" w:sz="0" w:space="0" w:color="auto"/>
        <w:left w:val="none" w:sz="0" w:space="0" w:color="auto"/>
        <w:bottom w:val="none" w:sz="0" w:space="0" w:color="auto"/>
        <w:right w:val="none" w:sz="0" w:space="0" w:color="auto"/>
      </w:divBdr>
    </w:div>
    <w:div w:id="134375111">
      <w:bodyDiv w:val="1"/>
      <w:marLeft w:val="0"/>
      <w:marRight w:val="0"/>
      <w:marTop w:val="0"/>
      <w:marBottom w:val="0"/>
      <w:divBdr>
        <w:top w:val="none" w:sz="0" w:space="0" w:color="auto"/>
        <w:left w:val="none" w:sz="0" w:space="0" w:color="auto"/>
        <w:bottom w:val="none" w:sz="0" w:space="0" w:color="auto"/>
        <w:right w:val="none" w:sz="0" w:space="0" w:color="auto"/>
      </w:divBdr>
    </w:div>
    <w:div w:id="137694482">
      <w:bodyDiv w:val="1"/>
      <w:marLeft w:val="0"/>
      <w:marRight w:val="0"/>
      <w:marTop w:val="0"/>
      <w:marBottom w:val="0"/>
      <w:divBdr>
        <w:top w:val="none" w:sz="0" w:space="0" w:color="auto"/>
        <w:left w:val="none" w:sz="0" w:space="0" w:color="auto"/>
        <w:bottom w:val="none" w:sz="0" w:space="0" w:color="auto"/>
        <w:right w:val="none" w:sz="0" w:space="0" w:color="auto"/>
      </w:divBdr>
    </w:div>
    <w:div w:id="141774204">
      <w:bodyDiv w:val="1"/>
      <w:marLeft w:val="0"/>
      <w:marRight w:val="0"/>
      <w:marTop w:val="0"/>
      <w:marBottom w:val="0"/>
      <w:divBdr>
        <w:top w:val="none" w:sz="0" w:space="0" w:color="auto"/>
        <w:left w:val="none" w:sz="0" w:space="0" w:color="auto"/>
        <w:bottom w:val="none" w:sz="0" w:space="0" w:color="auto"/>
        <w:right w:val="none" w:sz="0" w:space="0" w:color="auto"/>
      </w:divBdr>
    </w:div>
    <w:div w:id="146828965">
      <w:bodyDiv w:val="1"/>
      <w:marLeft w:val="0"/>
      <w:marRight w:val="0"/>
      <w:marTop w:val="0"/>
      <w:marBottom w:val="0"/>
      <w:divBdr>
        <w:top w:val="none" w:sz="0" w:space="0" w:color="auto"/>
        <w:left w:val="none" w:sz="0" w:space="0" w:color="auto"/>
        <w:bottom w:val="none" w:sz="0" w:space="0" w:color="auto"/>
        <w:right w:val="none" w:sz="0" w:space="0" w:color="auto"/>
      </w:divBdr>
    </w:div>
    <w:div w:id="185602906">
      <w:bodyDiv w:val="1"/>
      <w:marLeft w:val="0"/>
      <w:marRight w:val="0"/>
      <w:marTop w:val="0"/>
      <w:marBottom w:val="0"/>
      <w:divBdr>
        <w:top w:val="none" w:sz="0" w:space="0" w:color="auto"/>
        <w:left w:val="none" w:sz="0" w:space="0" w:color="auto"/>
        <w:bottom w:val="none" w:sz="0" w:space="0" w:color="auto"/>
        <w:right w:val="none" w:sz="0" w:space="0" w:color="auto"/>
      </w:divBdr>
    </w:div>
    <w:div w:id="186480110">
      <w:bodyDiv w:val="1"/>
      <w:marLeft w:val="0"/>
      <w:marRight w:val="0"/>
      <w:marTop w:val="0"/>
      <w:marBottom w:val="0"/>
      <w:divBdr>
        <w:top w:val="none" w:sz="0" w:space="0" w:color="auto"/>
        <w:left w:val="none" w:sz="0" w:space="0" w:color="auto"/>
        <w:bottom w:val="none" w:sz="0" w:space="0" w:color="auto"/>
        <w:right w:val="none" w:sz="0" w:space="0" w:color="auto"/>
      </w:divBdr>
    </w:div>
    <w:div w:id="206382257">
      <w:bodyDiv w:val="1"/>
      <w:marLeft w:val="0"/>
      <w:marRight w:val="0"/>
      <w:marTop w:val="0"/>
      <w:marBottom w:val="0"/>
      <w:divBdr>
        <w:top w:val="none" w:sz="0" w:space="0" w:color="auto"/>
        <w:left w:val="none" w:sz="0" w:space="0" w:color="auto"/>
        <w:bottom w:val="none" w:sz="0" w:space="0" w:color="auto"/>
        <w:right w:val="none" w:sz="0" w:space="0" w:color="auto"/>
      </w:divBdr>
      <w:divsChild>
        <w:div w:id="1333142731">
          <w:marLeft w:val="547"/>
          <w:marRight w:val="0"/>
          <w:marTop w:val="0"/>
          <w:marBottom w:val="0"/>
          <w:divBdr>
            <w:top w:val="none" w:sz="0" w:space="0" w:color="auto"/>
            <w:left w:val="none" w:sz="0" w:space="0" w:color="auto"/>
            <w:bottom w:val="none" w:sz="0" w:space="0" w:color="auto"/>
            <w:right w:val="none" w:sz="0" w:space="0" w:color="auto"/>
          </w:divBdr>
        </w:div>
      </w:divsChild>
    </w:div>
    <w:div w:id="211776519">
      <w:bodyDiv w:val="1"/>
      <w:marLeft w:val="0"/>
      <w:marRight w:val="0"/>
      <w:marTop w:val="0"/>
      <w:marBottom w:val="0"/>
      <w:divBdr>
        <w:top w:val="none" w:sz="0" w:space="0" w:color="auto"/>
        <w:left w:val="none" w:sz="0" w:space="0" w:color="auto"/>
        <w:bottom w:val="none" w:sz="0" w:space="0" w:color="auto"/>
        <w:right w:val="none" w:sz="0" w:space="0" w:color="auto"/>
      </w:divBdr>
    </w:div>
    <w:div w:id="214507556">
      <w:bodyDiv w:val="1"/>
      <w:marLeft w:val="0"/>
      <w:marRight w:val="0"/>
      <w:marTop w:val="0"/>
      <w:marBottom w:val="0"/>
      <w:divBdr>
        <w:top w:val="none" w:sz="0" w:space="0" w:color="auto"/>
        <w:left w:val="none" w:sz="0" w:space="0" w:color="auto"/>
        <w:bottom w:val="none" w:sz="0" w:space="0" w:color="auto"/>
        <w:right w:val="none" w:sz="0" w:space="0" w:color="auto"/>
      </w:divBdr>
    </w:div>
    <w:div w:id="214660405">
      <w:bodyDiv w:val="1"/>
      <w:marLeft w:val="0"/>
      <w:marRight w:val="0"/>
      <w:marTop w:val="0"/>
      <w:marBottom w:val="0"/>
      <w:divBdr>
        <w:top w:val="none" w:sz="0" w:space="0" w:color="auto"/>
        <w:left w:val="none" w:sz="0" w:space="0" w:color="auto"/>
        <w:bottom w:val="none" w:sz="0" w:space="0" w:color="auto"/>
        <w:right w:val="none" w:sz="0" w:space="0" w:color="auto"/>
      </w:divBdr>
    </w:div>
    <w:div w:id="235944796">
      <w:bodyDiv w:val="1"/>
      <w:marLeft w:val="0"/>
      <w:marRight w:val="0"/>
      <w:marTop w:val="0"/>
      <w:marBottom w:val="0"/>
      <w:divBdr>
        <w:top w:val="none" w:sz="0" w:space="0" w:color="auto"/>
        <w:left w:val="none" w:sz="0" w:space="0" w:color="auto"/>
        <w:bottom w:val="none" w:sz="0" w:space="0" w:color="auto"/>
        <w:right w:val="none" w:sz="0" w:space="0" w:color="auto"/>
      </w:divBdr>
    </w:div>
    <w:div w:id="241525338">
      <w:bodyDiv w:val="1"/>
      <w:marLeft w:val="0"/>
      <w:marRight w:val="0"/>
      <w:marTop w:val="0"/>
      <w:marBottom w:val="0"/>
      <w:divBdr>
        <w:top w:val="none" w:sz="0" w:space="0" w:color="auto"/>
        <w:left w:val="none" w:sz="0" w:space="0" w:color="auto"/>
        <w:bottom w:val="none" w:sz="0" w:space="0" w:color="auto"/>
        <w:right w:val="none" w:sz="0" w:space="0" w:color="auto"/>
      </w:divBdr>
    </w:div>
    <w:div w:id="246966390">
      <w:bodyDiv w:val="1"/>
      <w:marLeft w:val="0"/>
      <w:marRight w:val="0"/>
      <w:marTop w:val="0"/>
      <w:marBottom w:val="0"/>
      <w:divBdr>
        <w:top w:val="none" w:sz="0" w:space="0" w:color="auto"/>
        <w:left w:val="none" w:sz="0" w:space="0" w:color="auto"/>
        <w:bottom w:val="none" w:sz="0" w:space="0" w:color="auto"/>
        <w:right w:val="none" w:sz="0" w:space="0" w:color="auto"/>
      </w:divBdr>
    </w:div>
    <w:div w:id="248006486">
      <w:bodyDiv w:val="1"/>
      <w:marLeft w:val="0"/>
      <w:marRight w:val="0"/>
      <w:marTop w:val="0"/>
      <w:marBottom w:val="0"/>
      <w:divBdr>
        <w:top w:val="none" w:sz="0" w:space="0" w:color="auto"/>
        <w:left w:val="none" w:sz="0" w:space="0" w:color="auto"/>
        <w:bottom w:val="none" w:sz="0" w:space="0" w:color="auto"/>
        <w:right w:val="none" w:sz="0" w:space="0" w:color="auto"/>
      </w:divBdr>
    </w:div>
    <w:div w:id="253516024">
      <w:bodyDiv w:val="1"/>
      <w:marLeft w:val="0"/>
      <w:marRight w:val="0"/>
      <w:marTop w:val="0"/>
      <w:marBottom w:val="0"/>
      <w:divBdr>
        <w:top w:val="none" w:sz="0" w:space="0" w:color="auto"/>
        <w:left w:val="none" w:sz="0" w:space="0" w:color="auto"/>
        <w:bottom w:val="none" w:sz="0" w:space="0" w:color="auto"/>
        <w:right w:val="none" w:sz="0" w:space="0" w:color="auto"/>
      </w:divBdr>
    </w:div>
    <w:div w:id="263345890">
      <w:bodyDiv w:val="1"/>
      <w:marLeft w:val="0"/>
      <w:marRight w:val="0"/>
      <w:marTop w:val="0"/>
      <w:marBottom w:val="0"/>
      <w:divBdr>
        <w:top w:val="none" w:sz="0" w:space="0" w:color="auto"/>
        <w:left w:val="none" w:sz="0" w:space="0" w:color="auto"/>
        <w:bottom w:val="none" w:sz="0" w:space="0" w:color="auto"/>
        <w:right w:val="none" w:sz="0" w:space="0" w:color="auto"/>
      </w:divBdr>
    </w:div>
    <w:div w:id="263733895">
      <w:bodyDiv w:val="1"/>
      <w:marLeft w:val="0"/>
      <w:marRight w:val="0"/>
      <w:marTop w:val="0"/>
      <w:marBottom w:val="0"/>
      <w:divBdr>
        <w:top w:val="none" w:sz="0" w:space="0" w:color="auto"/>
        <w:left w:val="none" w:sz="0" w:space="0" w:color="auto"/>
        <w:bottom w:val="none" w:sz="0" w:space="0" w:color="auto"/>
        <w:right w:val="none" w:sz="0" w:space="0" w:color="auto"/>
      </w:divBdr>
    </w:div>
    <w:div w:id="266275036">
      <w:bodyDiv w:val="1"/>
      <w:marLeft w:val="0"/>
      <w:marRight w:val="0"/>
      <w:marTop w:val="0"/>
      <w:marBottom w:val="0"/>
      <w:divBdr>
        <w:top w:val="none" w:sz="0" w:space="0" w:color="auto"/>
        <w:left w:val="none" w:sz="0" w:space="0" w:color="auto"/>
        <w:bottom w:val="none" w:sz="0" w:space="0" w:color="auto"/>
        <w:right w:val="none" w:sz="0" w:space="0" w:color="auto"/>
      </w:divBdr>
    </w:div>
    <w:div w:id="268658165">
      <w:bodyDiv w:val="1"/>
      <w:marLeft w:val="0"/>
      <w:marRight w:val="0"/>
      <w:marTop w:val="0"/>
      <w:marBottom w:val="0"/>
      <w:divBdr>
        <w:top w:val="none" w:sz="0" w:space="0" w:color="auto"/>
        <w:left w:val="none" w:sz="0" w:space="0" w:color="auto"/>
        <w:bottom w:val="none" w:sz="0" w:space="0" w:color="auto"/>
        <w:right w:val="none" w:sz="0" w:space="0" w:color="auto"/>
      </w:divBdr>
    </w:div>
    <w:div w:id="281813535">
      <w:bodyDiv w:val="1"/>
      <w:marLeft w:val="0"/>
      <w:marRight w:val="0"/>
      <w:marTop w:val="0"/>
      <w:marBottom w:val="0"/>
      <w:divBdr>
        <w:top w:val="none" w:sz="0" w:space="0" w:color="auto"/>
        <w:left w:val="none" w:sz="0" w:space="0" w:color="auto"/>
        <w:bottom w:val="none" w:sz="0" w:space="0" w:color="auto"/>
        <w:right w:val="none" w:sz="0" w:space="0" w:color="auto"/>
      </w:divBdr>
    </w:div>
    <w:div w:id="284891583">
      <w:bodyDiv w:val="1"/>
      <w:marLeft w:val="0"/>
      <w:marRight w:val="0"/>
      <w:marTop w:val="0"/>
      <w:marBottom w:val="0"/>
      <w:divBdr>
        <w:top w:val="none" w:sz="0" w:space="0" w:color="auto"/>
        <w:left w:val="none" w:sz="0" w:space="0" w:color="auto"/>
        <w:bottom w:val="none" w:sz="0" w:space="0" w:color="auto"/>
        <w:right w:val="none" w:sz="0" w:space="0" w:color="auto"/>
      </w:divBdr>
    </w:div>
    <w:div w:id="298346860">
      <w:bodyDiv w:val="1"/>
      <w:marLeft w:val="0"/>
      <w:marRight w:val="0"/>
      <w:marTop w:val="0"/>
      <w:marBottom w:val="0"/>
      <w:divBdr>
        <w:top w:val="none" w:sz="0" w:space="0" w:color="auto"/>
        <w:left w:val="none" w:sz="0" w:space="0" w:color="auto"/>
        <w:bottom w:val="none" w:sz="0" w:space="0" w:color="auto"/>
        <w:right w:val="none" w:sz="0" w:space="0" w:color="auto"/>
      </w:divBdr>
    </w:div>
    <w:div w:id="303855225">
      <w:bodyDiv w:val="1"/>
      <w:marLeft w:val="0"/>
      <w:marRight w:val="0"/>
      <w:marTop w:val="0"/>
      <w:marBottom w:val="0"/>
      <w:divBdr>
        <w:top w:val="none" w:sz="0" w:space="0" w:color="auto"/>
        <w:left w:val="none" w:sz="0" w:space="0" w:color="auto"/>
        <w:bottom w:val="none" w:sz="0" w:space="0" w:color="auto"/>
        <w:right w:val="none" w:sz="0" w:space="0" w:color="auto"/>
      </w:divBdr>
    </w:div>
    <w:div w:id="305209469">
      <w:bodyDiv w:val="1"/>
      <w:marLeft w:val="0"/>
      <w:marRight w:val="0"/>
      <w:marTop w:val="0"/>
      <w:marBottom w:val="0"/>
      <w:divBdr>
        <w:top w:val="none" w:sz="0" w:space="0" w:color="auto"/>
        <w:left w:val="none" w:sz="0" w:space="0" w:color="auto"/>
        <w:bottom w:val="none" w:sz="0" w:space="0" w:color="auto"/>
        <w:right w:val="none" w:sz="0" w:space="0" w:color="auto"/>
      </w:divBdr>
    </w:div>
    <w:div w:id="315183963">
      <w:bodyDiv w:val="1"/>
      <w:marLeft w:val="0"/>
      <w:marRight w:val="0"/>
      <w:marTop w:val="0"/>
      <w:marBottom w:val="0"/>
      <w:divBdr>
        <w:top w:val="none" w:sz="0" w:space="0" w:color="auto"/>
        <w:left w:val="none" w:sz="0" w:space="0" w:color="auto"/>
        <w:bottom w:val="none" w:sz="0" w:space="0" w:color="auto"/>
        <w:right w:val="none" w:sz="0" w:space="0" w:color="auto"/>
      </w:divBdr>
    </w:div>
    <w:div w:id="328170869">
      <w:bodyDiv w:val="1"/>
      <w:marLeft w:val="0"/>
      <w:marRight w:val="0"/>
      <w:marTop w:val="0"/>
      <w:marBottom w:val="0"/>
      <w:divBdr>
        <w:top w:val="none" w:sz="0" w:space="0" w:color="auto"/>
        <w:left w:val="none" w:sz="0" w:space="0" w:color="auto"/>
        <w:bottom w:val="none" w:sz="0" w:space="0" w:color="auto"/>
        <w:right w:val="none" w:sz="0" w:space="0" w:color="auto"/>
      </w:divBdr>
    </w:div>
    <w:div w:id="328483775">
      <w:bodyDiv w:val="1"/>
      <w:marLeft w:val="0"/>
      <w:marRight w:val="0"/>
      <w:marTop w:val="0"/>
      <w:marBottom w:val="0"/>
      <w:divBdr>
        <w:top w:val="none" w:sz="0" w:space="0" w:color="auto"/>
        <w:left w:val="none" w:sz="0" w:space="0" w:color="auto"/>
        <w:bottom w:val="none" w:sz="0" w:space="0" w:color="auto"/>
        <w:right w:val="none" w:sz="0" w:space="0" w:color="auto"/>
      </w:divBdr>
    </w:div>
    <w:div w:id="336352684">
      <w:bodyDiv w:val="1"/>
      <w:marLeft w:val="0"/>
      <w:marRight w:val="0"/>
      <w:marTop w:val="0"/>
      <w:marBottom w:val="0"/>
      <w:divBdr>
        <w:top w:val="none" w:sz="0" w:space="0" w:color="auto"/>
        <w:left w:val="none" w:sz="0" w:space="0" w:color="auto"/>
        <w:bottom w:val="none" w:sz="0" w:space="0" w:color="auto"/>
        <w:right w:val="none" w:sz="0" w:space="0" w:color="auto"/>
      </w:divBdr>
    </w:div>
    <w:div w:id="353002919">
      <w:bodyDiv w:val="1"/>
      <w:marLeft w:val="0"/>
      <w:marRight w:val="0"/>
      <w:marTop w:val="0"/>
      <w:marBottom w:val="0"/>
      <w:divBdr>
        <w:top w:val="none" w:sz="0" w:space="0" w:color="auto"/>
        <w:left w:val="none" w:sz="0" w:space="0" w:color="auto"/>
        <w:bottom w:val="none" w:sz="0" w:space="0" w:color="auto"/>
        <w:right w:val="none" w:sz="0" w:space="0" w:color="auto"/>
      </w:divBdr>
    </w:div>
    <w:div w:id="354959843">
      <w:bodyDiv w:val="1"/>
      <w:marLeft w:val="0"/>
      <w:marRight w:val="0"/>
      <w:marTop w:val="0"/>
      <w:marBottom w:val="0"/>
      <w:divBdr>
        <w:top w:val="none" w:sz="0" w:space="0" w:color="auto"/>
        <w:left w:val="none" w:sz="0" w:space="0" w:color="auto"/>
        <w:bottom w:val="none" w:sz="0" w:space="0" w:color="auto"/>
        <w:right w:val="none" w:sz="0" w:space="0" w:color="auto"/>
      </w:divBdr>
    </w:div>
    <w:div w:id="358704019">
      <w:bodyDiv w:val="1"/>
      <w:marLeft w:val="0"/>
      <w:marRight w:val="0"/>
      <w:marTop w:val="0"/>
      <w:marBottom w:val="0"/>
      <w:divBdr>
        <w:top w:val="none" w:sz="0" w:space="0" w:color="auto"/>
        <w:left w:val="none" w:sz="0" w:space="0" w:color="auto"/>
        <w:bottom w:val="none" w:sz="0" w:space="0" w:color="auto"/>
        <w:right w:val="none" w:sz="0" w:space="0" w:color="auto"/>
      </w:divBdr>
    </w:div>
    <w:div w:id="368726317">
      <w:bodyDiv w:val="1"/>
      <w:marLeft w:val="0"/>
      <w:marRight w:val="0"/>
      <w:marTop w:val="0"/>
      <w:marBottom w:val="0"/>
      <w:divBdr>
        <w:top w:val="none" w:sz="0" w:space="0" w:color="auto"/>
        <w:left w:val="none" w:sz="0" w:space="0" w:color="auto"/>
        <w:bottom w:val="none" w:sz="0" w:space="0" w:color="auto"/>
        <w:right w:val="none" w:sz="0" w:space="0" w:color="auto"/>
      </w:divBdr>
    </w:div>
    <w:div w:id="375085332">
      <w:bodyDiv w:val="1"/>
      <w:marLeft w:val="0"/>
      <w:marRight w:val="0"/>
      <w:marTop w:val="0"/>
      <w:marBottom w:val="0"/>
      <w:divBdr>
        <w:top w:val="none" w:sz="0" w:space="0" w:color="auto"/>
        <w:left w:val="none" w:sz="0" w:space="0" w:color="auto"/>
        <w:bottom w:val="none" w:sz="0" w:space="0" w:color="auto"/>
        <w:right w:val="none" w:sz="0" w:space="0" w:color="auto"/>
      </w:divBdr>
    </w:div>
    <w:div w:id="377246998">
      <w:bodyDiv w:val="1"/>
      <w:marLeft w:val="0"/>
      <w:marRight w:val="0"/>
      <w:marTop w:val="0"/>
      <w:marBottom w:val="0"/>
      <w:divBdr>
        <w:top w:val="none" w:sz="0" w:space="0" w:color="auto"/>
        <w:left w:val="none" w:sz="0" w:space="0" w:color="auto"/>
        <w:bottom w:val="none" w:sz="0" w:space="0" w:color="auto"/>
        <w:right w:val="none" w:sz="0" w:space="0" w:color="auto"/>
      </w:divBdr>
    </w:div>
    <w:div w:id="386799561">
      <w:bodyDiv w:val="1"/>
      <w:marLeft w:val="0"/>
      <w:marRight w:val="0"/>
      <w:marTop w:val="0"/>
      <w:marBottom w:val="0"/>
      <w:divBdr>
        <w:top w:val="none" w:sz="0" w:space="0" w:color="auto"/>
        <w:left w:val="none" w:sz="0" w:space="0" w:color="auto"/>
        <w:bottom w:val="none" w:sz="0" w:space="0" w:color="auto"/>
        <w:right w:val="none" w:sz="0" w:space="0" w:color="auto"/>
      </w:divBdr>
    </w:div>
    <w:div w:id="403377561">
      <w:bodyDiv w:val="1"/>
      <w:marLeft w:val="0"/>
      <w:marRight w:val="0"/>
      <w:marTop w:val="0"/>
      <w:marBottom w:val="0"/>
      <w:divBdr>
        <w:top w:val="none" w:sz="0" w:space="0" w:color="auto"/>
        <w:left w:val="none" w:sz="0" w:space="0" w:color="auto"/>
        <w:bottom w:val="none" w:sz="0" w:space="0" w:color="auto"/>
        <w:right w:val="none" w:sz="0" w:space="0" w:color="auto"/>
      </w:divBdr>
    </w:div>
    <w:div w:id="404450265">
      <w:bodyDiv w:val="1"/>
      <w:marLeft w:val="0"/>
      <w:marRight w:val="0"/>
      <w:marTop w:val="0"/>
      <w:marBottom w:val="0"/>
      <w:divBdr>
        <w:top w:val="none" w:sz="0" w:space="0" w:color="auto"/>
        <w:left w:val="none" w:sz="0" w:space="0" w:color="auto"/>
        <w:bottom w:val="none" w:sz="0" w:space="0" w:color="auto"/>
        <w:right w:val="none" w:sz="0" w:space="0" w:color="auto"/>
      </w:divBdr>
    </w:div>
    <w:div w:id="408236790">
      <w:bodyDiv w:val="1"/>
      <w:marLeft w:val="0"/>
      <w:marRight w:val="0"/>
      <w:marTop w:val="0"/>
      <w:marBottom w:val="0"/>
      <w:divBdr>
        <w:top w:val="none" w:sz="0" w:space="0" w:color="auto"/>
        <w:left w:val="none" w:sz="0" w:space="0" w:color="auto"/>
        <w:bottom w:val="none" w:sz="0" w:space="0" w:color="auto"/>
        <w:right w:val="none" w:sz="0" w:space="0" w:color="auto"/>
      </w:divBdr>
    </w:div>
    <w:div w:id="413666055">
      <w:bodyDiv w:val="1"/>
      <w:marLeft w:val="0"/>
      <w:marRight w:val="0"/>
      <w:marTop w:val="0"/>
      <w:marBottom w:val="0"/>
      <w:divBdr>
        <w:top w:val="none" w:sz="0" w:space="0" w:color="auto"/>
        <w:left w:val="none" w:sz="0" w:space="0" w:color="auto"/>
        <w:bottom w:val="none" w:sz="0" w:space="0" w:color="auto"/>
        <w:right w:val="none" w:sz="0" w:space="0" w:color="auto"/>
      </w:divBdr>
    </w:div>
    <w:div w:id="430928963">
      <w:bodyDiv w:val="1"/>
      <w:marLeft w:val="0"/>
      <w:marRight w:val="0"/>
      <w:marTop w:val="0"/>
      <w:marBottom w:val="0"/>
      <w:divBdr>
        <w:top w:val="none" w:sz="0" w:space="0" w:color="auto"/>
        <w:left w:val="none" w:sz="0" w:space="0" w:color="auto"/>
        <w:bottom w:val="none" w:sz="0" w:space="0" w:color="auto"/>
        <w:right w:val="none" w:sz="0" w:space="0" w:color="auto"/>
      </w:divBdr>
    </w:div>
    <w:div w:id="433939463">
      <w:bodyDiv w:val="1"/>
      <w:marLeft w:val="0"/>
      <w:marRight w:val="0"/>
      <w:marTop w:val="0"/>
      <w:marBottom w:val="0"/>
      <w:divBdr>
        <w:top w:val="none" w:sz="0" w:space="0" w:color="auto"/>
        <w:left w:val="none" w:sz="0" w:space="0" w:color="auto"/>
        <w:bottom w:val="none" w:sz="0" w:space="0" w:color="auto"/>
        <w:right w:val="none" w:sz="0" w:space="0" w:color="auto"/>
      </w:divBdr>
    </w:div>
    <w:div w:id="435827738">
      <w:bodyDiv w:val="1"/>
      <w:marLeft w:val="0"/>
      <w:marRight w:val="0"/>
      <w:marTop w:val="0"/>
      <w:marBottom w:val="0"/>
      <w:divBdr>
        <w:top w:val="none" w:sz="0" w:space="0" w:color="auto"/>
        <w:left w:val="none" w:sz="0" w:space="0" w:color="auto"/>
        <w:bottom w:val="none" w:sz="0" w:space="0" w:color="auto"/>
        <w:right w:val="none" w:sz="0" w:space="0" w:color="auto"/>
      </w:divBdr>
    </w:div>
    <w:div w:id="437992886">
      <w:bodyDiv w:val="1"/>
      <w:marLeft w:val="0"/>
      <w:marRight w:val="0"/>
      <w:marTop w:val="0"/>
      <w:marBottom w:val="0"/>
      <w:divBdr>
        <w:top w:val="none" w:sz="0" w:space="0" w:color="auto"/>
        <w:left w:val="none" w:sz="0" w:space="0" w:color="auto"/>
        <w:bottom w:val="none" w:sz="0" w:space="0" w:color="auto"/>
        <w:right w:val="none" w:sz="0" w:space="0" w:color="auto"/>
      </w:divBdr>
    </w:div>
    <w:div w:id="448090661">
      <w:bodyDiv w:val="1"/>
      <w:marLeft w:val="0"/>
      <w:marRight w:val="0"/>
      <w:marTop w:val="0"/>
      <w:marBottom w:val="0"/>
      <w:divBdr>
        <w:top w:val="none" w:sz="0" w:space="0" w:color="auto"/>
        <w:left w:val="none" w:sz="0" w:space="0" w:color="auto"/>
        <w:bottom w:val="none" w:sz="0" w:space="0" w:color="auto"/>
        <w:right w:val="none" w:sz="0" w:space="0" w:color="auto"/>
      </w:divBdr>
    </w:div>
    <w:div w:id="464472754">
      <w:bodyDiv w:val="1"/>
      <w:marLeft w:val="0"/>
      <w:marRight w:val="0"/>
      <w:marTop w:val="0"/>
      <w:marBottom w:val="0"/>
      <w:divBdr>
        <w:top w:val="none" w:sz="0" w:space="0" w:color="auto"/>
        <w:left w:val="none" w:sz="0" w:space="0" w:color="auto"/>
        <w:bottom w:val="none" w:sz="0" w:space="0" w:color="auto"/>
        <w:right w:val="none" w:sz="0" w:space="0" w:color="auto"/>
      </w:divBdr>
    </w:div>
    <w:div w:id="473958851">
      <w:bodyDiv w:val="1"/>
      <w:marLeft w:val="0"/>
      <w:marRight w:val="0"/>
      <w:marTop w:val="0"/>
      <w:marBottom w:val="0"/>
      <w:divBdr>
        <w:top w:val="none" w:sz="0" w:space="0" w:color="auto"/>
        <w:left w:val="none" w:sz="0" w:space="0" w:color="auto"/>
        <w:bottom w:val="none" w:sz="0" w:space="0" w:color="auto"/>
        <w:right w:val="none" w:sz="0" w:space="0" w:color="auto"/>
      </w:divBdr>
    </w:div>
    <w:div w:id="477527884">
      <w:bodyDiv w:val="1"/>
      <w:marLeft w:val="0"/>
      <w:marRight w:val="0"/>
      <w:marTop w:val="0"/>
      <w:marBottom w:val="0"/>
      <w:divBdr>
        <w:top w:val="none" w:sz="0" w:space="0" w:color="auto"/>
        <w:left w:val="none" w:sz="0" w:space="0" w:color="auto"/>
        <w:bottom w:val="none" w:sz="0" w:space="0" w:color="auto"/>
        <w:right w:val="none" w:sz="0" w:space="0" w:color="auto"/>
      </w:divBdr>
    </w:div>
    <w:div w:id="479007713">
      <w:bodyDiv w:val="1"/>
      <w:marLeft w:val="0"/>
      <w:marRight w:val="0"/>
      <w:marTop w:val="0"/>
      <w:marBottom w:val="0"/>
      <w:divBdr>
        <w:top w:val="none" w:sz="0" w:space="0" w:color="auto"/>
        <w:left w:val="none" w:sz="0" w:space="0" w:color="auto"/>
        <w:bottom w:val="none" w:sz="0" w:space="0" w:color="auto"/>
        <w:right w:val="none" w:sz="0" w:space="0" w:color="auto"/>
      </w:divBdr>
    </w:div>
    <w:div w:id="487670580">
      <w:bodyDiv w:val="1"/>
      <w:marLeft w:val="0"/>
      <w:marRight w:val="0"/>
      <w:marTop w:val="0"/>
      <w:marBottom w:val="0"/>
      <w:divBdr>
        <w:top w:val="none" w:sz="0" w:space="0" w:color="auto"/>
        <w:left w:val="none" w:sz="0" w:space="0" w:color="auto"/>
        <w:bottom w:val="none" w:sz="0" w:space="0" w:color="auto"/>
        <w:right w:val="none" w:sz="0" w:space="0" w:color="auto"/>
      </w:divBdr>
    </w:div>
    <w:div w:id="493379843">
      <w:bodyDiv w:val="1"/>
      <w:marLeft w:val="0"/>
      <w:marRight w:val="0"/>
      <w:marTop w:val="0"/>
      <w:marBottom w:val="0"/>
      <w:divBdr>
        <w:top w:val="none" w:sz="0" w:space="0" w:color="auto"/>
        <w:left w:val="none" w:sz="0" w:space="0" w:color="auto"/>
        <w:bottom w:val="none" w:sz="0" w:space="0" w:color="auto"/>
        <w:right w:val="none" w:sz="0" w:space="0" w:color="auto"/>
      </w:divBdr>
    </w:div>
    <w:div w:id="495075311">
      <w:bodyDiv w:val="1"/>
      <w:marLeft w:val="0"/>
      <w:marRight w:val="0"/>
      <w:marTop w:val="0"/>
      <w:marBottom w:val="0"/>
      <w:divBdr>
        <w:top w:val="none" w:sz="0" w:space="0" w:color="auto"/>
        <w:left w:val="none" w:sz="0" w:space="0" w:color="auto"/>
        <w:bottom w:val="none" w:sz="0" w:space="0" w:color="auto"/>
        <w:right w:val="none" w:sz="0" w:space="0" w:color="auto"/>
      </w:divBdr>
    </w:div>
    <w:div w:id="497885170">
      <w:bodyDiv w:val="1"/>
      <w:marLeft w:val="0"/>
      <w:marRight w:val="0"/>
      <w:marTop w:val="0"/>
      <w:marBottom w:val="0"/>
      <w:divBdr>
        <w:top w:val="none" w:sz="0" w:space="0" w:color="auto"/>
        <w:left w:val="none" w:sz="0" w:space="0" w:color="auto"/>
        <w:bottom w:val="none" w:sz="0" w:space="0" w:color="auto"/>
        <w:right w:val="none" w:sz="0" w:space="0" w:color="auto"/>
      </w:divBdr>
    </w:div>
    <w:div w:id="498234321">
      <w:bodyDiv w:val="1"/>
      <w:marLeft w:val="0"/>
      <w:marRight w:val="0"/>
      <w:marTop w:val="0"/>
      <w:marBottom w:val="0"/>
      <w:divBdr>
        <w:top w:val="none" w:sz="0" w:space="0" w:color="auto"/>
        <w:left w:val="none" w:sz="0" w:space="0" w:color="auto"/>
        <w:bottom w:val="none" w:sz="0" w:space="0" w:color="auto"/>
        <w:right w:val="none" w:sz="0" w:space="0" w:color="auto"/>
      </w:divBdr>
    </w:div>
    <w:div w:id="498428781">
      <w:bodyDiv w:val="1"/>
      <w:marLeft w:val="0"/>
      <w:marRight w:val="0"/>
      <w:marTop w:val="0"/>
      <w:marBottom w:val="0"/>
      <w:divBdr>
        <w:top w:val="none" w:sz="0" w:space="0" w:color="auto"/>
        <w:left w:val="none" w:sz="0" w:space="0" w:color="auto"/>
        <w:bottom w:val="none" w:sz="0" w:space="0" w:color="auto"/>
        <w:right w:val="none" w:sz="0" w:space="0" w:color="auto"/>
      </w:divBdr>
    </w:div>
    <w:div w:id="505217629">
      <w:bodyDiv w:val="1"/>
      <w:marLeft w:val="0"/>
      <w:marRight w:val="0"/>
      <w:marTop w:val="0"/>
      <w:marBottom w:val="0"/>
      <w:divBdr>
        <w:top w:val="none" w:sz="0" w:space="0" w:color="auto"/>
        <w:left w:val="none" w:sz="0" w:space="0" w:color="auto"/>
        <w:bottom w:val="none" w:sz="0" w:space="0" w:color="auto"/>
        <w:right w:val="none" w:sz="0" w:space="0" w:color="auto"/>
      </w:divBdr>
    </w:div>
    <w:div w:id="507868788">
      <w:bodyDiv w:val="1"/>
      <w:marLeft w:val="0"/>
      <w:marRight w:val="0"/>
      <w:marTop w:val="0"/>
      <w:marBottom w:val="0"/>
      <w:divBdr>
        <w:top w:val="none" w:sz="0" w:space="0" w:color="auto"/>
        <w:left w:val="none" w:sz="0" w:space="0" w:color="auto"/>
        <w:bottom w:val="none" w:sz="0" w:space="0" w:color="auto"/>
        <w:right w:val="none" w:sz="0" w:space="0" w:color="auto"/>
      </w:divBdr>
    </w:div>
    <w:div w:id="507868847">
      <w:bodyDiv w:val="1"/>
      <w:marLeft w:val="0"/>
      <w:marRight w:val="0"/>
      <w:marTop w:val="0"/>
      <w:marBottom w:val="0"/>
      <w:divBdr>
        <w:top w:val="none" w:sz="0" w:space="0" w:color="auto"/>
        <w:left w:val="none" w:sz="0" w:space="0" w:color="auto"/>
        <w:bottom w:val="none" w:sz="0" w:space="0" w:color="auto"/>
        <w:right w:val="none" w:sz="0" w:space="0" w:color="auto"/>
      </w:divBdr>
    </w:div>
    <w:div w:id="507988905">
      <w:bodyDiv w:val="1"/>
      <w:marLeft w:val="0"/>
      <w:marRight w:val="0"/>
      <w:marTop w:val="0"/>
      <w:marBottom w:val="0"/>
      <w:divBdr>
        <w:top w:val="none" w:sz="0" w:space="0" w:color="auto"/>
        <w:left w:val="none" w:sz="0" w:space="0" w:color="auto"/>
        <w:bottom w:val="none" w:sz="0" w:space="0" w:color="auto"/>
        <w:right w:val="none" w:sz="0" w:space="0" w:color="auto"/>
      </w:divBdr>
    </w:div>
    <w:div w:id="511339973">
      <w:bodyDiv w:val="1"/>
      <w:marLeft w:val="0"/>
      <w:marRight w:val="0"/>
      <w:marTop w:val="0"/>
      <w:marBottom w:val="0"/>
      <w:divBdr>
        <w:top w:val="none" w:sz="0" w:space="0" w:color="auto"/>
        <w:left w:val="none" w:sz="0" w:space="0" w:color="auto"/>
        <w:bottom w:val="none" w:sz="0" w:space="0" w:color="auto"/>
        <w:right w:val="none" w:sz="0" w:space="0" w:color="auto"/>
      </w:divBdr>
    </w:div>
    <w:div w:id="516891543">
      <w:bodyDiv w:val="1"/>
      <w:marLeft w:val="0"/>
      <w:marRight w:val="0"/>
      <w:marTop w:val="0"/>
      <w:marBottom w:val="0"/>
      <w:divBdr>
        <w:top w:val="none" w:sz="0" w:space="0" w:color="auto"/>
        <w:left w:val="none" w:sz="0" w:space="0" w:color="auto"/>
        <w:bottom w:val="none" w:sz="0" w:space="0" w:color="auto"/>
        <w:right w:val="none" w:sz="0" w:space="0" w:color="auto"/>
      </w:divBdr>
    </w:div>
    <w:div w:id="527987799">
      <w:bodyDiv w:val="1"/>
      <w:marLeft w:val="0"/>
      <w:marRight w:val="0"/>
      <w:marTop w:val="0"/>
      <w:marBottom w:val="0"/>
      <w:divBdr>
        <w:top w:val="none" w:sz="0" w:space="0" w:color="auto"/>
        <w:left w:val="none" w:sz="0" w:space="0" w:color="auto"/>
        <w:bottom w:val="none" w:sz="0" w:space="0" w:color="auto"/>
        <w:right w:val="none" w:sz="0" w:space="0" w:color="auto"/>
      </w:divBdr>
    </w:div>
    <w:div w:id="535891799">
      <w:bodyDiv w:val="1"/>
      <w:marLeft w:val="0"/>
      <w:marRight w:val="0"/>
      <w:marTop w:val="0"/>
      <w:marBottom w:val="0"/>
      <w:divBdr>
        <w:top w:val="none" w:sz="0" w:space="0" w:color="auto"/>
        <w:left w:val="none" w:sz="0" w:space="0" w:color="auto"/>
        <w:bottom w:val="none" w:sz="0" w:space="0" w:color="auto"/>
        <w:right w:val="none" w:sz="0" w:space="0" w:color="auto"/>
      </w:divBdr>
    </w:div>
    <w:div w:id="554435325">
      <w:bodyDiv w:val="1"/>
      <w:marLeft w:val="0"/>
      <w:marRight w:val="0"/>
      <w:marTop w:val="0"/>
      <w:marBottom w:val="0"/>
      <w:divBdr>
        <w:top w:val="none" w:sz="0" w:space="0" w:color="auto"/>
        <w:left w:val="none" w:sz="0" w:space="0" w:color="auto"/>
        <w:bottom w:val="none" w:sz="0" w:space="0" w:color="auto"/>
        <w:right w:val="none" w:sz="0" w:space="0" w:color="auto"/>
      </w:divBdr>
    </w:div>
    <w:div w:id="555703635">
      <w:bodyDiv w:val="1"/>
      <w:marLeft w:val="0"/>
      <w:marRight w:val="0"/>
      <w:marTop w:val="0"/>
      <w:marBottom w:val="0"/>
      <w:divBdr>
        <w:top w:val="none" w:sz="0" w:space="0" w:color="auto"/>
        <w:left w:val="none" w:sz="0" w:space="0" w:color="auto"/>
        <w:bottom w:val="none" w:sz="0" w:space="0" w:color="auto"/>
        <w:right w:val="none" w:sz="0" w:space="0" w:color="auto"/>
      </w:divBdr>
    </w:div>
    <w:div w:id="556865193">
      <w:bodyDiv w:val="1"/>
      <w:marLeft w:val="0"/>
      <w:marRight w:val="0"/>
      <w:marTop w:val="0"/>
      <w:marBottom w:val="0"/>
      <w:divBdr>
        <w:top w:val="none" w:sz="0" w:space="0" w:color="auto"/>
        <w:left w:val="none" w:sz="0" w:space="0" w:color="auto"/>
        <w:bottom w:val="none" w:sz="0" w:space="0" w:color="auto"/>
        <w:right w:val="none" w:sz="0" w:space="0" w:color="auto"/>
      </w:divBdr>
    </w:div>
    <w:div w:id="573203492">
      <w:bodyDiv w:val="1"/>
      <w:marLeft w:val="0"/>
      <w:marRight w:val="0"/>
      <w:marTop w:val="0"/>
      <w:marBottom w:val="0"/>
      <w:divBdr>
        <w:top w:val="none" w:sz="0" w:space="0" w:color="auto"/>
        <w:left w:val="none" w:sz="0" w:space="0" w:color="auto"/>
        <w:bottom w:val="none" w:sz="0" w:space="0" w:color="auto"/>
        <w:right w:val="none" w:sz="0" w:space="0" w:color="auto"/>
      </w:divBdr>
    </w:div>
    <w:div w:id="574123424">
      <w:bodyDiv w:val="1"/>
      <w:marLeft w:val="0"/>
      <w:marRight w:val="0"/>
      <w:marTop w:val="0"/>
      <w:marBottom w:val="0"/>
      <w:divBdr>
        <w:top w:val="none" w:sz="0" w:space="0" w:color="auto"/>
        <w:left w:val="none" w:sz="0" w:space="0" w:color="auto"/>
        <w:bottom w:val="none" w:sz="0" w:space="0" w:color="auto"/>
        <w:right w:val="none" w:sz="0" w:space="0" w:color="auto"/>
      </w:divBdr>
    </w:div>
    <w:div w:id="577253947">
      <w:bodyDiv w:val="1"/>
      <w:marLeft w:val="0"/>
      <w:marRight w:val="0"/>
      <w:marTop w:val="0"/>
      <w:marBottom w:val="0"/>
      <w:divBdr>
        <w:top w:val="none" w:sz="0" w:space="0" w:color="auto"/>
        <w:left w:val="none" w:sz="0" w:space="0" w:color="auto"/>
        <w:bottom w:val="none" w:sz="0" w:space="0" w:color="auto"/>
        <w:right w:val="none" w:sz="0" w:space="0" w:color="auto"/>
      </w:divBdr>
    </w:div>
    <w:div w:id="578439646">
      <w:bodyDiv w:val="1"/>
      <w:marLeft w:val="0"/>
      <w:marRight w:val="0"/>
      <w:marTop w:val="0"/>
      <w:marBottom w:val="0"/>
      <w:divBdr>
        <w:top w:val="none" w:sz="0" w:space="0" w:color="auto"/>
        <w:left w:val="none" w:sz="0" w:space="0" w:color="auto"/>
        <w:bottom w:val="none" w:sz="0" w:space="0" w:color="auto"/>
        <w:right w:val="none" w:sz="0" w:space="0" w:color="auto"/>
      </w:divBdr>
    </w:div>
    <w:div w:id="592394611">
      <w:bodyDiv w:val="1"/>
      <w:marLeft w:val="0"/>
      <w:marRight w:val="0"/>
      <w:marTop w:val="0"/>
      <w:marBottom w:val="0"/>
      <w:divBdr>
        <w:top w:val="none" w:sz="0" w:space="0" w:color="auto"/>
        <w:left w:val="none" w:sz="0" w:space="0" w:color="auto"/>
        <w:bottom w:val="none" w:sz="0" w:space="0" w:color="auto"/>
        <w:right w:val="none" w:sz="0" w:space="0" w:color="auto"/>
      </w:divBdr>
    </w:div>
    <w:div w:id="595402094">
      <w:bodyDiv w:val="1"/>
      <w:marLeft w:val="0"/>
      <w:marRight w:val="0"/>
      <w:marTop w:val="0"/>
      <w:marBottom w:val="0"/>
      <w:divBdr>
        <w:top w:val="none" w:sz="0" w:space="0" w:color="auto"/>
        <w:left w:val="none" w:sz="0" w:space="0" w:color="auto"/>
        <w:bottom w:val="none" w:sz="0" w:space="0" w:color="auto"/>
        <w:right w:val="none" w:sz="0" w:space="0" w:color="auto"/>
      </w:divBdr>
    </w:div>
    <w:div w:id="598561161">
      <w:bodyDiv w:val="1"/>
      <w:marLeft w:val="0"/>
      <w:marRight w:val="0"/>
      <w:marTop w:val="0"/>
      <w:marBottom w:val="0"/>
      <w:divBdr>
        <w:top w:val="none" w:sz="0" w:space="0" w:color="auto"/>
        <w:left w:val="none" w:sz="0" w:space="0" w:color="auto"/>
        <w:bottom w:val="none" w:sz="0" w:space="0" w:color="auto"/>
        <w:right w:val="none" w:sz="0" w:space="0" w:color="auto"/>
      </w:divBdr>
    </w:div>
    <w:div w:id="604920956">
      <w:bodyDiv w:val="1"/>
      <w:marLeft w:val="0"/>
      <w:marRight w:val="0"/>
      <w:marTop w:val="0"/>
      <w:marBottom w:val="0"/>
      <w:divBdr>
        <w:top w:val="none" w:sz="0" w:space="0" w:color="auto"/>
        <w:left w:val="none" w:sz="0" w:space="0" w:color="auto"/>
        <w:bottom w:val="none" w:sz="0" w:space="0" w:color="auto"/>
        <w:right w:val="none" w:sz="0" w:space="0" w:color="auto"/>
      </w:divBdr>
    </w:div>
    <w:div w:id="609168521">
      <w:bodyDiv w:val="1"/>
      <w:marLeft w:val="0"/>
      <w:marRight w:val="0"/>
      <w:marTop w:val="0"/>
      <w:marBottom w:val="0"/>
      <w:divBdr>
        <w:top w:val="none" w:sz="0" w:space="0" w:color="auto"/>
        <w:left w:val="none" w:sz="0" w:space="0" w:color="auto"/>
        <w:bottom w:val="none" w:sz="0" w:space="0" w:color="auto"/>
        <w:right w:val="none" w:sz="0" w:space="0" w:color="auto"/>
      </w:divBdr>
    </w:div>
    <w:div w:id="613368247">
      <w:bodyDiv w:val="1"/>
      <w:marLeft w:val="0"/>
      <w:marRight w:val="0"/>
      <w:marTop w:val="0"/>
      <w:marBottom w:val="0"/>
      <w:divBdr>
        <w:top w:val="none" w:sz="0" w:space="0" w:color="auto"/>
        <w:left w:val="none" w:sz="0" w:space="0" w:color="auto"/>
        <w:bottom w:val="none" w:sz="0" w:space="0" w:color="auto"/>
        <w:right w:val="none" w:sz="0" w:space="0" w:color="auto"/>
      </w:divBdr>
    </w:div>
    <w:div w:id="615259325">
      <w:bodyDiv w:val="1"/>
      <w:marLeft w:val="0"/>
      <w:marRight w:val="0"/>
      <w:marTop w:val="0"/>
      <w:marBottom w:val="0"/>
      <w:divBdr>
        <w:top w:val="none" w:sz="0" w:space="0" w:color="auto"/>
        <w:left w:val="none" w:sz="0" w:space="0" w:color="auto"/>
        <w:bottom w:val="none" w:sz="0" w:space="0" w:color="auto"/>
        <w:right w:val="none" w:sz="0" w:space="0" w:color="auto"/>
      </w:divBdr>
    </w:div>
    <w:div w:id="627246806">
      <w:bodyDiv w:val="1"/>
      <w:marLeft w:val="0"/>
      <w:marRight w:val="0"/>
      <w:marTop w:val="0"/>
      <w:marBottom w:val="0"/>
      <w:divBdr>
        <w:top w:val="none" w:sz="0" w:space="0" w:color="auto"/>
        <w:left w:val="none" w:sz="0" w:space="0" w:color="auto"/>
        <w:bottom w:val="none" w:sz="0" w:space="0" w:color="auto"/>
        <w:right w:val="none" w:sz="0" w:space="0" w:color="auto"/>
      </w:divBdr>
    </w:div>
    <w:div w:id="656805272">
      <w:bodyDiv w:val="1"/>
      <w:marLeft w:val="0"/>
      <w:marRight w:val="0"/>
      <w:marTop w:val="0"/>
      <w:marBottom w:val="0"/>
      <w:divBdr>
        <w:top w:val="none" w:sz="0" w:space="0" w:color="auto"/>
        <w:left w:val="none" w:sz="0" w:space="0" w:color="auto"/>
        <w:bottom w:val="none" w:sz="0" w:space="0" w:color="auto"/>
        <w:right w:val="none" w:sz="0" w:space="0" w:color="auto"/>
      </w:divBdr>
    </w:div>
    <w:div w:id="658965714">
      <w:bodyDiv w:val="1"/>
      <w:marLeft w:val="0"/>
      <w:marRight w:val="0"/>
      <w:marTop w:val="0"/>
      <w:marBottom w:val="0"/>
      <w:divBdr>
        <w:top w:val="none" w:sz="0" w:space="0" w:color="auto"/>
        <w:left w:val="none" w:sz="0" w:space="0" w:color="auto"/>
        <w:bottom w:val="none" w:sz="0" w:space="0" w:color="auto"/>
        <w:right w:val="none" w:sz="0" w:space="0" w:color="auto"/>
      </w:divBdr>
    </w:div>
    <w:div w:id="662853059">
      <w:bodyDiv w:val="1"/>
      <w:marLeft w:val="0"/>
      <w:marRight w:val="0"/>
      <w:marTop w:val="0"/>
      <w:marBottom w:val="0"/>
      <w:divBdr>
        <w:top w:val="none" w:sz="0" w:space="0" w:color="auto"/>
        <w:left w:val="none" w:sz="0" w:space="0" w:color="auto"/>
        <w:bottom w:val="none" w:sz="0" w:space="0" w:color="auto"/>
        <w:right w:val="none" w:sz="0" w:space="0" w:color="auto"/>
      </w:divBdr>
    </w:div>
    <w:div w:id="671951014">
      <w:bodyDiv w:val="1"/>
      <w:marLeft w:val="0"/>
      <w:marRight w:val="0"/>
      <w:marTop w:val="0"/>
      <w:marBottom w:val="0"/>
      <w:divBdr>
        <w:top w:val="none" w:sz="0" w:space="0" w:color="auto"/>
        <w:left w:val="none" w:sz="0" w:space="0" w:color="auto"/>
        <w:bottom w:val="none" w:sz="0" w:space="0" w:color="auto"/>
        <w:right w:val="none" w:sz="0" w:space="0" w:color="auto"/>
      </w:divBdr>
    </w:div>
    <w:div w:id="677195956">
      <w:bodyDiv w:val="1"/>
      <w:marLeft w:val="0"/>
      <w:marRight w:val="0"/>
      <w:marTop w:val="0"/>
      <w:marBottom w:val="0"/>
      <w:divBdr>
        <w:top w:val="none" w:sz="0" w:space="0" w:color="auto"/>
        <w:left w:val="none" w:sz="0" w:space="0" w:color="auto"/>
        <w:bottom w:val="none" w:sz="0" w:space="0" w:color="auto"/>
        <w:right w:val="none" w:sz="0" w:space="0" w:color="auto"/>
      </w:divBdr>
    </w:div>
    <w:div w:id="678628792">
      <w:bodyDiv w:val="1"/>
      <w:marLeft w:val="0"/>
      <w:marRight w:val="0"/>
      <w:marTop w:val="0"/>
      <w:marBottom w:val="0"/>
      <w:divBdr>
        <w:top w:val="none" w:sz="0" w:space="0" w:color="auto"/>
        <w:left w:val="none" w:sz="0" w:space="0" w:color="auto"/>
        <w:bottom w:val="none" w:sz="0" w:space="0" w:color="auto"/>
        <w:right w:val="none" w:sz="0" w:space="0" w:color="auto"/>
      </w:divBdr>
    </w:div>
    <w:div w:id="681516817">
      <w:bodyDiv w:val="1"/>
      <w:marLeft w:val="0"/>
      <w:marRight w:val="0"/>
      <w:marTop w:val="0"/>
      <w:marBottom w:val="0"/>
      <w:divBdr>
        <w:top w:val="none" w:sz="0" w:space="0" w:color="auto"/>
        <w:left w:val="none" w:sz="0" w:space="0" w:color="auto"/>
        <w:bottom w:val="none" w:sz="0" w:space="0" w:color="auto"/>
        <w:right w:val="none" w:sz="0" w:space="0" w:color="auto"/>
      </w:divBdr>
    </w:div>
    <w:div w:id="682585092">
      <w:bodyDiv w:val="1"/>
      <w:marLeft w:val="0"/>
      <w:marRight w:val="0"/>
      <w:marTop w:val="0"/>
      <w:marBottom w:val="0"/>
      <w:divBdr>
        <w:top w:val="none" w:sz="0" w:space="0" w:color="auto"/>
        <w:left w:val="none" w:sz="0" w:space="0" w:color="auto"/>
        <w:bottom w:val="none" w:sz="0" w:space="0" w:color="auto"/>
        <w:right w:val="none" w:sz="0" w:space="0" w:color="auto"/>
      </w:divBdr>
    </w:div>
    <w:div w:id="689795166">
      <w:bodyDiv w:val="1"/>
      <w:marLeft w:val="0"/>
      <w:marRight w:val="0"/>
      <w:marTop w:val="0"/>
      <w:marBottom w:val="0"/>
      <w:divBdr>
        <w:top w:val="none" w:sz="0" w:space="0" w:color="auto"/>
        <w:left w:val="none" w:sz="0" w:space="0" w:color="auto"/>
        <w:bottom w:val="none" w:sz="0" w:space="0" w:color="auto"/>
        <w:right w:val="none" w:sz="0" w:space="0" w:color="auto"/>
      </w:divBdr>
    </w:div>
    <w:div w:id="708650441">
      <w:bodyDiv w:val="1"/>
      <w:marLeft w:val="0"/>
      <w:marRight w:val="0"/>
      <w:marTop w:val="0"/>
      <w:marBottom w:val="0"/>
      <w:divBdr>
        <w:top w:val="none" w:sz="0" w:space="0" w:color="auto"/>
        <w:left w:val="none" w:sz="0" w:space="0" w:color="auto"/>
        <w:bottom w:val="none" w:sz="0" w:space="0" w:color="auto"/>
        <w:right w:val="none" w:sz="0" w:space="0" w:color="auto"/>
      </w:divBdr>
    </w:div>
    <w:div w:id="721636874">
      <w:bodyDiv w:val="1"/>
      <w:marLeft w:val="0"/>
      <w:marRight w:val="0"/>
      <w:marTop w:val="0"/>
      <w:marBottom w:val="0"/>
      <w:divBdr>
        <w:top w:val="none" w:sz="0" w:space="0" w:color="auto"/>
        <w:left w:val="none" w:sz="0" w:space="0" w:color="auto"/>
        <w:bottom w:val="none" w:sz="0" w:space="0" w:color="auto"/>
        <w:right w:val="none" w:sz="0" w:space="0" w:color="auto"/>
      </w:divBdr>
    </w:div>
    <w:div w:id="725448095">
      <w:bodyDiv w:val="1"/>
      <w:marLeft w:val="0"/>
      <w:marRight w:val="0"/>
      <w:marTop w:val="0"/>
      <w:marBottom w:val="0"/>
      <w:divBdr>
        <w:top w:val="none" w:sz="0" w:space="0" w:color="auto"/>
        <w:left w:val="none" w:sz="0" w:space="0" w:color="auto"/>
        <w:bottom w:val="none" w:sz="0" w:space="0" w:color="auto"/>
        <w:right w:val="none" w:sz="0" w:space="0" w:color="auto"/>
      </w:divBdr>
    </w:div>
    <w:div w:id="728966459">
      <w:bodyDiv w:val="1"/>
      <w:marLeft w:val="0"/>
      <w:marRight w:val="0"/>
      <w:marTop w:val="0"/>
      <w:marBottom w:val="0"/>
      <w:divBdr>
        <w:top w:val="none" w:sz="0" w:space="0" w:color="auto"/>
        <w:left w:val="none" w:sz="0" w:space="0" w:color="auto"/>
        <w:bottom w:val="none" w:sz="0" w:space="0" w:color="auto"/>
        <w:right w:val="none" w:sz="0" w:space="0" w:color="auto"/>
      </w:divBdr>
    </w:div>
    <w:div w:id="736973306">
      <w:bodyDiv w:val="1"/>
      <w:marLeft w:val="0"/>
      <w:marRight w:val="0"/>
      <w:marTop w:val="0"/>
      <w:marBottom w:val="0"/>
      <w:divBdr>
        <w:top w:val="none" w:sz="0" w:space="0" w:color="auto"/>
        <w:left w:val="none" w:sz="0" w:space="0" w:color="auto"/>
        <w:bottom w:val="none" w:sz="0" w:space="0" w:color="auto"/>
        <w:right w:val="none" w:sz="0" w:space="0" w:color="auto"/>
      </w:divBdr>
    </w:div>
    <w:div w:id="743181488">
      <w:bodyDiv w:val="1"/>
      <w:marLeft w:val="0"/>
      <w:marRight w:val="0"/>
      <w:marTop w:val="0"/>
      <w:marBottom w:val="0"/>
      <w:divBdr>
        <w:top w:val="none" w:sz="0" w:space="0" w:color="auto"/>
        <w:left w:val="none" w:sz="0" w:space="0" w:color="auto"/>
        <w:bottom w:val="none" w:sz="0" w:space="0" w:color="auto"/>
        <w:right w:val="none" w:sz="0" w:space="0" w:color="auto"/>
      </w:divBdr>
    </w:div>
    <w:div w:id="745542274">
      <w:bodyDiv w:val="1"/>
      <w:marLeft w:val="0"/>
      <w:marRight w:val="0"/>
      <w:marTop w:val="0"/>
      <w:marBottom w:val="0"/>
      <w:divBdr>
        <w:top w:val="none" w:sz="0" w:space="0" w:color="auto"/>
        <w:left w:val="none" w:sz="0" w:space="0" w:color="auto"/>
        <w:bottom w:val="none" w:sz="0" w:space="0" w:color="auto"/>
        <w:right w:val="none" w:sz="0" w:space="0" w:color="auto"/>
      </w:divBdr>
    </w:div>
    <w:div w:id="749042277">
      <w:bodyDiv w:val="1"/>
      <w:marLeft w:val="0"/>
      <w:marRight w:val="0"/>
      <w:marTop w:val="0"/>
      <w:marBottom w:val="0"/>
      <w:divBdr>
        <w:top w:val="none" w:sz="0" w:space="0" w:color="auto"/>
        <w:left w:val="none" w:sz="0" w:space="0" w:color="auto"/>
        <w:bottom w:val="none" w:sz="0" w:space="0" w:color="auto"/>
        <w:right w:val="none" w:sz="0" w:space="0" w:color="auto"/>
      </w:divBdr>
      <w:divsChild>
        <w:div w:id="227425924">
          <w:marLeft w:val="0"/>
          <w:marRight w:val="0"/>
          <w:marTop w:val="0"/>
          <w:marBottom w:val="0"/>
          <w:divBdr>
            <w:top w:val="none" w:sz="0" w:space="0" w:color="auto"/>
            <w:left w:val="none" w:sz="0" w:space="0" w:color="auto"/>
            <w:bottom w:val="none" w:sz="0" w:space="0" w:color="auto"/>
            <w:right w:val="none" w:sz="0" w:space="0" w:color="auto"/>
          </w:divBdr>
        </w:div>
        <w:div w:id="563099697">
          <w:marLeft w:val="0"/>
          <w:marRight w:val="0"/>
          <w:marTop w:val="0"/>
          <w:marBottom w:val="0"/>
          <w:divBdr>
            <w:top w:val="none" w:sz="0" w:space="0" w:color="auto"/>
            <w:left w:val="none" w:sz="0" w:space="0" w:color="auto"/>
            <w:bottom w:val="none" w:sz="0" w:space="0" w:color="auto"/>
            <w:right w:val="none" w:sz="0" w:space="0" w:color="auto"/>
          </w:divBdr>
        </w:div>
        <w:div w:id="700017012">
          <w:marLeft w:val="0"/>
          <w:marRight w:val="0"/>
          <w:marTop w:val="0"/>
          <w:marBottom w:val="0"/>
          <w:divBdr>
            <w:top w:val="none" w:sz="0" w:space="0" w:color="auto"/>
            <w:left w:val="none" w:sz="0" w:space="0" w:color="auto"/>
            <w:bottom w:val="none" w:sz="0" w:space="0" w:color="auto"/>
            <w:right w:val="none" w:sz="0" w:space="0" w:color="auto"/>
          </w:divBdr>
        </w:div>
        <w:div w:id="713965238">
          <w:marLeft w:val="0"/>
          <w:marRight w:val="0"/>
          <w:marTop w:val="0"/>
          <w:marBottom w:val="0"/>
          <w:divBdr>
            <w:top w:val="none" w:sz="0" w:space="0" w:color="auto"/>
            <w:left w:val="none" w:sz="0" w:space="0" w:color="auto"/>
            <w:bottom w:val="none" w:sz="0" w:space="0" w:color="auto"/>
            <w:right w:val="none" w:sz="0" w:space="0" w:color="auto"/>
          </w:divBdr>
        </w:div>
        <w:div w:id="784038949">
          <w:marLeft w:val="0"/>
          <w:marRight w:val="0"/>
          <w:marTop w:val="0"/>
          <w:marBottom w:val="0"/>
          <w:divBdr>
            <w:top w:val="none" w:sz="0" w:space="0" w:color="auto"/>
            <w:left w:val="none" w:sz="0" w:space="0" w:color="auto"/>
            <w:bottom w:val="none" w:sz="0" w:space="0" w:color="auto"/>
            <w:right w:val="none" w:sz="0" w:space="0" w:color="auto"/>
          </w:divBdr>
        </w:div>
        <w:div w:id="796796180">
          <w:marLeft w:val="0"/>
          <w:marRight w:val="0"/>
          <w:marTop w:val="0"/>
          <w:marBottom w:val="0"/>
          <w:divBdr>
            <w:top w:val="none" w:sz="0" w:space="0" w:color="auto"/>
            <w:left w:val="none" w:sz="0" w:space="0" w:color="auto"/>
            <w:bottom w:val="none" w:sz="0" w:space="0" w:color="auto"/>
            <w:right w:val="none" w:sz="0" w:space="0" w:color="auto"/>
          </w:divBdr>
        </w:div>
        <w:div w:id="867375934">
          <w:marLeft w:val="0"/>
          <w:marRight w:val="0"/>
          <w:marTop w:val="0"/>
          <w:marBottom w:val="0"/>
          <w:divBdr>
            <w:top w:val="none" w:sz="0" w:space="0" w:color="auto"/>
            <w:left w:val="none" w:sz="0" w:space="0" w:color="auto"/>
            <w:bottom w:val="none" w:sz="0" w:space="0" w:color="auto"/>
            <w:right w:val="none" w:sz="0" w:space="0" w:color="auto"/>
          </w:divBdr>
        </w:div>
        <w:div w:id="885332101">
          <w:marLeft w:val="0"/>
          <w:marRight w:val="0"/>
          <w:marTop w:val="0"/>
          <w:marBottom w:val="0"/>
          <w:divBdr>
            <w:top w:val="none" w:sz="0" w:space="0" w:color="auto"/>
            <w:left w:val="none" w:sz="0" w:space="0" w:color="auto"/>
            <w:bottom w:val="none" w:sz="0" w:space="0" w:color="auto"/>
            <w:right w:val="none" w:sz="0" w:space="0" w:color="auto"/>
          </w:divBdr>
        </w:div>
        <w:div w:id="952708324">
          <w:marLeft w:val="0"/>
          <w:marRight w:val="0"/>
          <w:marTop w:val="0"/>
          <w:marBottom w:val="0"/>
          <w:divBdr>
            <w:top w:val="none" w:sz="0" w:space="0" w:color="auto"/>
            <w:left w:val="none" w:sz="0" w:space="0" w:color="auto"/>
            <w:bottom w:val="none" w:sz="0" w:space="0" w:color="auto"/>
            <w:right w:val="none" w:sz="0" w:space="0" w:color="auto"/>
          </w:divBdr>
        </w:div>
        <w:div w:id="956834132">
          <w:marLeft w:val="0"/>
          <w:marRight w:val="0"/>
          <w:marTop w:val="0"/>
          <w:marBottom w:val="0"/>
          <w:divBdr>
            <w:top w:val="none" w:sz="0" w:space="0" w:color="auto"/>
            <w:left w:val="none" w:sz="0" w:space="0" w:color="auto"/>
            <w:bottom w:val="none" w:sz="0" w:space="0" w:color="auto"/>
            <w:right w:val="none" w:sz="0" w:space="0" w:color="auto"/>
          </w:divBdr>
        </w:div>
        <w:div w:id="988557130">
          <w:marLeft w:val="0"/>
          <w:marRight w:val="0"/>
          <w:marTop w:val="0"/>
          <w:marBottom w:val="0"/>
          <w:divBdr>
            <w:top w:val="none" w:sz="0" w:space="0" w:color="auto"/>
            <w:left w:val="none" w:sz="0" w:space="0" w:color="auto"/>
            <w:bottom w:val="none" w:sz="0" w:space="0" w:color="auto"/>
            <w:right w:val="none" w:sz="0" w:space="0" w:color="auto"/>
          </w:divBdr>
        </w:div>
        <w:div w:id="1043480214">
          <w:marLeft w:val="0"/>
          <w:marRight w:val="0"/>
          <w:marTop w:val="0"/>
          <w:marBottom w:val="0"/>
          <w:divBdr>
            <w:top w:val="none" w:sz="0" w:space="0" w:color="auto"/>
            <w:left w:val="none" w:sz="0" w:space="0" w:color="auto"/>
            <w:bottom w:val="none" w:sz="0" w:space="0" w:color="auto"/>
            <w:right w:val="none" w:sz="0" w:space="0" w:color="auto"/>
          </w:divBdr>
        </w:div>
        <w:div w:id="1129199291">
          <w:marLeft w:val="0"/>
          <w:marRight w:val="0"/>
          <w:marTop w:val="0"/>
          <w:marBottom w:val="0"/>
          <w:divBdr>
            <w:top w:val="none" w:sz="0" w:space="0" w:color="auto"/>
            <w:left w:val="none" w:sz="0" w:space="0" w:color="auto"/>
            <w:bottom w:val="none" w:sz="0" w:space="0" w:color="auto"/>
            <w:right w:val="none" w:sz="0" w:space="0" w:color="auto"/>
          </w:divBdr>
        </w:div>
        <w:div w:id="1346053657">
          <w:marLeft w:val="0"/>
          <w:marRight w:val="0"/>
          <w:marTop w:val="0"/>
          <w:marBottom w:val="0"/>
          <w:divBdr>
            <w:top w:val="none" w:sz="0" w:space="0" w:color="auto"/>
            <w:left w:val="none" w:sz="0" w:space="0" w:color="auto"/>
            <w:bottom w:val="none" w:sz="0" w:space="0" w:color="auto"/>
            <w:right w:val="none" w:sz="0" w:space="0" w:color="auto"/>
          </w:divBdr>
        </w:div>
        <w:div w:id="1381787276">
          <w:marLeft w:val="0"/>
          <w:marRight w:val="0"/>
          <w:marTop w:val="0"/>
          <w:marBottom w:val="0"/>
          <w:divBdr>
            <w:top w:val="none" w:sz="0" w:space="0" w:color="auto"/>
            <w:left w:val="none" w:sz="0" w:space="0" w:color="auto"/>
            <w:bottom w:val="none" w:sz="0" w:space="0" w:color="auto"/>
            <w:right w:val="none" w:sz="0" w:space="0" w:color="auto"/>
          </w:divBdr>
        </w:div>
        <w:div w:id="1440106863">
          <w:marLeft w:val="0"/>
          <w:marRight w:val="0"/>
          <w:marTop w:val="0"/>
          <w:marBottom w:val="0"/>
          <w:divBdr>
            <w:top w:val="none" w:sz="0" w:space="0" w:color="auto"/>
            <w:left w:val="none" w:sz="0" w:space="0" w:color="auto"/>
            <w:bottom w:val="none" w:sz="0" w:space="0" w:color="auto"/>
            <w:right w:val="none" w:sz="0" w:space="0" w:color="auto"/>
          </w:divBdr>
        </w:div>
        <w:div w:id="1447197849">
          <w:marLeft w:val="0"/>
          <w:marRight w:val="0"/>
          <w:marTop w:val="0"/>
          <w:marBottom w:val="0"/>
          <w:divBdr>
            <w:top w:val="none" w:sz="0" w:space="0" w:color="auto"/>
            <w:left w:val="none" w:sz="0" w:space="0" w:color="auto"/>
            <w:bottom w:val="none" w:sz="0" w:space="0" w:color="auto"/>
            <w:right w:val="none" w:sz="0" w:space="0" w:color="auto"/>
          </w:divBdr>
        </w:div>
        <w:div w:id="1835029235">
          <w:marLeft w:val="0"/>
          <w:marRight w:val="0"/>
          <w:marTop w:val="0"/>
          <w:marBottom w:val="0"/>
          <w:divBdr>
            <w:top w:val="none" w:sz="0" w:space="0" w:color="auto"/>
            <w:left w:val="none" w:sz="0" w:space="0" w:color="auto"/>
            <w:bottom w:val="none" w:sz="0" w:space="0" w:color="auto"/>
            <w:right w:val="none" w:sz="0" w:space="0" w:color="auto"/>
          </w:divBdr>
        </w:div>
        <w:div w:id="1906452621">
          <w:marLeft w:val="0"/>
          <w:marRight w:val="0"/>
          <w:marTop w:val="0"/>
          <w:marBottom w:val="0"/>
          <w:divBdr>
            <w:top w:val="none" w:sz="0" w:space="0" w:color="auto"/>
            <w:left w:val="none" w:sz="0" w:space="0" w:color="auto"/>
            <w:bottom w:val="none" w:sz="0" w:space="0" w:color="auto"/>
            <w:right w:val="none" w:sz="0" w:space="0" w:color="auto"/>
          </w:divBdr>
        </w:div>
        <w:div w:id="1980915677">
          <w:marLeft w:val="0"/>
          <w:marRight w:val="0"/>
          <w:marTop w:val="0"/>
          <w:marBottom w:val="0"/>
          <w:divBdr>
            <w:top w:val="none" w:sz="0" w:space="0" w:color="auto"/>
            <w:left w:val="none" w:sz="0" w:space="0" w:color="auto"/>
            <w:bottom w:val="none" w:sz="0" w:space="0" w:color="auto"/>
            <w:right w:val="none" w:sz="0" w:space="0" w:color="auto"/>
          </w:divBdr>
        </w:div>
      </w:divsChild>
    </w:div>
    <w:div w:id="750591311">
      <w:bodyDiv w:val="1"/>
      <w:marLeft w:val="0"/>
      <w:marRight w:val="0"/>
      <w:marTop w:val="0"/>
      <w:marBottom w:val="0"/>
      <w:divBdr>
        <w:top w:val="none" w:sz="0" w:space="0" w:color="auto"/>
        <w:left w:val="none" w:sz="0" w:space="0" w:color="auto"/>
        <w:bottom w:val="none" w:sz="0" w:space="0" w:color="auto"/>
        <w:right w:val="none" w:sz="0" w:space="0" w:color="auto"/>
      </w:divBdr>
    </w:div>
    <w:div w:id="754087518">
      <w:bodyDiv w:val="1"/>
      <w:marLeft w:val="0"/>
      <w:marRight w:val="0"/>
      <w:marTop w:val="0"/>
      <w:marBottom w:val="0"/>
      <w:divBdr>
        <w:top w:val="none" w:sz="0" w:space="0" w:color="auto"/>
        <w:left w:val="none" w:sz="0" w:space="0" w:color="auto"/>
        <w:bottom w:val="none" w:sz="0" w:space="0" w:color="auto"/>
        <w:right w:val="none" w:sz="0" w:space="0" w:color="auto"/>
      </w:divBdr>
    </w:div>
    <w:div w:id="756486387">
      <w:bodyDiv w:val="1"/>
      <w:marLeft w:val="0"/>
      <w:marRight w:val="0"/>
      <w:marTop w:val="0"/>
      <w:marBottom w:val="0"/>
      <w:divBdr>
        <w:top w:val="none" w:sz="0" w:space="0" w:color="auto"/>
        <w:left w:val="none" w:sz="0" w:space="0" w:color="auto"/>
        <w:bottom w:val="none" w:sz="0" w:space="0" w:color="auto"/>
        <w:right w:val="none" w:sz="0" w:space="0" w:color="auto"/>
      </w:divBdr>
    </w:div>
    <w:div w:id="756555743">
      <w:bodyDiv w:val="1"/>
      <w:marLeft w:val="0"/>
      <w:marRight w:val="0"/>
      <w:marTop w:val="0"/>
      <w:marBottom w:val="0"/>
      <w:divBdr>
        <w:top w:val="none" w:sz="0" w:space="0" w:color="auto"/>
        <w:left w:val="none" w:sz="0" w:space="0" w:color="auto"/>
        <w:bottom w:val="none" w:sz="0" w:space="0" w:color="auto"/>
        <w:right w:val="none" w:sz="0" w:space="0" w:color="auto"/>
      </w:divBdr>
    </w:div>
    <w:div w:id="766774180">
      <w:bodyDiv w:val="1"/>
      <w:marLeft w:val="0"/>
      <w:marRight w:val="0"/>
      <w:marTop w:val="0"/>
      <w:marBottom w:val="0"/>
      <w:divBdr>
        <w:top w:val="none" w:sz="0" w:space="0" w:color="auto"/>
        <w:left w:val="none" w:sz="0" w:space="0" w:color="auto"/>
        <w:bottom w:val="none" w:sz="0" w:space="0" w:color="auto"/>
        <w:right w:val="none" w:sz="0" w:space="0" w:color="auto"/>
      </w:divBdr>
    </w:div>
    <w:div w:id="770199467">
      <w:bodyDiv w:val="1"/>
      <w:marLeft w:val="0"/>
      <w:marRight w:val="0"/>
      <w:marTop w:val="0"/>
      <w:marBottom w:val="0"/>
      <w:divBdr>
        <w:top w:val="none" w:sz="0" w:space="0" w:color="auto"/>
        <w:left w:val="none" w:sz="0" w:space="0" w:color="auto"/>
        <w:bottom w:val="none" w:sz="0" w:space="0" w:color="auto"/>
        <w:right w:val="none" w:sz="0" w:space="0" w:color="auto"/>
      </w:divBdr>
    </w:div>
    <w:div w:id="772945475">
      <w:bodyDiv w:val="1"/>
      <w:marLeft w:val="0"/>
      <w:marRight w:val="0"/>
      <w:marTop w:val="0"/>
      <w:marBottom w:val="0"/>
      <w:divBdr>
        <w:top w:val="none" w:sz="0" w:space="0" w:color="auto"/>
        <w:left w:val="none" w:sz="0" w:space="0" w:color="auto"/>
        <w:bottom w:val="none" w:sz="0" w:space="0" w:color="auto"/>
        <w:right w:val="none" w:sz="0" w:space="0" w:color="auto"/>
      </w:divBdr>
    </w:div>
    <w:div w:id="788596876">
      <w:bodyDiv w:val="1"/>
      <w:marLeft w:val="0"/>
      <w:marRight w:val="0"/>
      <w:marTop w:val="0"/>
      <w:marBottom w:val="0"/>
      <w:divBdr>
        <w:top w:val="none" w:sz="0" w:space="0" w:color="auto"/>
        <w:left w:val="none" w:sz="0" w:space="0" w:color="auto"/>
        <w:bottom w:val="none" w:sz="0" w:space="0" w:color="auto"/>
        <w:right w:val="none" w:sz="0" w:space="0" w:color="auto"/>
      </w:divBdr>
    </w:div>
    <w:div w:id="788859961">
      <w:bodyDiv w:val="1"/>
      <w:marLeft w:val="0"/>
      <w:marRight w:val="0"/>
      <w:marTop w:val="0"/>
      <w:marBottom w:val="0"/>
      <w:divBdr>
        <w:top w:val="none" w:sz="0" w:space="0" w:color="auto"/>
        <w:left w:val="none" w:sz="0" w:space="0" w:color="auto"/>
        <w:bottom w:val="none" w:sz="0" w:space="0" w:color="auto"/>
        <w:right w:val="none" w:sz="0" w:space="0" w:color="auto"/>
      </w:divBdr>
    </w:div>
    <w:div w:id="789907056">
      <w:bodyDiv w:val="1"/>
      <w:marLeft w:val="0"/>
      <w:marRight w:val="0"/>
      <w:marTop w:val="0"/>
      <w:marBottom w:val="0"/>
      <w:divBdr>
        <w:top w:val="none" w:sz="0" w:space="0" w:color="auto"/>
        <w:left w:val="none" w:sz="0" w:space="0" w:color="auto"/>
        <w:bottom w:val="none" w:sz="0" w:space="0" w:color="auto"/>
        <w:right w:val="none" w:sz="0" w:space="0" w:color="auto"/>
      </w:divBdr>
    </w:div>
    <w:div w:id="791825301">
      <w:bodyDiv w:val="1"/>
      <w:marLeft w:val="0"/>
      <w:marRight w:val="0"/>
      <w:marTop w:val="0"/>
      <w:marBottom w:val="0"/>
      <w:divBdr>
        <w:top w:val="none" w:sz="0" w:space="0" w:color="auto"/>
        <w:left w:val="none" w:sz="0" w:space="0" w:color="auto"/>
        <w:bottom w:val="none" w:sz="0" w:space="0" w:color="auto"/>
        <w:right w:val="none" w:sz="0" w:space="0" w:color="auto"/>
      </w:divBdr>
    </w:div>
    <w:div w:id="804390846">
      <w:bodyDiv w:val="1"/>
      <w:marLeft w:val="0"/>
      <w:marRight w:val="0"/>
      <w:marTop w:val="0"/>
      <w:marBottom w:val="0"/>
      <w:divBdr>
        <w:top w:val="none" w:sz="0" w:space="0" w:color="auto"/>
        <w:left w:val="none" w:sz="0" w:space="0" w:color="auto"/>
        <w:bottom w:val="none" w:sz="0" w:space="0" w:color="auto"/>
        <w:right w:val="none" w:sz="0" w:space="0" w:color="auto"/>
      </w:divBdr>
    </w:div>
    <w:div w:id="808013792">
      <w:bodyDiv w:val="1"/>
      <w:marLeft w:val="0"/>
      <w:marRight w:val="0"/>
      <w:marTop w:val="0"/>
      <w:marBottom w:val="0"/>
      <w:divBdr>
        <w:top w:val="none" w:sz="0" w:space="0" w:color="auto"/>
        <w:left w:val="none" w:sz="0" w:space="0" w:color="auto"/>
        <w:bottom w:val="none" w:sz="0" w:space="0" w:color="auto"/>
        <w:right w:val="none" w:sz="0" w:space="0" w:color="auto"/>
      </w:divBdr>
    </w:div>
    <w:div w:id="811603065">
      <w:bodyDiv w:val="1"/>
      <w:marLeft w:val="0"/>
      <w:marRight w:val="0"/>
      <w:marTop w:val="0"/>
      <w:marBottom w:val="0"/>
      <w:divBdr>
        <w:top w:val="none" w:sz="0" w:space="0" w:color="auto"/>
        <w:left w:val="none" w:sz="0" w:space="0" w:color="auto"/>
        <w:bottom w:val="none" w:sz="0" w:space="0" w:color="auto"/>
        <w:right w:val="none" w:sz="0" w:space="0" w:color="auto"/>
      </w:divBdr>
    </w:div>
    <w:div w:id="818422535">
      <w:bodyDiv w:val="1"/>
      <w:marLeft w:val="0"/>
      <w:marRight w:val="0"/>
      <w:marTop w:val="0"/>
      <w:marBottom w:val="0"/>
      <w:divBdr>
        <w:top w:val="none" w:sz="0" w:space="0" w:color="auto"/>
        <w:left w:val="none" w:sz="0" w:space="0" w:color="auto"/>
        <w:bottom w:val="none" w:sz="0" w:space="0" w:color="auto"/>
        <w:right w:val="none" w:sz="0" w:space="0" w:color="auto"/>
      </w:divBdr>
    </w:div>
    <w:div w:id="839740644">
      <w:bodyDiv w:val="1"/>
      <w:marLeft w:val="0"/>
      <w:marRight w:val="0"/>
      <w:marTop w:val="0"/>
      <w:marBottom w:val="0"/>
      <w:divBdr>
        <w:top w:val="none" w:sz="0" w:space="0" w:color="auto"/>
        <w:left w:val="none" w:sz="0" w:space="0" w:color="auto"/>
        <w:bottom w:val="none" w:sz="0" w:space="0" w:color="auto"/>
        <w:right w:val="none" w:sz="0" w:space="0" w:color="auto"/>
      </w:divBdr>
    </w:div>
    <w:div w:id="846870256">
      <w:bodyDiv w:val="1"/>
      <w:marLeft w:val="0"/>
      <w:marRight w:val="0"/>
      <w:marTop w:val="0"/>
      <w:marBottom w:val="0"/>
      <w:divBdr>
        <w:top w:val="none" w:sz="0" w:space="0" w:color="auto"/>
        <w:left w:val="none" w:sz="0" w:space="0" w:color="auto"/>
        <w:bottom w:val="none" w:sz="0" w:space="0" w:color="auto"/>
        <w:right w:val="none" w:sz="0" w:space="0" w:color="auto"/>
      </w:divBdr>
    </w:div>
    <w:div w:id="847793880">
      <w:bodyDiv w:val="1"/>
      <w:marLeft w:val="0"/>
      <w:marRight w:val="0"/>
      <w:marTop w:val="0"/>
      <w:marBottom w:val="0"/>
      <w:divBdr>
        <w:top w:val="none" w:sz="0" w:space="0" w:color="auto"/>
        <w:left w:val="none" w:sz="0" w:space="0" w:color="auto"/>
        <w:bottom w:val="none" w:sz="0" w:space="0" w:color="auto"/>
        <w:right w:val="none" w:sz="0" w:space="0" w:color="auto"/>
      </w:divBdr>
    </w:div>
    <w:div w:id="848954894">
      <w:bodyDiv w:val="1"/>
      <w:marLeft w:val="0"/>
      <w:marRight w:val="0"/>
      <w:marTop w:val="0"/>
      <w:marBottom w:val="0"/>
      <w:divBdr>
        <w:top w:val="none" w:sz="0" w:space="0" w:color="auto"/>
        <w:left w:val="none" w:sz="0" w:space="0" w:color="auto"/>
        <w:bottom w:val="none" w:sz="0" w:space="0" w:color="auto"/>
        <w:right w:val="none" w:sz="0" w:space="0" w:color="auto"/>
      </w:divBdr>
    </w:div>
    <w:div w:id="849373728">
      <w:bodyDiv w:val="1"/>
      <w:marLeft w:val="0"/>
      <w:marRight w:val="0"/>
      <w:marTop w:val="0"/>
      <w:marBottom w:val="0"/>
      <w:divBdr>
        <w:top w:val="none" w:sz="0" w:space="0" w:color="auto"/>
        <w:left w:val="none" w:sz="0" w:space="0" w:color="auto"/>
        <w:bottom w:val="none" w:sz="0" w:space="0" w:color="auto"/>
        <w:right w:val="none" w:sz="0" w:space="0" w:color="auto"/>
      </w:divBdr>
    </w:div>
    <w:div w:id="851381026">
      <w:bodyDiv w:val="1"/>
      <w:marLeft w:val="0"/>
      <w:marRight w:val="0"/>
      <w:marTop w:val="0"/>
      <w:marBottom w:val="0"/>
      <w:divBdr>
        <w:top w:val="none" w:sz="0" w:space="0" w:color="auto"/>
        <w:left w:val="none" w:sz="0" w:space="0" w:color="auto"/>
        <w:bottom w:val="none" w:sz="0" w:space="0" w:color="auto"/>
        <w:right w:val="none" w:sz="0" w:space="0" w:color="auto"/>
      </w:divBdr>
    </w:div>
    <w:div w:id="854609483">
      <w:bodyDiv w:val="1"/>
      <w:marLeft w:val="0"/>
      <w:marRight w:val="0"/>
      <w:marTop w:val="0"/>
      <w:marBottom w:val="0"/>
      <w:divBdr>
        <w:top w:val="none" w:sz="0" w:space="0" w:color="auto"/>
        <w:left w:val="none" w:sz="0" w:space="0" w:color="auto"/>
        <w:bottom w:val="none" w:sz="0" w:space="0" w:color="auto"/>
        <w:right w:val="none" w:sz="0" w:space="0" w:color="auto"/>
      </w:divBdr>
    </w:div>
    <w:div w:id="856849099">
      <w:bodyDiv w:val="1"/>
      <w:marLeft w:val="0"/>
      <w:marRight w:val="0"/>
      <w:marTop w:val="0"/>
      <w:marBottom w:val="0"/>
      <w:divBdr>
        <w:top w:val="none" w:sz="0" w:space="0" w:color="auto"/>
        <w:left w:val="none" w:sz="0" w:space="0" w:color="auto"/>
        <w:bottom w:val="none" w:sz="0" w:space="0" w:color="auto"/>
        <w:right w:val="none" w:sz="0" w:space="0" w:color="auto"/>
      </w:divBdr>
    </w:div>
    <w:div w:id="862203876">
      <w:bodyDiv w:val="1"/>
      <w:marLeft w:val="0"/>
      <w:marRight w:val="0"/>
      <w:marTop w:val="0"/>
      <w:marBottom w:val="0"/>
      <w:divBdr>
        <w:top w:val="none" w:sz="0" w:space="0" w:color="auto"/>
        <w:left w:val="none" w:sz="0" w:space="0" w:color="auto"/>
        <w:bottom w:val="none" w:sz="0" w:space="0" w:color="auto"/>
        <w:right w:val="none" w:sz="0" w:space="0" w:color="auto"/>
      </w:divBdr>
    </w:div>
    <w:div w:id="872578568">
      <w:bodyDiv w:val="1"/>
      <w:marLeft w:val="0"/>
      <w:marRight w:val="0"/>
      <w:marTop w:val="0"/>
      <w:marBottom w:val="0"/>
      <w:divBdr>
        <w:top w:val="none" w:sz="0" w:space="0" w:color="auto"/>
        <w:left w:val="none" w:sz="0" w:space="0" w:color="auto"/>
        <w:bottom w:val="none" w:sz="0" w:space="0" w:color="auto"/>
        <w:right w:val="none" w:sz="0" w:space="0" w:color="auto"/>
      </w:divBdr>
    </w:div>
    <w:div w:id="883714339">
      <w:bodyDiv w:val="1"/>
      <w:marLeft w:val="0"/>
      <w:marRight w:val="0"/>
      <w:marTop w:val="0"/>
      <w:marBottom w:val="0"/>
      <w:divBdr>
        <w:top w:val="none" w:sz="0" w:space="0" w:color="auto"/>
        <w:left w:val="none" w:sz="0" w:space="0" w:color="auto"/>
        <w:bottom w:val="none" w:sz="0" w:space="0" w:color="auto"/>
        <w:right w:val="none" w:sz="0" w:space="0" w:color="auto"/>
      </w:divBdr>
    </w:div>
    <w:div w:id="885025003">
      <w:bodyDiv w:val="1"/>
      <w:marLeft w:val="0"/>
      <w:marRight w:val="0"/>
      <w:marTop w:val="0"/>
      <w:marBottom w:val="0"/>
      <w:divBdr>
        <w:top w:val="none" w:sz="0" w:space="0" w:color="auto"/>
        <w:left w:val="none" w:sz="0" w:space="0" w:color="auto"/>
        <w:bottom w:val="none" w:sz="0" w:space="0" w:color="auto"/>
        <w:right w:val="none" w:sz="0" w:space="0" w:color="auto"/>
      </w:divBdr>
    </w:div>
    <w:div w:id="885796174">
      <w:bodyDiv w:val="1"/>
      <w:marLeft w:val="0"/>
      <w:marRight w:val="0"/>
      <w:marTop w:val="0"/>
      <w:marBottom w:val="0"/>
      <w:divBdr>
        <w:top w:val="none" w:sz="0" w:space="0" w:color="auto"/>
        <w:left w:val="none" w:sz="0" w:space="0" w:color="auto"/>
        <w:bottom w:val="none" w:sz="0" w:space="0" w:color="auto"/>
        <w:right w:val="none" w:sz="0" w:space="0" w:color="auto"/>
      </w:divBdr>
    </w:div>
    <w:div w:id="898397206">
      <w:bodyDiv w:val="1"/>
      <w:marLeft w:val="0"/>
      <w:marRight w:val="0"/>
      <w:marTop w:val="0"/>
      <w:marBottom w:val="0"/>
      <w:divBdr>
        <w:top w:val="none" w:sz="0" w:space="0" w:color="auto"/>
        <w:left w:val="none" w:sz="0" w:space="0" w:color="auto"/>
        <w:bottom w:val="none" w:sz="0" w:space="0" w:color="auto"/>
        <w:right w:val="none" w:sz="0" w:space="0" w:color="auto"/>
      </w:divBdr>
    </w:div>
    <w:div w:id="915169689">
      <w:bodyDiv w:val="1"/>
      <w:marLeft w:val="0"/>
      <w:marRight w:val="0"/>
      <w:marTop w:val="0"/>
      <w:marBottom w:val="0"/>
      <w:divBdr>
        <w:top w:val="none" w:sz="0" w:space="0" w:color="auto"/>
        <w:left w:val="none" w:sz="0" w:space="0" w:color="auto"/>
        <w:bottom w:val="none" w:sz="0" w:space="0" w:color="auto"/>
        <w:right w:val="none" w:sz="0" w:space="0" w:color="auto"/>
      </w:divBdr>
    </w:div>
    <w:div w:id="924803703">
      <w:bodyDiv w:val="1"/>
      <w:marLeft w:val="0"/>
      <w:marRight w:val="0"/>
      <w:marTop w:val="0"/>
      <w:marBottom w:val="0"/>
      <w:divBdr>
        <w:top w:val="none" w:sz="0" w:space="0" w:color="auto"/>
        <w:left w:val="none" w:sz="0" w:space="0" w:color="auto"/>
        <w:bottom w:val="none" w:sz="0" w:space="0" w:color="auto"/>
        <w:right w:val="none" w:sz="0" w:space="0" w:color="auto"/>
      </w:divBdr>
    </w:div>
    <w:div w:id="934558178">
      <w:bodyDiv w:val="1"/>
      <w:marLeft w:val="0"/>
      <w:marRight w:val="0"/>
      <w:marTop w:val="0"/>
      <w:marBottom w:val="0"/>
      <w:divBdr>
        <w:top w:val="none" w:sz="0" w:space="0" w:color="auto"/>
        <w:left w:val="none" w:sz="0" w:space="0" w:color="auto"/>
        <w:bottom w:val="none" w:sz="0" w:space="0" w:color="auto"/>
        <w:right w:val="none" w:sz="0" w:space="0" w:color="auto"/>
      </w:divBdr>
    </w:div>
    <w:div w:id="942303928">
      <w:bodyDiv w:val="1"/>
      <w:marLeft w:val="0"/>
      <w:marRight w:val="0"/>
      <w:marTop w:val="0"/>
      <w:marBottom w:val="0"/>
      <w:divBdr>
        <w:top w:val="none" w:sz="0" w:space="0" w:color="auto"/>
        <w:left w:val="none" w:sz="0" w:space="0" w:color="auto"/>
        <w:bottom w:val="none" w:sz="0" w:space="0" w:color="auto"/>
        <w:right w:val="none" w:sz="0" w:space="0" w:color="auto"/>
      </w:divBdr>
    </w:div>
    <w:div w:id="948899644">
      <w:bodyDiv w:val="1"/>
      <w:marLeft w:val="0"/>
      <w:marRight w:val="0"/>
      <w:marTop w:val="0"/>
      <w:marBottom w:val="0"/>
      <w:divBdr>
        <w:top w:val="none" w:sz="0" w:space="0" w:color="auto"/>
        <w:left w:val="none" w:sz="0" w:space="0" w:color="auto"/>
        <w:bottom w:val="none" w:sz="0" w:space="0" w:color="auto"/>
        <w:right w:val="none" w:sz="0" w:space="0" w:color="auto"/>
      </w:divBdr>
    </w:div>
    <w:div w:id="953748733">
      <w:bodyDiv w:val="1"/>
      <w:marLeft w:val="0"/>
      <w:marRight w:val="0"/>
      <w:marTop w:val="0"/>
      <w:marBottom w:val="0"/>
      <w:divBdr>
        <w:top w:val="none" w:sz="0" w:space="0" w:color="auto"/>
        <w:left w:val="none" w:sz="0" w:space="0" w:color="auto"/>
        <w:bottom w:val="none" w:sz="0" w:space="0" w:color="auto"/>
        <w:right w:val="none" w:sz="0" w:space="0" w:color="auto"/>
      </w:divBdr>
    </w:div>
    <w:div w:id="954216202">
      <w:bodyDiv w:val="1"/>
      <w:marLeft w:val="0"/>
      <w:marRight w:val="0"/>
      <w:marTop w:val="0"/>
      <w:marBottom w:val="0"/>
      <w:divBdr>
        <w:top w:val="none" w:sz="0" w:space="0" w:color="auto"/>
        <w:left w:val="none" w:sz="0" w:space="0" w:color="auto"/>
        <w:bottom w:val="none" w:sz="0" w:space="0" w:color="auto"/>
        <w:right w:val="none" w:sz="0" w:space="0" w:color="auto"/>
      </w:divBdr>
    </w:div>
    <w:div w:id="963731108">
      <w:bodyDiv w:val="1"/>
      <w:marLeft w:val="0"/>
      <w:marRight w:val="0"/>
      <w:marTop w:val="0"/>
      <w:marBottom w:val="0"/>
      <w:divBdr>
        <w:top w:val="none" w:sz="0" w:space="0" w:color="auto"/>
        <w:left w:val="none" w:sz="0" w:space="0" w:color="auto"/>
        <w:bottom w:val="none" w:sz="0" w:space="0" w:color="auto"/>
        <w:right w:val="none" w:sz="0" w:space="0" w:color="auto"/>
      </w:divBdr>
      <w:divsChild>
        <w:div w:id="828331005">
          <w:marLeft w:val="547"/>
          <w:marRight w:val="0"/>
          <w:marTop w:val="0"/>
          <w:marBottom w:val="0"/>
          <w:divBdr>
            <w:top w:val="none" w:sz="0" w:space="0" w:color="auto"/>
            <w:left w:val="none" w:sz="0" w:space="0" w:color="auto"/>
            <w:bottom w:val="none" w:sz="0" w:space="0" w:color="auto"/>
            <w:right w:val="none" w:sz="0" w:space="0" w:color="auto"/>
          </w:divBdr>
        </w:div>
      </w:divsChild>
    </w:div>
    <w:div w:id="981693515">
      <w:bodyDiv w:val="1"/>
      <w:marLeft w:val="0"/>
      <w:marRight w:val="0"/>
      <w:marTop w:val="0"/>
      <w:marBottom w:val="0"/>
      <w:divBdr>
        <w:top w:val="none" w:sz="0" w:space="0" w:color="auto"/>
        <w:left w:val="none" w:sz="0" w:space="0" w:color="auto"/>
        <w:bottom w:val="none" w:sz="0" w:space="0" w:color="auto"/>
        <w:right w:val="none" w:sz="0" w:space="0" w:color="auto"/>
      </w:divBdr>
    </w:div>
    <w:div w:id="983393672">
      <w:bodyDiv w:val="1"/>
      <w:marLeft w:val="0"/>
      <w:marRight w:val="0"/>
      <w:marTop w:val="0"/>
      <w:marBottom w:val="0"/>
      <w:divBdr>
        <w:top w:val="none" w:sz="0" w:space="0" w:color="auto"/>
        <w:left w:val="none" w:sz="0" w:space="0" w:color="auto"/>
        <w:bottom w:val="none" w:sz="0" w:space="0" w:color="auto"/>
        <w:right w:val="none" w:sz="0" w:space="0" w:color="auto"/>
      </w:divBdr>
    </w:div>
    <w:div w:id="1020155951">
      <w:bodyDiv w:val="1"/>
      <w:marLeft w:val="0"/>
      <w:marRight w:val="0"/>
      <w:marTop w:val="0"/>
      <w:marBottom w:val="0"/>
      <w:divBdr>
        <w:top w:val="none" w:sz="0" w:space="0" w:color="auto"/>
        <w:left w:val="none" w:sz="0" w:space="0" w:color="auto"/>
        <w:bottom w:val="none" w:sz="0" w:space="0" w:color="auto"/>
        <w:right w:val="none" w:sz="0" w:space="0" w:color="auto"/>
      </w:divBdr>
    </w:div>
    <w:div w:id="1025912281">
      <w:bodyDiv w:val="1"/>
      <w:marLeft w:val="0"/>
      <w:marRight w:val="0"/>
      <w:marTop w:val="0"/>
      <w:marBottom w:val="0"/>
      <w:divBdr>
        <w:top w:val="none" w:sz="0" w:space="0" w:color="auto"/>
        <w:left w:val="none" w:sz="0" w:space="0" w:color="auto"/>
        <w:bottom w:val="none" w:sz="0" w:space="0" w:color="auto"/>
        <w:right w:val="none" w:sz="0" w:space="0" w:color="auto"/>
      </w:divBdr>
    </w:div>
    <w:div w:id="1029379742">
      <w:bodyDiv w:val="1"/>
      <w:marLeft w:val="0"/>
      <w:marRight w:val="0"/>
      <w:marTop w:val="0"/>
      <w:marBottom w:val="0"/>
      <w:divBdr>
        <w:top w:val="none" w:sz="0" w:space="0" w:color="auto"/>
        <w:left w:val="none" w:sz="0" w:space="0" w:color="auto"/>
        <w:bottom w:val="none" w:sz="0" w:space="0" w:color="auto"/>
        <w:right w:val="none" w:sz="0" w:space="0" w:color="auto"/>
      </w:divBdr>
    </w:div>
    <w:div w:id="1036733904">
      <w:bodyDiv w:val="1"/>
      <w:marLeft w:val="0"/>
      <w:marRight w:val="0"/>
      <w:marTop w:val="0"/>
      <w:marBottom w:val="0"/>
      <w:divBdr>
        <w:top w:val="none" w:sz="0" w:space="0" w:color="auto"/>
        <w:left w:val="none" w:sz="0" w:space="0" w:color="auto"/>
        <w:bottom w:val="none" w:sz="0" w:space="0" w:color="auto"/>
        <w:right w:val="none" w:sz="0" w:space="0" w:color="auto"/>
      </w:divBdr>
    </w:div>
    <w:div w:id="1038550426">
      <w:bodyDiv w:val="1"/>
      <w:marLeft w:val="0"/>
      <w:marRight w:val="0"/>
      <w:marTop w:val="0"/>
      <w:marBottom w:val="0"/>
      <w:divBdr>
        <w:top w:val="none" w:sz="0" w:space="0" w:color="auto"/>
        <w:left w:val="none" w:sz="0" w:space="0" w:color="auto"/>
        <w:bottom w:val="none" w:sz="0" w:space="0" w:color="auto"/>
        <w:right w:val="none" w:sz="0" w:space="0" w:color="auto"/>
      </w:divBdr>
    </w:div>
    <w:div w:id="1065493178">
      <w:bodyDiv w:val="1"/>
      <w:marLeft w:val="0"/>
      <w:marRight w:val="0"/>
      <w:marTop w:val="0"/>
      <w:marBottom w:val="0"/>
      <w:divBdr>
        <w:top w:val="none" w:sz="0" w:space="0" w:color="auto"/>
        <w:left w:val="none" w:sz="0" w:space="0" w:color="auto"/>
        <w:bottom w:val="none" w:sz="0" w:space="0" w:color="auto"/>
        <w:right w:val="none" w:sz="0" w:space="0" w:color="auto"/>
      </w:divBdr>
    </w:div>
    <w:div w:id="1080365451">
      <w:bodyDiv w:val="1"/>
      <w:marLeft w:val="0"/>
      <w:marRight w:val="0"/>
      <w:marTop w:val="0"/>
      <w:marBottom w:val="0"/>
      <w:divBdr>
        <w:top w:val="none" w:sz="0" w:space="0" w:color="auto"/>
        <w:left w:val="none" w:sz="0" w:space="0" w:color="auto"/>
        <w:bottom w:val="none" w:sz="0" w:space="0" w:color="auto"/>
        <w:right w:val="none" w:sz="0" w:space="0" w:color="auto"/>
      </w:divBdr>
    </w:div>
    <w:div w:id="1084033496">
      <w:bodyDiv w:val="1"/>
      <w:marLeft w:val="0"/>
      <w:marRight w:val="0"/>
      <w:marTop w:val="0"/>
      <w:marBottom w:val="0"/>
      <w:divBdr>
        <w:top w:val="none" w:sz="0" w:space="0" w:color="auto"/>
        <w:left w:val="none" w:sz="0" w:space="0" w:color="auto"/>
        <w:bottom w:val="none" w:sz="0" w:space="0" w:color="auto"/>
        <w:right w:val="none" w:sz="0" w:space="0" w:color="auto"/>
      </w:divBdr>
    </w:div>
    <w:div w:id="1085301785">
      <w:bodyDiv w:val="1"/>
      <w:marLeft w:val="0"/>
      <w:marRight w:val="0"/>
      <w:marTop w:val="0"/>
      <w:marBottom w:val="0"/>
      <w:divBdr>
        <w:top w:val="none" w:sz="0" w:space="0" w:color="auto"/>
        <w:left w:val="none" w:sz="0" w:space="0" w:color="auto"/>
        <w:bottom w:val="none" w:sz="0" w:space="0" w:color="auto"/>
        <w:right w:val="none" w:sz="0" w:space="0" w:color="auto"/>
      </w:divBdr>
    </w:div>
    <w:div w:id="1105812593">
      <w:bodyDiv w:val="1"/>
      <w:marLeft w:val="0"/>
      <w:marRight w:val="0"/>
      <w:marTop w:val="0"/>
      <w:marBottom w:val="0"/>
      <w:divBdr>
        <w:top w:val="none" w:sz="0" w:space="0" w:color="auto"/>
        <w:left w:val="none" w:sz="0" w:space="0" w:color="auto"/>
        <w:bottom w:val="none" w:sz="0" w:space="0" w:color="auto"/>
        <w:right w:val="none" w:sz="0" w:space="0" w:color="auto"/>
      </w:divBdr>
    </w:div>
    <w:div w:id="1105887002">
      <w:bodyDiv w:val="1"/>
      <w:marLeft w:val="0"/>
      <w:marRight w:val="0"/>
      <w:marTop w:val="0"/>
      <w:marBottom w:val="0"/>
      <w:divBdr>
        <w:top w:val="none" w:sz="0" w:space="0" w:color="auto"/>
        <w:left w:val="none" w:sz="0" w:space="0" w:color="auto"/>
        <w:bottom w:val="none" w:sz="0" w:space="0" w:color="auto"/>
        <w:right w:val="none" w:sz="0" w:space="0" w:color="auto"/>
      </w:divBdr>
    </w:div>
    <w:div w:id="1112358045">
      <w:bodyDiv w:val="1"/>
      <w:marLeft w:val="0"/>
      <w:marRight w:val="0"/>
      <w:marTop w:val="0"/>
      <w:marBottom w:val="0"/>
      <w:divBdr>
        <w:top w:val="none" w:sz="0" w:space="0" w:color="auto"/>
        <w:left w:val="none" w:sz="0" w:space="0" w:color="auto"/>
        <w:bottom w:val="none" w:sz="0" w:space="0" w:color="auto"/>
        <w:right w:val="none" w:sz="0" w:space="0" w:color="auto"/>
      </w:divBdr>
    </w:div>
    <w:div w:id="1119764744">
      <w:bodyDiv w:val="1"/>
      <w:marLeft w:val="0"/>
      <w:marRight w:val="0"/>
      <w:marTop w:val="0"/>
      <w:marBottom w:val="0"/>
      <w:divBdr>
        <w:top w:val="none" w:sz="0" w:space="0" w:color="auto"/>
        <w:left w:val="none" w:sz="0" w:space="0" w:color="auto"/>
        <w:bottom w:val="none" w:sz="0" w:space="0" w:color="auto"/>
        <w:right w:val="none" w:sz="0" w:space="0" w:color="auto"/>
      </w:divBdr>
    </w:div>
    <w:div w:id="1132092784">
      <w:bodyDiv w:val="1"/>
      <w:marLeft w:val="0"/>
      <w:marRight w:val="0"/>
      <w:marTop w:val="0"/>
      <w:marBottom w:val="0"/>
      <w:divBdr>
        <w:top w:val="none" w:sz="0" w:space="0" w:color="auto"/>
        <w:left w:val="none" w:sz="0" w:space="0" w:color="auto"/>
        <w:bottom w:val="none" w:sz="0" w:space="0" w:color="auto"/>
        <w:right w:val="none" w:sz="0" w:space="0" w:color="auto"/>
      </w:divBdr>
    </w:div>
    <w:div w:id="1134524426">
      <w:bodyDiv w:val="1"/>
      <w:marLeft w:val="0"/>
      <w:marRight w:val="0"/>
      <w:marTop w:val="0"/>
      <w:marBottom w:val="0"/>
      <w:divBdr>
        <w:top w:val="none" w:sz="0" w:space="0" w:color="auto"/>
        <w:left w:val="none" w:sz="0" w:space="0" w:color="auto"/>
        <w:bottom w:val="none" w:sz="0" w:space="0" w:color="auto"/>
        <w:right w:val="none" w:sz="0" w:space="0" w:color="auto"/>
      </w:divBdr>
    </w:div>
    <w:div w:id="1146238875">
      <w:bodyDiv w:val="1"/>
      <w:marLeft w:val="0"/>
      <w:marRight w:val="0"/>
      <w:marTop w:val="0"/>
      <w:marBottom w:val="0"/>
      <w:divBdr>
        <w:top w:val="none" w:sz="0" w:space="0" w:color="auto"/>
        <w:left w:val="none" w:sz="0" w:space="0" w:color="auto"/>
        <w:bottom w:val="none" w:sz="0" w:space="0" w:color="auto"/>
        <w:right w:val="none" w:sz="0" w:space="0" w:color="auto"/>
      </w:divBdr>
    </w:div>
    <w:div w:id="1159422595">
      <w:bodyDiv w:val="1"/>
      <w:marLeft w:val="0"/>
      <w:marRight w:val="0"/>
      <w:marTop w:val="0"/>
      <w:marBottom w:val="0"/>
      <w:divBdr>
        <w:top w:val="none" w:sz="0" w:space="0" w:color="auto"/>
        <w:left w:val="none" w:sz="0" w:space="0" w:color="auto"/>
        <w:bottom w:val="none" w:sz="0" w:space="0" w:color="auto"/>
        <w:right w:val="none" w:sz="0" w:space="0" w:color="auto"/>
      </w:divBdr>
    </w:div>
    <w:div w:id="1167524937">
      <w:bodyDiv w:val="1"/>
      <w:marLeft w:val="0"/>
      <w:marRight w:val="0"/>
      <w:marTop w:val="0"/>
      <w:marBottom w:val="0"/>
      <w:divBdr>
        <w:top w:val="none" w:sz="0" w:space="0" w:color="auto"/>
        <w:left w:val="none" w:sz="0" w:space="0" w:color="auto"/>
        <w:bottom w:val="none" w:sz="0" w:space="0" w:color="auto"/>
        <w:right w:val="none" w:sz="0" w:space="0" w:color="auto"/>
      </w:divBdr>
    </w:div>
    <w:div w:id="1167794388">
      <w:bodyDiv w:val="1"/>
      <w:marLeft w:val="0"/>
      <w:marRight w:val="0"/>
      <w:marTop w:val="0"/>
      <w:marBottom w:val="0"/>
      <w:divBdr>
        <w:top w:val="none" w:sz="0" w:space="0" w:color="auto"/>
        <w:left w:val="none" w:sz="0" w:space="0" w:color="auto"/>
        <w:bottom w:val="none" w:sz="0" w:space="0" w:color="auto"/>
        <w:right w:val="none" w:sz="0" w:space="0" w:color="auto"/>
      </w:divBdr>
    </w:div>
    <w:div w:id="1170825519">
      <w:bodyDiv w:val="1"/>
      <w:marLeft w:val="0"/>
      <w:marRight w:val="0"/>
      <w:marTop w:val="0"/>
      <w:marBottom w:val="0"/>
      <w:divBdr>
        <w:top w:val="none" w:sz="0" w:space="0" w:color="auto"/>
        <w:left w:val="none" w:sz="0" w:space="0" w:color="auto"/>
        <w:bottom w:val="none" w:sz="0" w:space="0" w:color="auto"/>
        <w:right w:val="none" w:sz="0" w:space="0" w:color="auto"/>
      </w:divBdr>
    </w:div>
    <w:div w:id="1178230049">
      <w:bodyDiv w:val="1"/>
      <w:marLeft w:val="0"/>
      <w:marRight w:val="0"/>
      <w:marTop w:val="0"/>
      <w:marBottom w:val="0"/>
      <w:divBdr>
        <w:top w:val="none" w:sz="0" w:space="0" w:color="auto"/>
        <w:left w:val="none" w:sz="0" w:space="0" w:color="auto"/>
        <w:bottom w:val="none" w:sz="0" w:space="0" w:color="auto"/>
        <w:right w:val="none" w:sz="0" w:space="0" w:color="auto"/>
      </w:divBdr>
    </w:div>
    <w:div w:id="1185094853">
      <w:bodyDiv w:val="1"/>
      <w:marLeft w:val="0"/>
      <w:marRight w:val="0"/>
      <w:marTop w:val="0"/>
      <w:marBottom w:val="0"/>
      <w:divBdr>
        <w:top w:val="none" w:sz="0" w:space="0" w:color="auto"/>
        <w:left w:val="none" w:sz="0" w:space="0" w:color="auto"/>
        <w:bottom w:val="none" w:sz="0" w:space="0" w:color="auto"/>
        <w:right w:val="none" w:sz="0" w:space="0" w:color="auto"/>
      </w:divBdr>
    </w:div>
    <w:div w:id="1195340145">
      <w:bodyDiv w:val="1"/>
      <w:marLeft w:val="0"/>
      <w:marRight w:val="0"/>
      <w:marTop w:val="0"/>
      <w:marBottom w:val="0"/>
      <w:divBdr>
        <w:top w:val="none" w:sz="0" w:space="0" w:color="auto"/>
        <w:left w:val="none" w:sz="0" w:space="0" w:color="auto"/>
        <w:bottom w:val="none" w:sz="0" w:space="0" w:color="auto"/>
        <w:right w:val="none" w:sz="0" w:space="0" w:color="auto"/>
      </w:divBdr>
    </w:div>
    <w:div w:id="1196112963">
      <w:bodyDiv w:val="1"/>
      <w:marLeft w:val="0"/>
      <w:marRight w:val="0"/>
      <w:marTop w:val="0"/>
      <w:marBottom w:val="0"/>
      <w:divBdr>
        <w:top w:val="none" w:sz="0" w:space="0" w:color="auto"/>
        <w:left w:val="none" w:sz="0" w:space="0" w:color="auto"/>
        <w:bottom w:val="none" w:sz="0" w:space="0" w:color="auto"/>
        <w:right w:val="none" w:sz="0" w:space="0" w:color="auto"/>
      </w:divBdr>
    </w:div>
    <w:div w:id="1202210426">
      <w:bodyDiv w:val="1"/>
      <w:marLeft w:val="0"/>
      <w:marRight w:val="0"/>
      <w:marTop w:val="0"/>
      <w:marBottom w:val="0"/>
      <w:divBdr>
        <w:top w:val="none" w:sz="0" w:space="0" w:color="auto"/>
        <w:left w:val="none" w:sz="0" w:space="0" w:color="auto"/>
        <w:bottom w:val="none" w:sz="0" w:space="0" w:color="auto"/>
        <w:right w:val="none" w:sz="0" w:space="0" w:color="auto"/>
      </w:divBdr>
    </w:div>
    <w:div w:id="1210260113">
      <w:bodyDiv w:val="1"/>
      <w:marLeft w:val="0"/>
      <w:marRight w:val="0"/>
      <w:marTop w:val="0"/>
      <w:marBottom w:val="0"/>
      <w:divBdr>
        <w:top w:val="none" w:sz="0" w:space="0" w:color="auto"/>
        <w:left w:val="none" w:sz="0" w:space="0" w:color="auto"/>
        <w:bottom w:val="none" w:sz="0" w:space="0" w:color="auto"/>
        <w:right w:val="none" w:sz="0" w:space="0" w:color="auto"/>
      </w:divBdr>
    </w:div>
    <w:div w:id="1220751238">
      <w:bodyDiv w:val="1"/>
      <w:marLeft w:val="0"/>
      <w:marRight w:val="0"/>
      <w:marTop w:val="0"/>
      <w:marBottom w:val="0"/>
      <w:divBdr>
        <w:top w:val="none" w:sz="0" w:space="0" w:color="auto"/>
        <w:left w:val="none" w:sz="0" w:space="0" w:color="auto"/>
        <w:bottom w:val="none" w:sz="0" w:space="0" w:color="auto"/>
        <w:right w:val="none" w:sz="0" w:space="0" w:color="auto"/>
      </w:divBdr>
    </w:div>
    <w:div w:id="1224632823">
      <w:bodyDiv w:val="1"/>
      <w:marLeft w:val="0"/>
      <w:marRight w:val="0"/>
      <w:marTop w:val="0"/>
      <w:marBottom w:val="0"/>
      <w:divBdr>
        <w:top w:val="none" w:sz="0" w:space="0" w:color="auto"/>
        <w:left w:val="none" w:sz="0" w:space="0" w:color="auto"/>
        <w:bottom w:val="none" w:sz="0" w:space="0" w:color="auto"/>
        <w:right w:val="none" w:sz="0" w:space="0" w:color="auto"/>
      </w:divBdr>
    </w:div>
    <w:div w:id="1242452508">
      <w:bodyDiv w:val="1"/>
      <w:marLeft w:val="0"/>
      <w:marRight w:val="0"/>
      <w:marTop w:val="0"/>
      <w:marBottom w:val="0"/>
      <w:divBdr>
        <w:top w:val="none" w:sz="0" w:space="0" w:color="auto"/>
        <w:left w:val="none" w:sz="0" w:space="0" w:color="auto"/>
        <w:bottom w:val="none" w:sz="0" w:space="0" w:color="auto"/>
        <w:right w:val="none" w:sz="0" w:space="0" w:color="auto"/>
      </w:divBdr>
    </w:div>
    <w:div w:id="1243564130">
      <w:bodyDiv w:val="1"/>
      <w:marLeft w:val="0"/>
      <w:marRight w:val="0"/>
      <w:marTop w:val="0"/>
      <w:marBottom w:val="0"/>
      <w:divBdr>
        <w:top w:val="none" w:sz="0" w:space="0" w:color="auto"/>
        <w:left w:val="none" w:sz="0" w:space="0" w:color="auto"/>
        <w:bottom w:val="none" w:sz="0" w:space="0" w:color="auto"/>
        <w:right w:val="none" w:sz="0" w:space="0" w:color="auto"/>
      </w:divBdr>
    </w:div>
    <w:div w:id="1252811914">
      <w:bodyDiv w:val="1"/>
      <w:marLeft w:val="0"/>
      <w:marRight w:val="0"/>
      <w:marTop w:val="0"/>
      <w:marBottom w:val="0"/>
      <w:divBdr>
        <w:top w:val="none" w:sz="0" w:space="0" w:color="auto"/>
        <w:left w:val="none" w:sz="0" w:space="0" w:color="auto"/>
        <w:bottom w:val="none" w:sz="0" w:space="0" w:color="auto"/>
        <w:right w:val="none" w:sz="0" w:space="0" w:color="auto"/>
      </w:divBdr>
    </w:div>
    <w:div w:id="1263759453">
      <w:bodyDiv w:val="1"/>
      <w:marLeft w:val="0"/>
      <w:marRight w:val="0"/>
      <w:marTop w:val="0"/>
      <w:marBottom w:val="0"/>
      <w:divBdr>
        <w:top w:val="none" w:sz="0" w:space="0" w:color="auto"/>
        <w:left w:val="none" w:sz="0" w:space="0" w:color="auto"/>
        <w:bottom w:val="none" w:sz="0" w:space="0" w:color="auto"/>
        <w:right w:val="none" w:sz="0" w:space="0" w:color="auto"/>
      </w:divBdr>
    </w:div>
    <w:div w:id="1281259784">
      <w:bodyDiv w:val="1"/>
      <w:marLeft w:val="0"/>
      <w:marRight w:val="0"/>
      <w:marTop w:val="0"/>
      <w:marBottom w:val="0"/>
      <w:divBdr>
        <w:top w:val="none" w:sz="0" w:space="0" w:color="auto"/>
        <w:left w:val="none" w:sz="0" w:space="0" w:color="auto"/>
        <w:bottom w:val="none" w:sz="0" w:space="0" w:color="auto"/>
        <w:right w:val="none" w:sz="0" w:space="0" w:color="auto"/>
      </w:divBdr>
    </w:div>
    <w:div w:id="1283802046">
      <w:bodyDiv w:val="1"/>
      <w:marLeft w:val="0"/>
      <w:marRight w:val="0"/>
      <w:marTop w:val="0"/>
      <w:marBottom w:val="0"/>
      <w:divBdr>
        <w:top w:val="none" w:sz="0" w:space="0" w:color="auto"/>
        <w:left w:val="none" w:sz="0" w:space="0" w:color="auto"/>
        <w:bottom w:val="none" w:sz="0" w:space="0" w:color="auto"/>
        <w:right w:val="none" w:sz="0" w:space="0" w:color="auto"/>
      </w:divBdr>
    </w:div>
    <w:div w:id="1285042019">
      <w:bodyDiv w:val="1"/>
      <w:marLeft w:val="0"/>
      <w:marRight w:val="0"/>
      <w:marTop w:val="0"/>
      <w:marBottom w:val="0"/>
      <w:divBdr>
        <w:top w:val="none" w:sz="0" w:space="0" w:color="auto"/>
        <w:left w:val="none" w:sz="0" w:space="0" w:color="auto"/>
        <w:bottom w:val="none" w:sz="0" w:space="0" w:color="auto"/>
        <w:right w:val="none" w:sz="0" w:space="0" w:color="auto"/>
      </w:divBdr>
    </w:div>
    <w:div w:id="1315837308">
      <w:bodyDiv w:val="1"/>
      <w:marLeft w:val="0"/>
      <w:marRight w:val="0"/>
      <w:marTop w:val="0"/>
      <w:marBottom w:val="0"/>
      <w:divBdr>
        <w:top w:val="none" w:sz="0" w:space="0" w:color="auto"/>
        <w:left w:val="none" w:sz="0" w:space="0" w:color="auto"/>
        <w:bottom w:val="none" w:sz="0" w:space="0" w:color="auto"/>
        <w:right w:val="none" w:sz="0" w:space="0" w:color="auto"/>
      </w:divBdr>
    </w:div>
    <w:div w:id="1316689849">
      <w:bodyDiv w:val="1"/>
      <w:marLeft w:val="0"/>
      <w:marRight w:val="0"/>
      <w:marTop w:val="0"/>
      <w:marBottom w:val="0"/>
      <w:divBdr>
        <w:top w:val="none" w:sz="0" w:space="0" w:color="auto"/>
        <w:left w:val="none" w:sz="0" w:space="0" w:color="auto"/>
        <w:bottom w:val="none" w:sz="0" w:space="0" w:color="auto"/>
        <w:right w:val="none" w:sz="0" w:space="0" w:color="auto"/>
      </w:divBdr>
    </w:div>
    <w:div w:id="1319380868">
      <w:bodyDiv w:val="1"/>
      <w:marLeft w:val="0"/>
      <w:marRight w:val="0"/>
      <w:marTop w:val="0"/>
      <w:marBottom w:val="0"/>
      <w:divBdr>
        <w:top w:val="none" w:sz="0" w:space="0" w:color="auto"/>
        <w:left w:val="none" w:sz="0" w:space="0" w:color="auto"/>
        <w:bottom w:val="none" w:sz="0" w:space="0" w:color="auto"/>
        <w:right w:val="none" w:sz="0" w:space="0" w:color="auto"/>
      </w:divBdr>
    </w:div>
    <w:div w:id="1329136682">
      <w:bodyDiv w:val="1"/>
      <w:marLeft w:val="0"/>
      <w:marRight w:val="0"/>
      <w:marTop w:val="0"/>
      <w:marBottom w:val="0"/>
      <w:divBdr>
        <w:top w:val="none" w:sz="0" w:space="0" w:color="auto"/>
        <w:left w:val="none" w:sz="0" w:space="0" w:color="auto"/>
        <w:bottom w:val="none" w:sz="0" w:space="0" w:color="auto"/>
        <w:right w:val="none" w:sz="0" w:space="0" w:color="auto"/>
      </w:divBdr>
    </w:div>
    <w:div w:id="1332373828">
      <w:bodyDiv w:val="1"/>
      <w:marLeft w:val="0"/>
      <w:marRight w:val="0"/>
      <w:marTop w:val="0"/>
      <w:marBottom w:val="0"/>
      <w:divBdr>
        <w:top w:val="none" w:sz="0" w:space="0" w:color="auto"/>
        <w:left w:val="none" w:sz="0" w:space="0" w:color="auto"/>
        <w:bottom w:val="none" w:sz="0" w:space="0" w:color="auto"/>
        <w:right w:val="none" w:sz="0" w:space="0" w:color="auto"/>
      </w:divBdr>
    </w:div>
    <w:div w:id="1340039856">
      <w:bodyDiv w:val="1"/>
      <w:marLeft w:val="0"/>
      <w:marRight w:val="0"/>
      <w:marTop w:val="0"/>
      <w:marBottom w:val="0"/>
      <w:divBdr>
        <w:top w:val="none" w:sz="0" w:space="0" w:color="auto"/>
        <w:left w:val="none" w:sz="0" w:space="0" w:color="auto"/>
        <w:bottom w:val="none" w:sz="0" w:space="0" w:color="auto"/>
        <w:right w:val="none" w:sz="0" w:space="0" w:color="auto"/>
      </w:divBdr>
    </w:div>
    <w:div w:id="1340739184">
      <w:bodyDiv w:val="1"/>
      <w:marLeft w:val="0"/>
      <w:marRight w:val="0"/>
      <w:marTop w:val="0"/>
      <w:marBottom w:val="0"/>
      <w:divBdr>
        <w:top w:val="none" w:sz="0" w:space="0" w:color="auto"/>
        <w:left w:val="none" w:sz="0" w:space="0" w:color="auto"/>
        <w:bottom w:val="none" w:sz="0" w:space="0" w:color="auto"/>
        <w:right w:val="none" w:sz="0" w:space="0" w:color="auto"/>
      </w:divBdr>
    </w:div>
    <w:div w:id="1351302533">
      <w:bodyDiv w:val="1"/>
      <w:marLeft w:val="0"/>
      <w:marRight w:val="0"/>
      <w:marTop w:val="0"/>
      <w:marBottom w:val="0"/>
      <w:divBdr>
        <w:top w:val="none" w:sz="0" w:space="0" w:color="auto"/>
        <w:left w:val="none" w:sz="0" w:space="0" w:color="auto"/>
        <w:bottom w:val="none" w:sz="0" w:space="0" w:color="auto"/>
        <w:right w:val="none" w:sz="0" w:space="0" w:color="auto"/>
      </w:divBdr>
    </w:div>
    <w:div w:id="1370228524">
      <w:bodyDiv w:val="1"/>
      <w:marLeft w:val="0"/>
      <w:marRight w:val="0"/>
      <w:marTop w:val="0"/>
      <w:marBottom w:val="0"/>
      <w:divBdr>
        <w:top w:val="none" w:sz="0" w:space="0" w:color="auto"/>
        <w:left w:val="none" w:sz="0" w:space="0" w:color="auto"/>
        <w:bottom w:val="none" w:sz="0" w:space="0" w:color="auto"/>
        <w:right w:val="none" w:sz="0" w:space="0" w:color="auto"/>
      </w:divBdr>
    </w:div>
    <w:div w:id="1386559955">
      <w:bodyDiv w:val="1"/>
      <w:marLeft w:val="0"/>
      <w:marRight w:val="0"/>
      <w:marTop w:val="0"/>
      <w:marBottom w:val="0"/>
      <w:divBdr>
        <w:top w:val="none" w:sz="0" w:space="0" w:color="auto"/>
        <w:left w:val="none" w:sz="0" w:space="0" w:color="auto"/>
        <w:bottom w:val="none" w:sz="0" w:space="0" w:color="auto"/>
        <w:right w:val="none" w:sz="0" w:space="0" w:color="auto"/>
      </w:divBdr>
    </w:div>
    <w:div w:id="1396126233">
      <w:bodyDiv w:val="1"/>
      <w:marLeft w:val="0"/>
      <w:marRight w:val="0"/>
      <w:marTop w:val="0"/>
      <w:marBottom w:val="0"/>
      <w:divBdr>
        <w:top w:val="none" w:sz="0" w:space="0" w:color="auto"/>
        <w:left w:val="none" w:sz="0" w:space="0" w:color="auto"/>
        <w:bottom w:val="none" w:sz="0" w:space="0" w:color="auto"/>
        <w:right w:val="none" w:sz="0" w:space="0" w:color="auto"/>
      </w:divBdr>
    </w:div>
    <w:div w:id="1409301899">
      <w:bodyDiv w:val="1"/>
      <w:marLeft w:val="0"/>
      <w:marRight w:val="0"/>
      <w:marTop w:val="0"/>
      <w:marBottom w:val="0"/>
      <w:divBdr>
        <w:top w:val="none" w:sz="0" w:space="0" w:color="auto"/>
        <w:left w:val="none" w:sz="0" w:space="0" w:color="auto"/>
        <w:bottom w:val="none" w:sz="0" w:space="0" w:color="auto"/>
        <w:right w:val="none" w:sz="0" w:space="0" w:color="auto"/>
      </w:divBdr>
    </w:div>
    <w:div w:id="1413577236">
      <w:bodyDiv w:val="1"/>
      <w:marLeft w:val="0"/>
      <w:marRight w:val="0"/>
      <w:marTop w:val="0"/>
      <w:marBottom w:val="0"/>
      <w:divBdr>
        <w:top w:val="none" w:sz="0" w:space="0" w:color="auto"/>
        <w:left w:val="none" w:sz="0" w:space="0" w:color="auto"/>
        <w:bottom w:val="none" w:sz="0" w:space="0" w:color="auto"/>
        <w:right w:val="none" w:sz="0" w:space="0" w:color="auto"/>
      </w:divBdr>
    </w:div>
    <w:div w:id="1447655521">
      <w:bodyDiv w:val="1"/>
      <w:marLeft w:val="0"/>
      <w:marRight w:val="0"/>
      <w:marTop w:val="0"/>
      <w:marBottom w:val="0"/>
      <w:divBdr>
        <w:top w:val="none" w:sz="0" w:space="0" w:color="auto"/>
        <w:left w:val="none" w:sz="0" w:space="0" w:color="auto"/>
        <w:bottom w:val="none" w:sz="0" w:space="0" w:color="auto"/>
        <w:right w:val="none" w:sz="0" w:space="0" w:color="auto"/>
      </w:divBdr>
    </w:div>
    <w:div w:id="1449668013">
      <w:bodyDiv w:val="1"/>
      <w:marLeft w:val="0"/>
      <w:marRight w:val="0"/>
      <w:marTop w:val="0"/>
      <w:marBottom w:val="0"/>
      <w:divBdr>
        <w:top w:val="none" w:sz="0" w:space="0" w:color="auto"/>
        <w:left w:val="none" w:sz="0" w:space="0" w:color="auto"/>
        <w:bottom w:val="none" w:sz="0" w:space="0" w:color="auto"/>
        <w:right w:val="none" w:sz="0" w:space="0" w:color="auto"/>
      </w:divBdr>
    </w:div>
    <w:div w:id="1456563511">
      <w:bodyDiv w:val="1"/>
      <w:marLeft w:val="0"/>
      <w:marRight w:val="0"/>
      <w:marTop w:val="0"/>
      <w:marBottom w:val="0"/>
      <w:divBdr>
        <w:top w:val="none" w:sz="0" w:space="0" w:color="auto"/>
        <w:left w:val="none" w:sz="0" w:space="0" w:color="auto"/>
        <w:bottom w:val="none" w:sz="0" w:space="0" w:color="auto"/>
        <w:right w:val="none" w:sz="0" w:space="0" w:color="auto"/>
      </w:divBdr>
    </w:div>
    <w:div w:id="1473668599">
      <w:bodyDiv w:val="1"/>
      <w:marLeft w:val="0"/>
      <w:marRight w:val="0"/>
      <w:marTop w:val="0"/>
      <w:marBottom w:val="0"/>
      <w:divBdr>
        <w:top w:val="none" w:sz="0" w:space="0" w:color="auto"/>
        <w:left w:val="none" w:sz="0" w:space="0" w:color="auto"/>
        <w:bottom w:val="none" w:sz="0" w:space="0" w:color="auto"/>
        <w:right w:val="none" w:sz="0" w:space="0" w:color="auto"/>
      </w:divBdr>
    </w:div>
    <w:div w:id="1481196487">
      <w:bodyDiv w:val="1"/>
      <w:marLeft w:val="0"/>
      <w:marRight w:val="0"/>
      <w:marTop w:val="0"/>
      <w:marBottom w:val="0"/>
      <w:divBdr>
        <w:top w:val="none" w:sz="0" w:space="0" w:color="auto"/>
        <w:left w:val="none" w:sz="0" w:space="0" w:color="auto"/>
        <w:bottom w:val="none" w:sz="0" w:space="0" w:color="auto"/>
        <w:right w:val="none" w:sz="0" w:space="0" w:color="auto"/>
      </w:divBdr>
    </w:div>
    <w:div w:id="1484467918">
      <w:bodyDiv w:val="1"/>
      <w:marLeft w:val="0"/>
      <w:marRight w:val="0"/>
      <w:marTop w:val="0"/>
      <w:marBottom w:val="0"/>
      <w:divBdr>
        <w:top w:val="none" w:sz="0" w:space="0" w:color="auto"/>
        <w:left w:val="none" w:sz="0" w:space="0" w:color="auto"/>
        <w:bottom w:val="none" w:sz="0" w:space="0" w:color="auto"/>
        <w:right w:val="none" w:sz="0" w:space="0" w:color="auto"/>
      </w:divBdr>
    </w:div>
    <w:div w:id="1497115374">
      <w:bodyDiv w:val="1"/>
      <w:marLeft w:val="0"/>
      <w:marRight w:val="0"/>
      <w:marTop w:val="0"/>
      <w:marBottom w:val="0"/>
      <w:divBdr>
        <w:top w:val="none" w:sz="0" w:space="0" w:color="auto"/>
        <w:left w:val="none" w:sz="0" w:space="0" w:color="auto"/>
        <w:bottom w:val="none" w:sz="0" w:space="0" w:color="auto"/>
        <w:right w:val="none" w:sz="0" w:space="0" w:color="auto"/>
      </w:divBdr>
    </w:div>
    <w:div w:id="1499810926">
      <w:bodyDiv w:val="1"/>
      <w:marLeft w:val="0"/>
      <w:marRight w:val="0"/>
      <w:marTop w:val="0"/>
      <w:marBottom w:val="0"/>
      <w:divBdr>
        <w:top w:val="none" w:sz="0" w:space="0" w:color="auto"/>
        <w:left w:val="none" w:sz="0" w:space="0" w:color="auto"/>
        <w:bottom w:val="none" w:sz="0" w:space="0" w:color="auto"/>
        <w:right w:val="none" w:sz="0" w:space="0" w:color="auto"/>
      </w:divBdr>
    </w:div>
    <w:div w:id="1505894055">
      <w:bodyDiv w:val="1"/>
      <w:marLeft w:val="0"/>
      <w:marRight w:val="0"/>
      <w:marTop w:val="0"/>
      <w:marBottom w:val="0"/>
      <w:divBdr>
        <w:top w:val="none" w:sz="0" w:space="0" w:color="auto"/>
        <w:left w:val="none" w:sz="0" w:space="0" w:color="auto"/>
        <w:bottom w:val="none" w:sz="0" w:space="0" w:color="auto"/>
        <w:right w:val="none" w:sz="0" w:space="0" w:color="auto"/>
      </w:divBdr>
    </w:div>
    <w:div w:id="1520700930">
      <w:bodyDiv w:val="1"/>
      <w:marLeft w:val="0"/>
      <w:marRight w:val="0"/>
      <w:marTop w:val="0"/>
      <w:marBottom w:val="0"/>
      <w:divBdr>
        <w:top w:val="none" w:sz="0" w:space="0" w:color="auto"/>
        <w:left w:val="none" w:sz="0" w:space="0" w:color="auto"/>
        <w:bottom w:val="none" w:sz="0" w:space="0" w:color="auto"/>
        <w:right w:val="none" w:sz="0" w:space="0" w:color="auto"/>
      </w:divBdr>
    </w:div>
    <w:div w:id="1524324348">
      <w:bodyDiv w:val="1"/>
      <w:marLeft w:val="0"/>
      <w:marRight w:val="0"/>
      <w:marTop w:val="0"/>
      <w:marBottom w:val="0"/>
      <w:divBdr>
        <w:top w:val="none" w:sz="0" w:space="0" w:color="auto"/>
        <w:left w:val="none" w:sz="0" w:space="0" w:color="auto"/>
        <w:bottom w:val="none" w:sz="0" w:space="0" w:color="auto"/>
        <w:right w:val="none" w:sz="0" w:space="0" w:color="auto"/>
      </w:divBdr>
    </w:div>
    <w:div w:id="1533421104">
      <w:bodyDiv w:val="1"/>
      <w:marLeft w:val="0"/>
      <w:marRight w:val="0"/>
      <w:marTop w:val="0"/>
      <w:marBottom w:val="0"/>
      <w:divBdr>
        <w:top w:val="none" w:sz="0" w:space="0" w:color="auto"/>
        <w:left w:val="none" w:sz="0" w:space="0" w:color="auto"/>
        <w:bottom w:val="none" w:sz="0" w:space="0" w:color="auto"/>
        <w:right w:val="none" w:sz="0" w:space="0" w:color="auto"/>
      </w:divBdr>
    </w:div>
    <w:div w:id="1539931142">
      <w:bodyDiv w:val="1"/>
      <w:marLeft w:val="0"/>
      <w:marRight w:val="0"/>
      <w:marTop w:val="0"/>
      <w:marBottom w:val="0"/>
      <w:divBdr>
        <w:top w:val="none" w:sz="0" w:space="0" w:color="auto"/>
        <w:left w:val="none" w:sz="0" w:space="0" w:color="auto"/>
        <w:bottom w:val="none" w:sz="0" w:space="0" w:color="auto"/>
        <w:right w:val="none" w:sz="0" w:space="0" w:color="auto"/>
      </w:divBdr>
    </w:div>
    <w:div w:id="1547136733">
      <w:bodyDiv w:val="1"/>
      <w:marLeft w:val="0"/>
      <w:marRight w:val="0"/>
      <w:marTop w:val="0"/>
      <w:marBottom w:val="0"/>
      <w:divBdr>
        <w:top w:val="none" w:sz="0" w:space="0" w:color="auto"/>
        <w:left w:val="none" w:sz="0" w:space="0" w:color="auto"/>
        <w:bottom w:val="none" w:sz="0" w:space="0" w:color="auto"/>
        <w:right w:val="none" w:sz="0" w:space="0" w:color="auto"/>
      </w:divBdr>
    </w:div>
    <w:div w:id="1554384182">
      <w:bodyDiv w:val="1"/>
      <w:marLeft w:val="0"/>
      <w:marRight w:val="0"/>
      <w:marTop w:val="0"/>
      <w:marBottom w:val="0"/>
      <w:divBdr>
        <w:top w:val="none" w:sz="0" w:space="0" w:color="auto"/>
        <w:left w:val="none" w:sz="0" w:space="0" w:color="auto"/>
        <w:bottom w:val="none" w:sz="0" w:space="0" w:color="auto"/>
        <w:right w:val="none" w:sz="0" w:space="0" w:color="auto"/>
      </w:divBdr>
    </w:div>
    <w:div w:id="1555002643">
      <w:bodyDiv w:val="1"/>
      <w:marLeft w:val="0"/>
      <w:marRight w:val="0"/>
      <w:marTop w:val="0"/>
      <w:marBottom w:val="0"/>
      <w:divBdr>
        <w:top w:val="none" w:sz="0" w:space="0" w:color="auto"/>
        <w:left w:val="none" w:sz="0" w:space="0" w:color="auto"/>
        <w:bottom w:val="none" w:sz="0" w:space="0" w:color="auto"/>
        <w:right w:val="none" w:sz="0" w:space="0" w:color="auto"/>
      </w:divBdr>
      <w:divsChild>
        <w:div w:id="538052261">
          <w:marLeft w:val="720"/>
          <w:marRight w:val="0"/>
          <w:marTop w:val="0"/>
          <w:marBottom w:val="0"/>
          <w:divBdr>
            <w:top w:val="none" w:sz="0" w:space="0" w:color="auto"/>
            <w:left w:val="none" w:sz="0" w:space="0" w:color="auto"/>
            <w:bottom w:val="none" w:sz="0" w:space="0" w:color="auto"/>
            <w:right w:val="none" w:sz="0" w:space="0" w:color="auto"/>
          </w:divBdr>
        </w:div>
        <w:div w:id="564875030">
          <w:marLeft w:val="720"/>
          <w:marRight w:val="0"/>
          <w:marTop w:val="0"/>
          <w:marBottom w:val="0"/>
          <w:divBdr>
            <w:top w:val="none" w:sz="0" w:space="0" w:color="auto"/>
            <w:left w:val="none" w:sz="0" w:space="0" w:color="auto"/>
            <w:bottom w:val="none" w:sz="0" w:space="0" w:color="auto"/>
            <w:right w:val="none" w:sz="0" w:space="0" w:color="auto"/>
          </w:divBdr>
        </w:div>
        <w:div w:id="923227706">
          <w:marLeft w:val="720"/>
          <w:marRight w:val="0"/>
          <w:marTop w:val="0"/>
          <w:marBottom w:val="0"/>
          <w:divBdr>
            <w:top w:val="none" w:sz="0" w:space="0" w:color="auto"/>
            <w:left w:val="none" w:sz="0" w:space="0" w:color="auto"/>
            <w:bottom w:val="none" w:sz="0" w:space="0" w:color="auto"/>
            <w:right w:val="none" w:sz="0" w:space="0" w:color="auto"/>
          </w:divBdr>
        </w:div>
        <w:div w:id="1244991788">
          <w:marLeft w:val="720"/>
          <w:marRight w:val="0"/>
          <w:marTop w:val="0"/>
          <w:marBottom w:val="0"/>
          <w:divBdr>
            <w:top w:val="none" w:sz="0" w:space="0" w:color="auto"/>
            <w:left w:val="none" w:sz="0" w:space="0" w:color="auto"/>
            <w:bottom w:val="none" w:sz="0" w:space="0" w:color="auto"/>
            <w:right w:val="none" w:sz="0" w:space="0" w:color="auto"/>
          </w:divBdr>
        </w:div>
        <w:div w:id="1618484325">
          <w:marLeft w:val="720"/>
          <w:marRight w:val="0"/>
          <w:marTop w:val="0"/>
          <w:marBottom w:val="0"/>
          <w:divBdr>
            <w:top w:val="none" w:sz="0" w:space="0" w:color="auto"/>
            <w:left w:val="none" w:sz="0" w:space="0" w:color="auto"/>
            <w:bottom w:val="none" w:sz="0" w:space="0" w:color="auto"/>
            <w:right w:val="none" w:sz="0" w:space="0" w:color="auto"/>
          </w:divBdr>
        </w:div>
        <w:div w:id="1658260172">
          <w:marLeft w:val="720"/>
          <w:marRight w:val="0"/>
          <w:marTop w:val="0"/>
          <w:marBottom w:val="0"/>
          <w:divBdr>
            <w:top w:val="none" w:sz="0" w:space="0" w:color="auto"/>
            <w:left w:val="none" w:sz="0" w:space="0" w:color="auto"/>
            <w:bottom w:val="none" w:sz="0" w:space="0" w:color="auto"/>
            <w:right w:val="none" w:sz="0" w:space="0" w:color="auto"/>
          </w:divBdr>
        </w:div>
        <w:div w:id="1672485442">
          <w:marLeft w:val="0"/>
          <w:marRight w:val="0"/>
          <w:marTop w:val="0"/>
          <w:marBottom w:val="0"/>
          <w:divBdr>
            <w:top w:val="none" w:sz="0" w:space="0" w:color="auto"/>
            <w:left w:val="none" w:sz="0" w:space="0" w:color="auto"/>
            <w:bottom w:val="none" w:sz="0" w:space="0" w:color="auto"/>
            <w:right w:val="none" w:sz="0" w:space="0" w:color="auto"/>
          </w:divBdr>
        </w:div>
        <w:div w:id="1824816273">
          <w:marLeft w:val="720"/>
          <w:marRight w:val="0"/>
          <w:marTop w:val="0"/>
          <w:marBottom w:val="0"/>
          <w:divBdr>
            <w:top w:val="none" w:sz="0" w:space="0" w:color="auto"/>
            <w:left w:val="none" w:sz="0" w:space="0" w:color="auto"/>
            <w:bottom w:val="none" w:sz="0" w:space="0" w:color="auto"/>
            <w:right w:val="none" w:sz="0" w:space="0" w:color="auto"/>
          </w:divBdr>
        </w:div>
        <w:div w:id="2036033618">
          <w:marLeft w:val="720"/>
          <w:marRight w:val="0"/>
          <w:marTop w:val="0"/>
          <w:marBottom w:val="0"/>
          <w:divBdr>
            <w:top w:val="none" w:sz="0" w:space="0" w:color="auto"/>
            <w:left w:val="none" w:sz="0" w:space="0" w:color="auto"/>
            <w:bottom w:val="none" w:sz="0" w:space="0" w:color="auto"/>
            <w:right w:val="none" w:sz="0" w:space="0" w:color="auto"/>
          </w:divBdr>
        </w:div>
        <w:div w:id="2075198947">
          <w:marLeft w:val="720"/>
          <w:marRight w:val="0"/>
          <w:marTop w:val="0"/>
          <w:marBottom w:val="160"/>
          <w:divBdr>
            <w:top w:val="none" w:sz="0" w:space="0" w:color="auto"/>
            <w:left w:val="none" w:sz="0" w:space="0" w:color="auto"/>
            <w:bottom w:val="none" w:sz="0" w:space="0" w:color="auto"/>
            <w:right w:val="none" w:sz="0" w:space="0" w:color="auto"/>
          </w:divBdr>
        </w:div>
        <w:div w:id="2133202505">
          <w:marLeft w:val="720"/>
          <w:marRight w:val="0"/>
          <w:marTop w:val="0"/>
          <w:marBottom w:val="0"/>
          <w:divBdr>
            <w:top w:val="none" w:sz="0" w:space="0" w:color="auto"/>
            <w:left w:val="none" w:sz="0" w:space="0" w:color="auto"/>
            <w:bottom w:val="none" w:sz="0" w:space="0" w:color="auto"/>
            <w:right w:val="none" w:sz="0" w:space="0" w:color="auto"/>
          </w:divBdr>
        </w:div>
      </w:divsChild>
    </w:div>
    <w:div w:id="1561163621">
      <w:bodyDiv w:val="1"/>
      <w:marLeft w:val="0"/>
      <w:marRight w:val="0"/>
      <w:marTop w:val="0"/>
      <w:marBottom w:val="0"/>
      <w:divBdr>
        <w:top w:val="none" w:sz="0" w:space="0" w:color="auto"/>
        <w:left w:val="none" w:sz="0" w:space="0" w:color="auto"/>
        <w:bottom w:val="none" w:sz="0" w:space="0" w:color="auto"/>
        <w:right w:val="none" w:sz="0" w:space="0" w:color="auto"/>
      </w:divBdr>
    </w:div>
    <w:div w:id="1565026112">
      <w:bodyDiv w:val="1"/>
      <w:marLeft w:val="0"/>
      <w:marRight w:val="0"/>
      <w:marTop w:val="0"/>
      <w:marBottom w:val="0"/>
      <w:divBdr>
        <w:top w:val="none" w:sz="0" w:space="0" w:color="auto"/>
        <w:left w:val="none" w:sz="0" w:space="0" w:color="auto"/>
        <w:bottom w:val="none" w:sz="0" w:space="0" w:color="auto"/>
        <w:right w:val="none" w:sz="0" w:space="0" w:color="auto"/>
      </w:divBdr>
    </w:div>
    <w:div w:id="1574242266">
      <w:bodyDiv w:val="1"/>
      <w:marLeft w:val="0"/>
      <w:marRight w:val="0"/>
      <w:marTop w:val="0"/>
      <w:marBottom w:val="0"/>
      <w:divBdr>
        <w:top w:val="none" w:sz="0" w:space="0" w:color="auto"/>
        <w:left w:val="none" w:sz="0" w:space="0" w:color="auto"/>
        <w:bottom w:val="none" w:sz="0" w:space="0" w:color="auto"/>
        <w:right w:val="none" w:sz="0" w:space="0" w:color="auto"/>
      </w:divBdr>
    </w:div>
    <w:div w:id="1587572285">
      <w:bodyDiv w:val="1"/>
      <w:marLeft w:val="0"/>
      <w:marRight w:val="0"/>
      <w:marTop w:val="0"/>
      <w:marBottom w:val="0"/>
      <w:divBdr>
        <w:top w:val="none" w:sz="0" w:space="0" w:color="auto"/>
        <w:left w:val="none" w:sz="0" w:space="0" w:color="auto"/>
        <w:bottom w:val="none" w:sz="0" w:space="0" w:color="auto"/>
        <w:right w:val="none" w:sz="0" w:space="0" w:color="auto"/>
      </w:divBdr>
    </w:div>
    <w:div w:id="1595551891">
      <w:bodyDiv w:val="1"/>
      <w:marLeft w:val="0"/>
      <w:marRight w:val="0"/>
      <w:marTop w:val="0"/>
      <w:marBottom w:val="0"/>
      <w:divBdr>
        <w:top w:val="none" w:sz="0" w:space="0" w:color="auto"/>
        <w:left w:val="none" w:sz="0" w:space="0" w:color="auto"/>
        <w:bottom w:val="none" w:sz="0" w:space="0" w:color="auto"/>
        <w:right w:val="none" w:sz="0" w:space="0" w:color="auto"/>
      </w:divBdr>
    </w:div>
    <w:div w:id="1601643817">
      <w:bodyDiv w:val="1"/>
      <w:marLeft w:val="0"/>
      <w:marRight w:val="0"/>
      <w:marTop w:val="0"/>
      <w:marBottom w:val="0"/>
      <w:divBdr>
        <w:top w:val="none" w:sz="0" w:space="0" w:color="auto"/>
        <w:left w:val="none" w:sz="0" w:space="0" w:color="auto"/>
        <w:bottom w:val="none" w:sz="0" w:space="0" w:color="auto"/>
        <w:right w:val="none" w:sz="0" w:space="0" w:color="auto"/>
      </w:divBdr>
    </w:div>
    <w:div w:id="1606036332">
      <w:bodyDiv w:val="1"/>
      <w:marLeft w:val="0"/>
      <w:marRight w:val="0"/>
      <w:marTop w:val="0"/>
      <w:marBottom w:val="0"/>
      <w:divBdr>
        <w:top w:val="none" w:sz="0" w:space="0" w:color="auto"/>
        <w:left w:val="none" w:sz="0" w:space="0" w:color="auto"/>
        <w:bottom w:val="none" w:sz="0" w:space="0" w:color="auto"/>
        <w:right w:val="none" w:sz="0" w:space="0" w:color="auto"/>
      </w:divBdr>
    </w:div>
    <w:div w:id="1613433262">
      <w:bodyDiv w:val="1"/>
      <w:marLeft w:val="0"/>
      <w:marRight w:val="0"/>
      <w:marTop w:val="0"/>
      <w:marBottom w:val="0"/>
      <w:divBdr>
        <w:top w:val="none" w:sz="0" w:space="0" w:color="auto"/>
        <w:left w:val="none" w:sz="0" w:space="0" w:color="auto"/>
        <w:bottom w:val="none" w:sz="0" w:space="0" w:color="auto"/>
        <w:right w:val="none" w:sz="0" w:space="0" w:color="auto"/>
      </w:divBdr>
    </w:div>
    <w:div w:id="1621689727">
      <w:bodyDiv w:val="1"/>
      <w:marLeft w:val="0"/>
      <w:marRight w:val="0"/>
      <w:marTop w:val="0"/>
      <w:marBottom w:val="0"/>
      <w:divBdr>
        <w:top w:val="none" w:sz="0" w:space="0" w:color="auto"/>
        <w:left w:val="none" w:sz="0" w:space="0" w:color="auto"/>
        <w:bottom w:val="none" w:sz="0" w:space="0" w:color="auto"/>
        <w:right w:val="none" w:sz="0" w:space="0" w:color="auto"/>
      </w:divBdr>
    </w:div>
    <w:div w:id="1634674959">
      <w:bodyDiv w:val="1"/>
      <w:marLeft w:val="0"/>
      <w:marRight w:val="0"/>
      <w:marTop w:val="0"/>
      <w:marBottom w:val="0"/>
      <w:divBdr>
        <w:top w:val="none" w:sz="0" w:space="0" w:color="auto"/>
        <w:left w:val="none" w:sz="0" w:space="0" w:color="auto"/>
        <w:bottom w:val="none" w:sz="0" w:space="0" w:color="auto"/>
        <w:right w:val="none" w:sz="0" w:space="0" w:color="auto"/>
      </w:divBdr>
    </w:div>
    <w:div w:id="1641374711">
      <w:bodyDiv w:val="1"/>
      <w:marLeft w:val="0"/>
      <w:marRight w:val="0"/>
      <w:marTop w:val="0"/>
      <w:marBottom w:val="0"/>
      <w:divBdr>
        <w:top w:val="none" w:sz="0" w:space="0" w:color="auto"/>
        <w:left w:val="none" w:sz="0" w:space="0" w:color="auto"/>
        <w:bottom w:val="none" w:sz="0" w:space="0" w:color="auto"/>
        <w:right w:val="none" w:sz="0" w:space="0" w:color="auto"/>
      </w:divBdr>
    </w:div>
    <w:div w:id="1643848265">
      <w:bodyDiv w:val="1"/>
      <w:marLeft w:val="0"/>
      <w:marRight w:val="0"/>
      <w:marTop w:val="0"/>
      <w:marBottom w:val="0"/>
      <w:divBdr>
        <w:top w:val="none" w:sz="0" w:space="0" w:color="auto"/>
        <w:left w:val="none" w:sz="0" w:space="0" w:color="auto"/>
        <w:bottom w:val="none" w:sz="0" w:space="0" w:color="auto"/>
        <w:right w:val="none" w:sz="0" w:space="0" w:color="auto"/>
      </w:divBdr>
    </w:div>
    <w:div w:id="1646620171">
      <w:bodyDiv w:val="1"/>
      <w:marLeft w:val="0"/>
      <w:marRight w:val="0"/>
      <w:marTop w:val="0"/>
      <w:marBottom w:val="0"/>
      <w:divBdr>
        <w:top w:val="none" w:sz="0" w:space="0" w:color="auto"/>
        <w:left w:val="none" w:sz="0" w:space="0" w:color="auto"/>
        <w:bottom w:val="none" w:sz="0" w:space="0" w:color="auto"/>
        <w:right w:val="none" w:sz="0" w:space="0" w:color="auto"/>
      </w:divBdr>
    </w:div>
    <w:div w:id="1659993974">
      <w:bodyDiv w:val="1"/>
      <w:marLeft w:val="0"/>
      <w:marRight w:val="0"/>
      <w:marTop w:val="0"/>
      <w:marBottom w:val="0"/>
      <w:divBdr>
        <w:top w:val="none" w:sz="0" w:space="0" w:color="auto"/>
        <w:left w:val="none" w:sz="0" w:space="0" w:color="auto"/>
        <w:bottom w:val="none" w:sz="0" w:space="0" w:color="auto"/>
        <w:right w:val="none" w:sz="0" w:space="0" w:color="auto"/>
      </w:divBdr>
    </w:div>
    <w:div w:id="1665356140">
      <w:bodyDiv w:val="1"/>
      <w:marLeft w:val="0"/>
      <w:marRight w:val="0"/>
      <w:marTop w:val="0"/>
      <w:marBottom w:val="0"/>
      <w:divBdr>
        <w:top w:val="none" w:sz="0" w:space="0" w:color="auto"/>
        <w:left w:val="none" w:sz="0" w:space="0" w:color="auto"/>
        <w:bottom w:val="none" w:sz="0" w:space="0" w:color="auto"/>
        <w:right w:val="none" w:sz="0" w:space="0" w:color="auto"/>
      </w:divBdr>
    </w:div>
    <w:div w:id="1707830305">
      <w:bodyDiv w:val="1"/>
      <w:marLeft w:val="0"/>
      <w:marRight w:val="0"/>
      <w:marTop w:val="0"/>
      <w:marBottom w:val="0"/>
      <w:divBdr>
        <w:top w:val="none" w:sz="0" w:space="0" w:color="auto"/>
        <w:left w:val="none" w:sz="0" w:space="0" w:color="auto"/>
        <w:bottom w:val="none" w:sz="0" w:space="0" w:color="auto"/>
        <w:right w:val="none" w:sz="0" w:space="0" w:color="auto"/>
      </w:divBdr>
    </w:div>
    <w:div w:id="1729649235">
      <w:bodyDiv w:val="1"/>
      <w:marLeft w:val="0"/>
      <w:marRight w:val="0"/>
      <w:marTop w:val="0"/>
      <w:marBottom w:val="0"/>
      <w:divBdr>
        <w:top w:val="none" w:sz="0" w:space="0" w:color="auto"/>
        <w:left w:val="none" w:sz="0" w:space="0" w:color="auto"/>
        <w:bottom w:val="none" w:sz="0" w:space="0" w:color="auto"/>
        <w:right w:val="none" w:sz="0" w:space="0" w:color="auto"/>
      </w:divBdr>
    </w:div>
    <w:div w:id="1751654981">
      <w:bodyDiv w:val="1"/>
      <w:marLeft w:val="0"/>
      <w:marRight w:val="0"/>
      <w:marTop w:val="0"/>
      <w:marBottom w:val="0"/>
      <w:divBdr>
        <w:top w:val="none" w:sz="0" w:space="0" w:color="auto"/>
        <w:left w:val="none" w:sz="0" w:space="0" w:color="auto"/>
        <w:bottom w:val="none" w:sz="0" w:space="0" w:color="auto"/>
        <w:right w:val="none" w:sz="0" w:space="0" w:color="auto"/>
      </w:divBdr>
    </w:div>
    <w:div w:id="1753350302">
      <w:bodyDiv w:val="1"/>
      <w:marLeft w:val="0"/>
      <w:marRight w:val="0"/>
      <w:marTop w:val="0"/>
      <w:marBottom w:val="0"/>
      <w:divBdr>
        <w:top w:val="none" w:sz="0" w:space="0" w:color="auto"/>
        <w:left w:val="none" w:sz="0" w:space="0" w:color="auto"/>
        <w:bottom w:val="none" w:sz="0" w:space="0" w:color="auto"/>
        <w:right w:val="none" w:sz="0" w:space="0" w:color="auto"/>
      </w:divBdr>
    </w:div>
    <w:div w:id="1758551629">
      <w:bodyDiv w:val="1"/>
      <w:marLeft w:val="0"/>
      <w:marRight w:val="0"/>
      <w:marTop w:val="0"/>
      <w:marBottom w:val="0"/>
      <w:divBdr>
        <w:top w:val="none" w:sz="0" w:space="0" w:color="auto"/>
        <w:left w:val="none" w:sz="0" w:space="0" w:color="auto"/>
        <w:bottom w:val="none" w:sz="0" w:space="0" w:color="auto"/>
        <w:right w:val="none" w:sz="0" w:space="0" w:color="auto"/>
      </w:divBdr>
    </w:div>
    <w:div w:id="1794592017">
      <w:bodyDiv w:val="1"/>
      <w:marLeft w:val="0"/>
      <w:marRight w:val="0"/>
      <w:marTop w:val="0"/>
      <w:marBottom w:val="0"/>
      <w:divBdr>
        <w:top w:val="none" w:sz="0" w:space="0" w:color="auto"/>
        <w:left w:val="none" w:sz="0" w:space="0" w:color="auto"/>
        <w:bottom w:val="none" w:sz="0" w:space="0" w:color="auto"/>
        <w:right w:val="none" w:sz="0" w:space="0" w:color="auto"/>
      </w:divBdr>
    </w:div>
    <w:div w:id="1804157411">
      <w:bodyDiv w:val="1"/>
      <w:marLeft w:val="0"/>
      <w:marRight w:val="0"/>
      <w:marTop w:val="0"/>
      <w:marBottom w:val="0"/>
      <w:divBdr>
        <w:top w:val="none" w:sz="0" w:space="0" w:color="auto"/>
        <w:left w:val="none" w:sz="0" w:space="0" w:color="auto"/>
        <w:bottom w:val="none" w:sz="0" w:space="0" w:color="auto"/>
        <w:right w:val="none" w:sz="0" w:space="0" w:color="auto"/>
      </w:divBdr>
    </w:div>
    <w:div w:id="1804419209">
      <w:bodyDiv w:val="1"/>
      <w:marLeft w:val="0"/>
      <w:marRight w:val="0"/>
      <w:marTop w:val="0"/>
      <w:marBottom w:val="0"/>
      <w:divBdr>
        <w:top w:val="none" w:sz="0" w:space="0" w:color="auto"/>
        <w:left w:val="none" w:sz="0" w:space="0" w:color="auto"/>
        <w:bottom w:val="none" w:sz="0" w:space="0" w:color="auto"/>
        <w:right w:val="none" w:sz="0" w:space="0" w:color="auto"/>
      </w:divBdr>
    </w:div>
    <w:div w:id="1808356178">
      <w:bodyDiv w:val="1"/>
      <w:marLeft w:val="0"/>
      <w:marRight w:val="0"/>
      <w:marTop w:val="0"/>
      <w:marBottom w:val="0"/>
      <w:divBdr>
        <w:top w:val="none" w:sz="0" w:space="0" w:color="auto"/>
        <w:left w:val="none" w:sz="0" w:space="0" w:color="auto"/>
        <w:bottom w:val="none" w:sz="0" w:space="0" w:color="auto"/>
        <w:right w:val="none" w:sz="0" w:space="0" w:color="auto"/>
      </w:divBdr>
    </w:div>
    <w:div w:id="1810436118">
      <w:bodyDiv w:val="1"/>
      <w:marLeft w:val="0"/>
      <w:marRight w:val="0"/>
      <w:marTop w:val="0"/>
      <w:marBottom w:val="0"/>
      <w:divBdr>
        <w:top w:val="none" w:sz="0" w:space="0" w:color="auto"/>
        <w:left w:val="none" w:sz="0" w:space="0" w:color="auto"/>
        <w:bottom w:val="none" w:sz="0" w:space="0" w:color="auto"/>
        <w:right w:val="none" w:sz="0" w:space="0" w:color="auto"/>
      </w:divBdr>
    </w:div>
    <w:div w:id="1814562309">
      <w:bodyDiv w:val="1"/>
      <w:marLeft w:val="0"/>
      <w:marRight w:val="0"/>
      <w:marTop w:val="0"/>
      <w:marBottom w:val="0"/>
      <w:divBdr>
        <w:top w:val="none" w:sz="0" w:space="0" w:color="auto"/>
        <w:left w:val="none" w:sz="0" w:space="0" w:color="auto"/>
        <w:bottom w:val="none" w:sz="0" w:space="0" w:color="auto"/>
        <w:right w:val="none" w:sz="0" w:space="0" w:color="auto"/>
      </w:divBdr>
    </w:div>
    <w:div w:id="1815444549">
      <w:bodyDiv w:val="1"/>
      <w:marLeft w:val="0"/>
      <w:marRight w:val="0"/>
      <w:marTop w:val="0"/>
      <w:marBottom w:val="0"/>
      <w:divBdr>
        <w:top w:val="none" w:sz="0" w:space="0" w:color="auto"/>
        <w:left w:val="none" w:sz="0" w:space="0" w:color="auto"/>
        <w:bottom w:val="none" w:sz="0" w:space="0" w:color="auto"/>
        <w:right w:val="none" w:sz="0" w:space="0" w:color="auto"/>
      </w:divBdr>
    </w:div>
    <w:div w:id="1820420481">
      <w:bodyDiv w:val="1"/>
      <w:marLeft w:val="0"/>
      <w:marRight w:val="0"/>
      <w:marTop w:val="0"/>
      <w:marBottom w:val="0"/>
      <w:divBdr>
        <w:top w:val="none" w:sz="0" w:space="0" w:color="auto"/>
        <w:left w:val="none" w:sz="0" w:space="0" w:color="auto"/>
        <w:bottom w:val="none" w:sz="0" w:space="0" w:color="auto"/>
        <w:right w:val="none" w:sz="0" w:space="0" w:color="auto"/>
      </w:divBdr>
    </w:div>
    <w:div w:id="1832912510">
      <w:bodyDiv w:val="1"/>
      <w:marLeft w:val="0"/>
      <w:marRight w:val="0"/>
      <w:marTop w:val="0"/>
      <w:marBottom w:val="0"/>
      <w:divBdr>
        <w:top w:val="none" w:sz="0" w:space="0" w:color="auto"/>
        <w:left w:val="none" w:sz="0" w:space="0" w:color="auto"/>
        <w:bottom w:val="none" w:sz="0" w:space="0" w:color="auto"/>
        <w:right w:val="none" w:sz="0" w:space="0" w:color="auto"/>
      </w:divBdr>
    </w:div>
    <w:div w:id="1833373403">
      <w:bodyDiv w:val="1"/>
      <w:marLeft w:val="0"/>
      <w:marRight w:val="0"/>
      <w:marTop w:val="0"/>
      <w:marBottom w:val="0"/>
      <w:divBdr>
        <w:top w:val="none" w:sz="0" w:space="0" w:color="auto"/>
        <w:left w:val="none" w:sz="0" w:space="0" w:color="auto"/>
        <w:bottom w:val="none" w:sz="0" w:space="0" w:color="auto"/>
        <w:right w:val="none" w:sz="0" w:space="0" w:color="auto"/>
      </w:divBdr>
    </w:div>
    <w:div w:id="1834641458">
      <w:bodyDiv w:val="1"/>
      <w:marLeft w:val="0"/>
      <w:marRight w:val="0"/>
      <w:marTop w:val="0"/>
      <w:marBottom w:val="0"/>
      <w:divBdr>
        <w:top w:val="none" w:sz="0" w:space="0" w:color="auto"/>
        <w:left w:val="none" w:sz="0" w:space="0" w:color="auto"/>
        <w:bottom w:val="none" w:sz="0" w:space="0" w:color="auto"/>
        <w:right w:val="none" w:sz="0" w:space="0" w:color="auto"/>
      </w:divBdr>
    </w:div>
    <w:div w:id="1835795987">
      <w:bodyDiv w:val="1"/>
      <w:marLeft w:val="0"/>
      <w:marRight w:val="0"/>
      <w:marTop w:val="0"/>
      <w:marBottom w:val="0"/>
      <w:divBdr>
        <w:top w:val="none" w:sz="0" w:space="0" w:color="auto"/>
        <w:left w:val="none" w:sz="0" w:space="0" w:color="auto"/>
        <w:bottom w:val="none" w:sz="0" w:space="0" w:color="auto"/>
        <w:right w:val="none" w:sz="0" w:space="0" w:color="auto"/>
      </w:divBdr>
    </w:div>
    <w:div w:id="1836190500">
      <w:bodyDiv w:val="1"/>
      <w:marLeft w:val="0"/>
      <w:marRight w:val="0"/>
      <w:marTop w:val="0"/>
      <w:marBottom w:val="0"/>
      <w:divBdr>
        <w:top w:val="none" w:sz="0" w:space="0" w:color="auto"/>
        <w:left w:val="none" w:sz="0" w:space="0" w:color="auto"/>
        <w:bottom w:val="none" w:sz="0" w:space="0" w:color="auto"/>
        <w:right w:val="none" w:sz="0" w:space="0" w:color="auto"/>
      </w:divBdr>
    </w:div>
    <w:div w:id="1837649939">
      <w:bodyDiv w:val="1"/>
      <w:marLeft w:val="0"/>
      <w:marRight w:val="0"/>
      <w:marTop w:val="0"/>
      <w:marBottom w:val="0"/>
      <w:divBdr>
        <w:top w:val="none" w:sz="0" w:space="0" w:color="auto"/>
        <w:left w:val="none" w:sz="0" w:space="0" w:color="auto"/>
        <w:bottom w:val="none" w:sz="0" w:space="0" w:color="auto"/>
        <w:right w:val="none" w:sz="0" w:space="0" w:color="auto"/>
      </w:divBdr>
    </w:div>
    <w:div w:id="1837652930">
      <w:bodyDiv w:val="1"/>
      <w:marLeft w:val="0"/>
      <w:marRight w:val="0"/>
      <w:marTop w:val="0"/>
      <w:marBottom w:val="0"/>
      <w:divBdr>
        <w:top w:val="none" w:sz="0" w:space="0" w:color="auto"/>
        <w:left w:val="none" w:sz="0" w:space="0" w:color="auto"/>
        <w:bottom w:val="none" w:sz="0" w:space="0" w:color="auto"/>
        <w:right w:val="none" w:sz="0" w:space="0" w:color="auto"/>
      </w:divBdr>
    </w:div>
    <w:div w:id="1845169623">
      <w:bodyDiv w:val="1"/>
      <w:marLeft w:val="0"/>
      <w:marRight w:val="0"/>
      <w:marTop w:val="0"/>
      <w:marBottom w:val="0"/>
      <w:divBdr>
        <w:top w:val="none" w:sz="0" w:space="0" w:color="auto"/>
        <w:left w:val="none" w:sz="0" w:space="0" w:color="auto"/>
        <w:bottom w:val="none" w:sz="0" w:space="0" w:color="auto"/>
        <w:right w:val="none" w:sz="0" w:space="0" w:color="auto"/>
      </w:divBdr>
    </w:div>
    <w:div w:id="1846673822">
      <w:bodyDiv w:val="1"/>
      <w:marLeft w:val="0"/>
      <w:marRight w:val="0"/>
      <w:marTop w:val="0"/>
      <w:marBottom w:val="0"/>
      <w:divBdr>
        <w:top w:val="none" w:sz="0" w:space="0" w:color="auto"/>
        <w:left w:val="none" w:sz="0" w:space="0" w:color="auto"/>
        <w:bottom w:val="none" w:sz="0" w:space="0" w:color="auto"/>
        <w:right w:val="none" w:sz="0" w:space="0" w:color="auto"/>
      </w:divBdr>
    </w:div>
    <w:div w:id="1851261160">
      <w:bodyDiv w:val="1"/>
      <w:marLeft w:val="0"/>
      <w:marRight w:val="0"/>
      <w:marTop w:val="0"/>
      <w:marBottom w:val="0"/>
      <w:divBdr>
        <w:top w:val="none" w:sz="0" w:space="0" w:color="auto"/>
        <w:left w:val="none" w:sz="0" w:space="0" w:color="auto"/>
        <w:bottom w:val="none" w:sz="0" w:space="0" w:color="auto"/>
        <w:right w:val="none" w:sz="0" w:space="0" w:color="auto"/>
      </w:divBdr>
    </w:div>
    <w:div w:id="1851527346">
      <w:bodyDiv w:val="1"/>
      <w:marLeft w:val="0"/>
      <w:marRight w:val="0"/>
      <w:marTop w:val="0"/>
      <w:marBottom w:val="0"/>
      <w:divBdr>
        <w:top w:val="none" w:sz="0" w:space="0" w:color="auto"/>
        <w:left w:val="none" w:sz="0" w:space="0" w:color="auto"/>
        <w:bottom w:val="none" w:sz="0" w:space="0" w:color="auto"/>
        <w:right w:val="none" w:sz="0" w:space="0" w:color="auto"/>
      </w:divBdr>
    </w:div>
    <w:div w:id="1860662434">
      <w:bodyDiv w:val="1"/>
      <w:marLeft w:val="0"/>
      <w:marRight w:val="0"/>
      <w:marTop w:val="0"/>
      <w:marBottom w:val="0"/>
      <w:divBdr>
        <w:top w:val="none" w:sz="0" w:space="0" w:color="auto"/>
        <w:left w:val="none" w:sz="0" w:space="0" w:color="auto"/>
        <w:bottom w:val="none" w:sz="0" w:space="0" w:color="auto"/>
        <w:right w:val="none" w:sz="0" w:space="0" w:color="auto"/>
      </w:divBdr>
    </w:div>
    <w:div w:id="1866408968">
      <w:bodyDiv w:val="1"/>
      <w:marLeft w:val="0"/>
      <w:marRight w:val="0"/>
      <w:marTop w:val="0"/>
      <w:marBottom w:val="0"/>
      <w:divBdr>
        <w:top w:val="none" w:sz="0" w:space="0" w:color="auto"/>
        <w:left w:val="none" w:sz="0" w:space="0" w:color="auto"/>
        <w:bottom w:val="none" w:sz="0" w:space="0" w:color="auto"/>
        <w:right w:val="none" w:sz="0" w:space="0" w:color="auto"/>
      </w:divBdr>
    </w:div>
    <w:div w:id="1867912524">
      <w:bodyDiv w:val="1"/>
      <w:marLeft w:val="0"/>
      <w:marRight w:val="0"/>
      <w:marTop w:val="0"/>
      <w:marBottom w:val="0"/>
      <w:divBdr>
        <w:top w:val="none" w:sz="0" w:space="0" w:color="auto"/>
        <w:left w:val="none" w:sz="0" w:space="0" w:color="auto"/>
        <w:bottom w:val="none" w:sz="0" w:space="0" w:color="auto"/>
        <w:right w:val="none" w:sz="0" w:space="0" w:color="auto"/>
      </w:divBdr>
    </w:div>
    <w:div w:id="1884369411">
      <w:bodyDiv w:val="1"/>
      <w:marLeft w:val="0"/>
      <w:marRight w:val="0"/>
      <w:marTop w:val="0"/>
      <w:marBottom w:val="0"/>
      <w:divBdr>
        <w:top w:val="none" w:sz="0" w:space="0" w:color="auto"/>
        <w:left w:val="none" w:sz="0" w:space="0" w:color="auto"/>
        <w:bottom w:val="none" w:sz="0" w:space="0" w:color="auto"/>
        <w:right w:val="none" w:sz="0" w:space="0" w:color="auto"/>
      </w:divBdr>
    </w:div>
    <w:div w:id="1894461419">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
    <w:div w:id="1904676977">
      <w:bodyDiv w:val="1"/>
      <w:marLeft w:val="0"/>
      <w:marRight w:val="0"/>
      <w:marTop w:val="0"/>
      <w:marBottom w:val="0"/>
      <w:divBdr>
        <w:top w:val="none" w:sz="0" w:space="0" w:color="auto"/>
        <w:left w:val="none" w:sz="0" w:space="0" w:color="auto"/>
        <w:bottom w:val="none" w:sz="0" w:space="0" w:color="auto"/>
        <w:right w:val="none" w:sz="0" w:space="0" w:color="auto"/>
      </w:divBdr>
    </w:div>
    <w:div w:id="1910462541">
      <w:bodyDiv w:val="1"/>
      <w:marLeft w:val="0"/>
      <w:marRight w:val="0"/>
      <w:marTop w:val="0"/>
      <w:marBottom w:val="0"/>
      <w:divBdr>
        <w:top w:val="none" w:sz="0" w:space="0" w:color="auto"/>
        <w:left w:val="none" w:sz="0" w:space="0" w:color="auto"/>
        <w:bottom w:val="none" w:sz="0" w:space="0" w:color="auto"/>
        <w:right w:val="none" w:sz="0" w:space="0" w:color="auto"/>
      </w:divBdr>
    </w:div>
    <w:div w:id="1919944187">
      <w:bodyDiv w:val="1"/>
      <w:marLeft w:val="0"/>
      <w:marRight w:val="0"/>
      <w:marTop w:val="0"/>
      <w:marBottom w:val="0"/>
      <w:divBdr>
        <w:top w:val="none" w:sz="0" w:space="0" w:color="auto"/>
        <w:left w:val="none" w:sz="0" w:space="0" w:color="auto"/>
        <w:bottom w:val="none" w:sz="0" w:space="0" w:color="auto"/>
        <w:right w:val="none" w:sz="0" w:space="0" w:color="auto"/>
      </w:divBdr>
    </w:div>
    <w:div w:id="1931039357">
      <w:bodyDiv w:val="1"/>
      <w:marLeft w:val="0"/>
      <w:marRight w:val="0"/>
      <w:marTop w:val="0"/>
      <w:marBottom w:val="0"/>
      <w:divBdr>
        <w:top w:val="none" w:sz="0" w:space="0" w:color="auto"/>
        <w:left w:val="none" w:sz="0" w:space="0" w:color="auto"/>
        <w:bottom w:val="none" w:sz="0" w:space="0" w:color="auto"/>
        <w:right w:val="none" w:sz="0" w:space="0" w:color="auto"/>
      </w:divBdr>
    </w:div>
    <w:div w:id="1934775316">
      <w:bodyDiv w:val="1"/>
      <w:marLeft w:val="0"/>
      <w:marRight w:val="0"/>
      <w:marTop w:val="0"/>
      <w:marBottom w:val="0"/>
      <w:divBdr>
        <w:top w:val="none" w:sz="0" w:space="0" w:color="auto"/>
        <w:left w:val="none" w:sz="0" w:space="0" w:color="auto"/>
        <w:bottom w:val="none" w:sz="0" w:space="0" w:color="auto"/>
        <w:right w:val="none" w:sz="0" w:space="0" w:color="auto"/>
      </w:divBdr>
      <w:divsChild>
        <w:div w:id="278150775">
          <w:marLeft w:val="0"/>
          <w:marRight w:val="0"/>
          <w:marTop w:val="0"/>
          <w:marBottom w:val="0"/>
          <w:divBdr>
            <w:top w:val="none" w:sz="0" w:space="0" w:color="auto"/>
            <w:left w:val="none" w:sz="0" w:space="0" w:color="auto"/>
            <w:bottom w:val="none" w:sz="0" w:space="0" w:color="auto"/>
            <w:right w:val="none" w:sz="0" w:space="0" w:color="auto"/>
          </w:divBdr>
        </w:div>
        <w:div w:id="1178082059">
          <w:marLeft w:val="0"/>
          <w:marRight w:val="0"/>
          <w:marTop w:val="0"/>
          <w:marBottom w:val="0"/>
          <w:divBdr>
            <w:top w:val="none" w:sz="0" w:space="0" w:color="auto"/>
            <w:left w:val="none" w:sz="0" w:space="0" w:color="auto"/>
            <w:bottom w:val="none" w:sz="0" w:space="0" w:color="auto"/>
            <w:right w:val="none" w:sz="0" w:space="0" w:color="auto"/>
          </w:divBdr>
        </w:div>
        <w:div w:id="1893077041">
          <w:marLeft w:val="0"/>
          <w:marRight w:val="0"/>
          <w:marTop w:val="0"/>
          <w:marBottom w:val="0"/>
          <w:divBdr>
            <w:top w:val="none" w:sz="0" w:space="0" w:color="auto"/>
            <w:left w:val="none" w:sz="0" w:space="0" w:color="auto"/>
            <w:bottom w:val="none" w:sz="0" w:space="0" w:color="auto"/>
            <w:right w:val="none" w:sz="0" w:space="0" w:color="auto"/>
          </w:divBdr>
        </w:div>
      </w:divsChild>
    </w:div>
    <w:div w:id="1949699798">
      <w:bodyDiv w:val="1"/>
      <w:marLeft w:val="0"/>
      <w:marRight w:val="0"/>
      <w:marTop w:val="0"/>
      <w:marBottom w:val="0"/>
      <w:divBdr>
        <w:top w:val="none" w:sz="0" w:space="0" w:color="auto"/>
        <w:left w:val="none" w:sz="0" w:space="0" w:color="auto"/>
        <w:bottom w:val="none" w:sz="0" w:space="0" w:color="auto"/>
        <w:right w:val="none" w:sz="0" w:space="0" w:color="auto"/>
      </w:divBdr>
    </w:div>
    <w:div w:id="1957442251">
      <w:bodyDiv w:val="1"/>
      <w:marLeft w:val="0"/>
      <w:marRight w:val="0"/>
      <w:marTop w:val="0"/>
      <w:marBottom w:val="0"/>
      <w:divBdr>
        <w:top w:val="none" w:sz="0" w:space="0" w:color="auto"/>
        <w:left w:val="none" w:sz="0" w:space="0" w:color="auto"/>
        <w:bottom w:val="none" w:sz="0" w:space="0" w:color="auto"/>
        <w:right w:val="none" w:sz="0" w:space="0" w:color="auto"/>
      </w:divBdr>
    </w:div>
    <w:div w:id="1960335476">
      <w:bodyDiv w:val="1"/>
      <w:marLeft w:val="0"/>
      <w:marRight w:val="0"/>
      <w:marTop w:val="0"/>
      <w:marBottom w:val="0"/>
      <w:divBdr>
        <w:top w:val="none" w:sz="0" w:space="0" w:color="auto"/>
        <w:left w:val="none" w:sz="0" w:space="0" w:color="auto"/>
        <w:bottom w:val="none" w:sz="0" w:space="0" w:color="auto"/>
        <w:right w:val="none" w:sz="0" w:space="0" w:color="auto"/>
      </w:divBdr>
    </w:div>
    <w:div w:id="1961761628">
      <w:bodyDiv w:val="1"/>
      <w:marLeft w:val="0"/>
      <w:marRight w:val="0"/>
      <w:marTop w:val="0"/>
      <w:marBottom w:val="0"/>
      <w:divBdr>
        <w:top w:val="none" w:sz="0" w:space="0" w:color="auto"/>
        <w:left w:val="none" w:sz="0" w:space="0" w:color="auto"/>
        <w:bottom w:val="none" w:sz="0" w:space="0" w:color="auto"/>
        <w:right w:val="none" w:sz="0" w:space="0" w:color="auto"/>
      </w:divBdr>
    </w:div>
    <w:div w:id="1966158530">
      <w:bodyDiv w:val="1"/>
      <w:marLeft w:val="0"/>
      <w:marRight w:val="0"/>
      <w:marTop w:val="0"/>
      <w:marBottom w:val="0"/>
      <w:divBdr>
        <w:top w:val="none" w:sz="0" w:space="0" w:color="auto"/>
        <w:left w:val="none" w:sz="0" w:space="0" w:color="auto"/>
        <w:bottom w:val="none" w:sz="0" w:space="0" w:color="auto"/>
        <w:right w:val="none" w:sz="0" w:space="0" w:color="auto"/>
      </w:divBdr>
    </w:div>
    <w:div w:id="1980914778">
      <w:bodyDiv w:val="1"/>
      <w:marLeft w:val="0"/>
      <w:marRight w:val="0"/>
      <w:marTop w:val="0"/>
      <w:marBottom w:val="0"/>
      <w:divBdr>
        <w:top w:val="none" w:sz="0" w:space="0" w:color="auto"/>
        <w:left w:val="none" w:sz="0" w:space="0" w:color="auto"/>
        <w:bottom w:val="none" w:sz="0" w:space="0" w:color="auto"/>
        <w:right w:val="none" w:sz="0" w:space="0" w:color="auto"/>
      </w:divBdr>
    </w:div>
    <w:div w:id="1990936523">
      <w:bodyDiv w:val="1"/>
      <w:marLeft w:val="0"/>
      <w:marRight w:val="0"/>
      <w:marTop w:val="0"/>
      <w:marBottom w:val="0"/>
      <w:divBdr>
        <w:top w:val="none" w:sz="0" w:space="0" w:color="auto"/>
        <w:left w:val="none" w:sz="0" w:space="0" w:color="auto"/>
        <w:bottom w:val="none" w:sz="0" w:space="0" w:color="auto"/>
        <w:right w:val="none" w:sz="0" w:space="0" w:color="auto"/>
      </w:divBdr>
    </w:div>
    <w:div w:id="1998071884">
      <w:bodyDiv w:val="1"/>
      <w:marLeft w:val="0"/>
      <w:marRight w:val="0"/>
      <w:marTop w:val="0"/>
      <w:marBottom w:val="0"/>
      <w:divBdr>
        <w:top w:val="none" w:sz="0" w:space="0" w:color="auto"/>
        <w:left w:val="none" w:sz="0" w:space="0" w:color="auto"/>
        <w:bottom w:val="none" w:sz="0" w:space="0" w:color="auto"/>
        <w:right w:val="none" w:sz="0" w:space="0" w:color="auto"/>
      </w:divBdr>
    </w:div>
    <w:div w:id="2002081500">
      <w:bodyDiv w:val="1"/>
      <w:marLeft w:val="0"/>
      <w:marRight w:val="0"/>
      <w:marTop w:val="0"/>
      <w:marBottom w:val="0"/>
      <w:divBdr>
        <w:top w:val="none" w:sz="0" w:space="0" w:color="auto"/>
        <w:left w:val="none" w:sz="0" w:space="0" w:color="auto"/>
        <w:bottom w:val="none" w:sz="0" w:space="0" w:color="auto"/>
        <w:right w:val="none" w:sz="0" w:space="0" w:color="auto"/>
      </w:divBdr>
    </w:div>
    <w:div w:id="2024505063">
      <w:bodyDiv w:val="1"/>
      <w:marLeft w:val="0"/>
      <w:marRight w:val="0"/>
      <w:marTop w:val="0"/>
      <w:marBottom w:val="0"/>
      <w:divBdr>
        <w:top w:val="none" w:sz="0" w:space="0" w:color="auto"/>
        <w:left w:val="none" w:sz="0" w:space="0" w:color="auto"/>
        <w:bottom w:val="none" w:sz="0" w:space="0" w:color="auto"/>
        <w:right w:val="none" w:sz="0" w:space="0" w:color="auto"/>
      </w:divBdr>
    </w:div>
    <w:div w:id="2026054102">
      <w:bodyDiv w:val="1"/>
      <w:marLeft w:val="0"/>
      <w:marRight w:val="0"/>
      <w:marTop w:val="0"/>
      <w:marBottom w:val="0"/>
      <w:divBdr>
        <w:top w:val="none" w:sz="0" w:space="0" w:color="auto"/>
        <w:left w:val="none" w:sz="0" w:space="0" w:color="auto"/>
        <w:bottom w:val="none" w:sz="0" w:space="0" w:color="auto"/>
        <w:right w:val="none" w:sz="0" w:space="0" w:color="auto"/>
      </w:divBdr>
    </w:div>
    <w:div w:id="2035303097">
      <w:bodyDiv w:val="1"/>
      <w:marLeft w:val="0"/>
      <w:marRight w:val="0"/>
      <w:marTop w:val="0"/>
      <w:marBottom w:val="0"/>
      <w:divBdr>
        <w:top w:val="none" w:sz="0" w:space="0" w:color="auto"/>
        <w:left w:val="none" w:sz="0" w:space="0" w:color="auto"/>
        <w:bottom w:val="none" w:sz="0" w:space="0" w:color="auto"/>
        <w:right w:val="none" w:sz="0" w:space="0" w:color="auto"/>
      </w:divBdr>
    </w:div>
    <w:div w:id="2045521295">
      <w:bodyDiv w:val="1"/>
      <w:marLeft w:val="0"/>
      <w:marRight w:val="0"/>
      <w:marTop w:val="0"/>
      <w:marBottom w:val="0"/>
      <w:divBdr>
        <w:top w:val="none" w:sz="0" w:space="0" w:color="auto"/>
        <w:left w:val="none" w:sz="0" w:space="0" w:color="auto"/>
        <w:bottom w:val="none" w:sz="0" w:space="0" w:color="auto"/>
        <w:right w:val="none" w:sz="0" w:space="0" w:color="auto"/>
      </w:divBdr>
    </w:div>
    <w:div w:id="2047171332">
      <w:bodyDiv w:val="1"/>
      <w:marLeft w:val="0"/>
      <w:marRight w:val="0"/>
      <w:marTop w:val="0"/>
      <w:marBottom w:val="0"/>
      <w:divBdr>
        <w:top w:val="none" w:sz="0" w:space="0" w:color="auto"/>
        <w:left w:val="none" w:sz="0" w:space="0" w:color="auto"/>
        <w:bottom w:val="none" w:sz="0" w:space="0" w:color="auto"/>
        <w:right w:val="none" w:sz="0" w:space="0" w:color="auto"/>
      </w:divBdr>
    </w:div>
    <w:div w:id="2048793028">
      <w:bodyDiv w:val="1"/>
      <w:marLeft w:val="0"/>
      <w:marRight w:val="0"/>
      <w:marTop w:val="0"/>
      <w:marBottom w:val="0"/>
      <w:divBdr>
        <w:top w:val="none" w:sz="0" w:space="0" w:color="auto"/>
        <w:left w:val="none" w:sz="0" w:space="0" w:color="auto"/>
        <w:bottom w:val="none" w:sz="0" w:space="0" w:color="auto"/>
        <w:right w:val="none" w:sz="0" w:space="0" w:color="auto"/>
      </w:divBdr>
    </w:div>
    <w:div w:id="2051030226">
      <w:bodyDiv w:val="1"/>
      <w:marLeft w:val="0"/>
      <w:marRight w:val="0"/>
      <w:marTop w:val="0"/>
      <w:marBottom w:val="0"/>
      <w:divBdr>
        <w:top w:val="none" w:sz="0" w:space="0" w:color="auto"/>
        <w:left w:val="none" w:sz="0" w:space="0" w:color="auto"/>
        <w:bottom w:val="none" w:sz="0" w:space="0" w:color="auto"/>
        <w:right w:val="none" w:sz="0" w:space="0" w:color="auto"/>
      </w:divBdr>
    </w:div>
    <w:div w:id="2063289243">
      <w:bodyDiv w:val="1"/>
      <w:marLeft w:val="0"/>
      <w:marRight w:val="0"/>
      <w:marTop w:val="0"/>
      <w:marBottom w:val="0"/>
      <w:divBdr>
        <w:top w:val="none" w:sz="0" w:space="0" w:color="auto"/>
        <w:left w:val="none" w:sz="0" w:space="0" w:color="auto"/>
        <w:bottom w:val="none" w:sz="0" w:space="0" w:color="auto"/>
        <w:right w:val="none" w:sz="0" w:space="0" w:color="auto"/>
      </w:divBdr>
    </w:div>
    <w:div w:id="2063482551">
      <w:bodyDiv w:val="1"/>
      <w:marLeft w:val="0"/>
      <w:marRight w:val="0"/>
      <w:marTop w:val="0"/>
      <w:marBottom w:val="0"/>
      <w:divBdr>
        <w:top w:val="none" w:sz="0" w:space="0" w:color="auto"/>
        <w:left w:val="none" w:sz="0" w:space="0" w:color="auto"/>
        <w:bottom w:val="none" w:sz="0" w:space="0" w:color="auto"/>
        <w:right w:val="none" w:sz="0" w:space="0" w:color="auto"/>
      </w:divBdr>
    </w:div>
    <w:div w:id="2083210766">
      <w:bodyDiv w:val="1"/>
      <w:marLeft w:val="0"/>
      <w:marRight w:val="0"/>
      <w:marTop w:val="0"/>
      <w:marBottom w:val="0"/>
      <w:divBdr>
        <w:top w:val="none" w:sz="0" w:space="0" w:color="auto"/>
        <w:left w:val="none" w:sz="0" w:space="0" w:color="auto"/>
        <w:bottom w:val="none" w:sz="0" w:space="0" w:color="auto"/>
        <w:right w:val="none" w:sz="0" w:space="0" w:color="auto"/>
      </w:divBdr>
    </w:div>
    <w:div w:id="2085226199">
      <w:bodyDiv w:val="1"/>
      <w:marLeft w:val="0"/>
      <w:marRight w:val="0"/>
      <w:marTop w:val="0"/>
      <w:marBottom w:val="0"/>
      <w:divBdr>
        <w:top w:val="none" w:sz="0" w:space="0" w:color="auto"/>
        <w:left w:val="none" w:sz="0" w:space="0" w:color="auto"/>
        <w:bottom w:val="none" w:sz="0" w:space="0" w:color="auto"/>
        <w:right w:val="none" w:sz="0" w:space="0" w:color="auto"/>
      </w:divBdr>
    </w:div>
    <w:div w:id="2087915038">
      <w:bodyDiv w:val="1"/>
      <w:marLeft w:val="0"/>
      <w:marRight w:val="0"/>
      <w:marTop w:val="0"/>
      <w:marBottom w:val="0"/>
      <w:divBdr>
        <w:top w:val="none" w:sz="0" w:space="0" w:color="auto"/>
        <w:left w:val="none" w:sz="0" w:space="0" w:color="auto"/>
        <w:bottom w:val="none" w:sz="0" w:space="0" w:color="auto"/>
        <w:right w:val="none" w:sz="0" w:space="0" w:color="auto"/>
      </w:divBdr>
    </w:div>
    <w:div w:id="2103531160">
      <w:bodyDiv w:val="1"/>
      <w:marLeft w:val="0"/>
      <w:marRight w:val="0"/>
      <w:marTop w:val="0"/>
      <w:marBottom w:val="0"/>
      <w:divBdr>
        <w:top w:val="none" w:sz="0" w:space="0" w:color="auto"/>
        <w:left w:val="none" w:sz="0" w:space="0" w:color="auto"/>
        <w:bottom w:val="none" w:sz="0" w:space="0" w:color="auto"/>
        <w:right w:val="none" w:sz="0" w:space="0" w:color="auto"/>
      </w:divBdr>
    </w:div>
    <w:div w:id="2105487921">
      <w:bodyDiv w:val="1"/>
      <w:marLeft w:val="0"/>
      <w:marRight w:val="0"/>
      <w:marTop w:val="0"/>
      <w:marBottom w:val="0"/>
      <w:divBdr>
        <w:top w:val="none" w:sz="0" w:space="0" w:color="auto"/>
        <w:left w:val="none" w:sz="0" w:space="0" w:color="auto"/>
        <w:bottom w:val="none" w:sz="0" w:space="0" w:color="auto"/>
        <w:right w:val="none" w:sz="0" w:space="0" w:color="auto"/>
      </w:divBdr>
    </w:div>
    <w:div w:id="212292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file:///C:\Users\maira.cedeno\AppData\Local\Downloads\11072024%20TABLAS%20PERFIL.xlsx"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nelly.alvarado\AppData\Local\Microsoft\Windows\INetCache\Content.Outlook\HNXCBR53\10032025%20TABLAS%20PERFIL%20T%20(metas%20f&#237;sicas-doc%20metodol&#243;gico)%20V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Presupuesto</a:t>
            </a:r>
            <a:r>
              <a:rPr lang="es-EC" baseline="0"/>
              <a:t> Histórico por Grupo de Gastos</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stacked"/>
        <c:varyColors val="0"/>
        <c:ser>
          <c:idx val="0"/>
          <c:order val="0"/>
          <c:tx>
            <c:strRef>
              <c:f>'CED.PRESUPUESTARIAS'!$A$28</c:f>
              <c:strCache>
                <c:ptCount val="1"/>
                <c:pt idx="0">
                  <c:v>GRUPO 51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'CED.PRESUPUESTARIAS'!$B$27:$K$27</c:f>
              <c:numCache>
                <c:formatCode>General</c:formatCode>
                <c:ptCount val="10"/>
                <c:pt idx="0">
                  <c:v>2015</c:v>
                </c:pt>
                <c:pt idx="1">
                  <c:v>2016</c:v>
                </c:pt>
                <c:pt idx="2">
                  <c:v>2017</c:v>
                </c:pt>
                <c:pt idx="3" formatCode="0">
                  <c:v>2018</c:v>
                </c:pt>
                <c:pt idx="4" formatCode="0">
                  <c:v>2019</c:v>
                </c:pt>
                <c:pt idx="5" formatCode="0">
                  <c:v>2020</c:v>
                </c:pt>
                <c:pt idx="6" formatCode="0">
                  <c:v>2021</c:v>
                </c:pt>
                <c:pt idx="7" formatCode="0">
                  <c:v>2022</c:v>
                </c:pt>
                <c:pt idx="8" formatCode="0">
                  <c:v>2023</c:v>
                </c:pt>
                <c:pt idx="9" formatCode="0">
                  <c:v>2024</c:v>
                </c:pt>
              </c:numCache>
            </c:numRef>
          </c:cat>
          <c:val>
            <c:numRef>
              <c:f>'CED.PRESUPUESTARIAS'!$B$28:$K$28</c:f>
              <c:numCache>
                <c:formatCode>General</c:formatCode>
                <c:ptCount val="10"/>
                <c:pt idx="0">
                  <c:v>15.76</c:v>
                </c:pt>
                <c:pt idx="1">
                  <c:v>15.45</c:v>
                </c:pt>
                <c:pt idx="2">
                  <c:v>15.36</c:v>
                </c:pt>
                <c:pt idx="3">
                  <c:v>15.69</c:v>
                </c:pt>
                <c:pt idx="4" formatCode="_(* #,##0.00_);_(* \(#,##0.00\);_(* &quot;-&quot;??_);_(@_)">
                  <c:v>15.2946445</c:v>
                </c:pt>
                <c:pt idx="5" formatCode="_(* #,##0.00_);_(* \(#,##0.00\);_(* &quot;-&quot;??_);_(@_)">
                  <c:v>14.4514701</c:v>
                </c:pt>
                <c:pt idx="6" formatCode="_(* #,##0.00_);_(* \(#,##0.00\);_(* &quot;-&quot;??_);_(@_)">
                  <c:v>12.901135779999999</c:v>
                </c:pt>
                <c:pt idx="7" formatCode="_(* #,##0.00_);_(* \(#,##0.00\);_(* &quot;-&quot;??_);_(@_)">
                  <c:v>12.994406189999999</c:v>
                </c:pt>
                <c:pt idx="8" formatCode="_(* #,##0.00_);_(* \(#,##0.00\);_(* &quot;-&quot;??_);_(@_)">
                  <c:v>12.952301809999998</c:v>
                </c:pt>
                <c:pt idx="9" formatCode="_(* #,##0.00_);_(* \(#,##0.00\);_(* &quot;-&quot;??_);_(@_)">
                  <c:v>12.80393726</c:v>
                </c:pt>
              </c:numCache>
            </c:numRef>
          </c:val>
          <c:extLst>
            <c:ext xmlns:c16="http://schemas.microsoft.com/office/drawing/2014/chart" uri="{C3380CC4-5D6E-409C-BE32-E72D297353CC}">
              <c16:uniqueId val="{00000000-5E77-4B93-BDF8-5EF3F15C8E6C}"/>
            </c:ext>
          </c:extLst>
        </c:ser>
        <c:ser>
          <c:idx val="1"/>
          <c:order val="1"/>
          <c:tx>
            <c:strRef>
              <c:f>'CED.PRESUPUESTARIAS'!$A$29</c:f>
              <c:strCache>
                <c:ptCount val="1"/>
                <c:pt idx="0">
                  <c:v>GRUPO 53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'CED.PRESUPUESTARIAS'!$B$27:$K$27</c:f>
              <c:numCache>
                <c:formatCode>General</c:formatCode>
                <c:ptCount val="10"/>
                <c:pt idx="0">
                  <c:v>2015</c:v>
                </c:pt>
                <c:pt idx="1">
                  <c:v>2016</c:v>
                </c:pt>
                <c:pt idx="2">
                  <c:v>2017</c:v>
                </c:pt>
                <c:pt idx="3" formatCode="0">
                  <c:v>2018</c:v>
                </c:pt>
                <c:pt idx="4" formatCode="0">
                  <c:v>2019</c:v>
                </c:pt>
                <c:pt idx="5" formatCode="0">
                  <c:v>2020</c:v>
                </c:pt>
                <c:pt idx="6" formatCode="0">
                  <c:v>2021</c:v>
                </c:pt>
                <c:pt idx="7" formatCode="0">
                  <c:v>2022</c:v>
                </c:pt>
                <c:pt idx="8" formatCode="0">
                  <c:v>2023</c:v>
                </c:pt>
                <c:pt idx="9" formatCode="0">
                  <c:v>2024</c:v>
                </c:pt>
              </c:numCache>
            </c:numRef>
          </c:cat>
          <c:val>
            <c:numRef>
              <c:f>'CED.PRESUPUESTARIAS'!$B$29:$K$29</c:f>
              <c:numCache>
                <c:formatCode>General</c:formatCode>
                <c:ptCount val="10"/>
                <c:pt idx="0">
                  <c:v>47.73</c:v>
                </c:pt>
                <c:pt idx="1">
                  <c:v>27.67</c:v>
                </c:pt>
                <c:pt idx="2">
                  <c:v>18.77</c:v>
                </c:pt>
                <c:pt idx="3">
                  <c:v>21.76</c:v>
                </c:pt>
                <c:pt idx="4" formatCode="_(* #,##0.00_);_(* \(#,##0.00\);_(* &quot;-&quot;??_);_(@_)">
                  <c:v>20.488907600000001</c:v>
                </c:pt>
                <c:pt idx="5" formatCode="_(* #,##0.00_);_(* \(#,##0.00\);_(* &quot;-&quot;??_);_(@_)">
                  <c:v>24.386453230000001</c:v>
                </c:pt>
                <c:pt idx="6" formatCode="_(* #,##0.00_);_(* \(#,##0.00\);_(* &quot;-&quot;??_);_(@_)">
                  <c:v>12.989596890000001</c:v>
                </c:pt>
                <c:pt idx="7" formatCode="_(* #,##0.00_);_(* \(#,##0.00\);_(* &quot;-&quot;??_);_(@_)">
                  <c:v>15.3212276</c:v>
                </c:pt>
                <c:pt idx="8" formatCode="_(* #,##0.00_);_(* \(#,##0.00\);_(* &quot;-&quot;??_);_(@_)">
                  <c:v>13.151188939999999</c:v>
                </c:pt>
                <c:pt idx="9" formatCode="_(* #,##0.00_);_(* \(#,##0.00\);_(* &quot;-&quot;??_);_(@_)">
                  <c:v>15.06900199</c:v>
                </c:pt>
              </c:numCache>
            </c:numRef>
          </c:val>
          <c:extLst>
            <c:ext xmlns:c16="http://schemas.microsoft.com/office/drawing/2014/chart" uri="{C3380CC4-5D6E-409C-BE32-E72D297353CC}">
              <c16:uniqueId val="{00000001-5E77-4B93-BDF8-5EF3F15C8E6C}"/>
            </c:ext>
          </c:extLst>
        </c:ser>
        <c:ser>
          <c:idx val="2"/>
          <c:order val="2"/>
          <c:tx>
            <c:strRef>
              <c:f>'CED.PRESUPUESTARIAS'!$A$30</c:f>
              <c:strCache>
                <c:ptCount val="1"/>
                <c:pt idx="0">
                  <c:v>OTROS GRUPOS</c:v>
                </c:pt>
              </c:strCache>
            </c:strRef>
          </c:tx>
          <c:spPr>
            <a:solidFill>
              <a:schemeClr val="accent3"/>
            </a:solidFill>
            <a:ln>
              <a:noFill/>
            </a:ln>
            <a:effectLst/>
          </c:spPr>
          <c:invertIfNegative val="0"/>
          <c:dLbls>
            <c:dLbl>
              <c:idx val="0"/>
              <c:layout>
                <c:manualLayout>
                  <c:x val="-9.1779414211366047E-18"/>
                  <c:y val="-3.1488978857399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77-4B93-BDF8-5EF3F15C8E6C}"/>
                </c:ext>
              </c:extLst>
            </c:dLbl>
            <c:dLbl>
              <c:idx val="1"/>
              <c:layout>
                <c:manualLayout>
                  <c:x val="-3.6711765684546419E-17"/>
                  <c:y val="-2.699055330634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77-4B93-BDF8-5EF3F15C8E6C}"/>
                </c:ext>
              </c:extLst>
            </c:dLbl>
            <c:dLbl>
              <c:idx val="2"/>
              <c:layout>
                <c:manualLayout>
                  <c:x val="2.0024830790179825E-3"/>
                  <c:y val="-3.598740440845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77-4B93-BDF8-5EF3F15C8E6C}"/>
                </c:ext>
              </c:extLst>
            </c:dLbl>
            <c:dLbl>
              <c:idx val="3"/>
              <c:layout>
                <c:manualLayout>
                  <c:x val="-7.3423531369092838E-17"/>
                  <c:y val="-3.1488978857399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77-4B93-BDF8-5EF3F15C8E6C}"/>
                </c:ext>
              </c:extLst>
            </c:dLbl>
            <c:dLbl>
              <c:idx val="4"/>
              <c:layout>
                <c:manualLayout>
                  <c:x val="-7.3423531369092838E-17"/>
                  <c:y val="-2.699037620297462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7468782550204772E-2"/>
                      <c:h val="9.4399637292302011E-2"/>
                    </c:manualLayout>
                  </c15:layout>
                </c:ext>
                <c:ext xmlns:c16="http://schemas.microsoft.com/office/drawing/2014/chart" uri="{C3380CC4-5D6E-409C-BE32-E72D297353CC}">
                  <c16:uniqueId val="{00000006-5E77-4B93-BDF8-5EF3F15C8E6C}"/>
                </c:ext>
              </c:extLst>
            </c:dLbl>
            <c:dLbl>
              <c:idx val="5"/>
              <c:layout>
                <c:manualLayout>
                  <c:x val="2.0024830790179825E-3"/>
                  <c:y val="-4.048582995951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77-4B93-BDF8-5EF3F15C8E6C}"/>
                </c:ext>
              </c:extLst>
            </c:dLbl>
            <c:dLbl>
              <c:idx val="6"/>
              <c:layout>
                <c:manualLayout>
                  <c:x val="-1.4684706273818568E-16"/>
                  <c:y val="-9.4466936572199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77-4B93-BDF8-5EF3F15C8E6C}"/>
                </c:ext>
              </c:extLst>
            </c:dLbl>
            <c:dLbl>
              <c:idx val="7"/>
              <c:layout>
                <c:manualLayout>
                  <c:x val="0"/>
                  <c:y val="-0.161943319838056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77-4B93-BDF8-5EF3F15C8E6C}"/>
                </c:ext>
              </c:extLst>
            </c:dLbl>
            <c:dLbl>
              <c:idx val="8"/>
              <c:layout>
                <c:manualLayout>
                  <c:x val="0"/>
                  <c:y val="-8.0971659919028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77-4B93-BDF8-5EF3F15C8E6C}"/>
                </c:ext>
              </c:extLst>
            </c:dLbl>
            <c:dLbl>
              <c:idx val="9"/>
              <c:layout>
                <c:manualLayout>
                  <c:x val="0"/>
                  <c:y val="-8.0971659919028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77-4B93-BDF8-5EF3F15C8E6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'CED.PRESUPUESTARIAS'!$B$27:$K$27</c:f>
              <c:numCache>
                <c:formatCode>General</c:formatCode>
                <c:ptCount val="10"/>
                <c:pt idx="0">
                  <c:v>2015</c:v>
                </c:pt>
                <c:pt idx="1">
                  <c:v>2016</c:v>
                </c:pt>
                <c:pt idx="2">
                  <c:v>2017</c:v>
                </c:pt>
                <c:pt idx="3" formatCode="0">
                  <c:v>2018</c:v>
                </c:pt>
                <c:pt idx="4" formatCode="0">
                  <c:v>2019</c:v>
                </c:pt>
                <c:pt idx="5" formatCode="0">
                  <c:v>2020</c:v>
                </c:pt>
                <c:pt idx="6" formatCode="0">
                  <c:v>2021</c:v>
                </c:pt>
                <c:pt idx="7" formatCode="0">
                  <c:v>2022</c:v>
                </c:pt>
                <c:pt idx="8" formatCode="0">
                  <c:v>2023</c:v>
                </c:pt>
                <c:pt idx="9" formatCode="0">
                  <c:v>2024</c:v>
                </c:pt>
              </c:numCache>
            </c:numRef>
          </c:cat>
          <c:val>
            <c:numRef>
              <c:f>'CED.PRESUPUESTARIAS'!$B$30:$K$30</c:f>
              <c:numCache>
                <c:formatCode>General</c:formatCode>
                <c:ptCount val="10"/>
                <c:pt idx="0">
                  <c:v>0.59</c:v>
                </c:pt>
                <c:pt idx="1">
                  <c:v>0.36</c:v>
                </c:pt>
                <c:pt idx="2">
                  <c:v>0.56999999999999995</c:v>
                </c:pt>
                <c:pt idx="3">
                  <c:v>0.09</c:v>
                </c:pt>
                <c:pt idx="4" formatCode="_(* #,##0.00_);_(* \(#,##0.00\);_(* &quot;-&quot;??_);_(@_)">
                  <c:v>0.16622234000000002</c:v>
                </c:pt>
                <c:pt idx="5" formatCode="_(* #,##0.00_);_(* \(#,##0.00\);_(* &quot;-&quot;??_);_(@_)">
                  <c:v>4.3947166299999996</c:v>
                </c:pt>
                <c:pt idx="6" formatCode="_(* #,##0.00_);_(* \(#,##0.00\);_(* &quot;-&quot;??_);_(@_)">
                  <c:v>16.721684629999999</c:v>
                </c:pt>
                <c:pt idx="7" formatCode="_(* #,##0.00_);_(* \(#,##0.00\);_(* &quot;-&quot;??_);_(@_)">
                  <c:v>29.25139467</c:v>
                </c:pt>
                <c:pt idx="8" formatCode="_(* #,##0.00_);_(* \(#,##0.00\);_(* &quot;-&quot;??_);_(@_)">
                  <c:v>12.453604820000001</c:v>
                </c:pt>
                <c:pt idx="9" formatCode="_(* #,##0.00_);_(* \(#,##0.00\);_(* &quot;-&quot;??_);_(@_)">
                  <c:v>9.759350389999998</c:v>
                </c:pt>
              </c:numCache>
            </c:numRef>
          </c:val>
          <c:extLst>
            <c:ext xmlns:c16="http://schemas.microsoft.com/office/drawing/2014/chart" uri="{C3380CC4-5D6E-409C-BE32-E72D297353CC}">
              <c16:uniqueId val="{0000000C-5E77-4B93-BDF8-5EF3F15C8E6C}"/>
            </c:ext>
          </c:extLst>
        </c:ser>
        <c:dLbls>
          <c:showLegendKey val="0"/>
          <c:showVal val="0"/>
          <c:showCatName val="0"/>
          <c:showSerName val="0"/>
          <c:showPercent val="0"/>
          <c:showBubbleSize val="0"/>
        </c:dLbls>
        <c:gapWidth val="150"/>
        <c:overlap val="100"/>
        <c:axId val="714492639"/>
        <c:axId val="714489759"/>
      </c:barChart>
      <c:catAx>
        <c:axId val="71449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489759"/>
        <c:crosses val="autoZero"/>
        <c:auto val="1"/>
        <c:lblAlgn val="ctr"/>
        <c:lblOffset val="100"/>
        <c:noMultiLvlLbl val="0"/>
      </c:catAx>
      <c:valAx>
        <c:axId val="714489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492639"/>
        <c:crosses val="autoZero"/>
        <c:crossBetween val="between"/>
      </c:valAx>
      <c:spPr>
        <a:noFill/>
        <a:ln>
          <a:noFill/>
        </a:ln>
        <a:effectLst/>
      </c:spPr>
    </c:plotArea>
    <c:legend>
      <c:legendPos val="b"/>
      <c:layout>
        <c:manualLayout>
          <c:xMode val="edge"/>
          <c:yMode val="edge"/>
          <c:x val="0.25743291760523207"/>
          <c:y val="0.89709798420946374"/>
          <c:w val="0.52718615177308059"/>
          <c:h val="7.59114624841935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Relación</a:t>
            </a:r>
            <a:r>
              <a:rPr lang="es-EC" baseline="0"/>
              <a:t> porcentual 2019-2024</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tx>
            <c:strRef>
              <c:f>'CED.PRESUPUESTARIAS'!$E$53</c:f>
              <c:strCache>
                <c:ptCount val="1"/>
                <c:pt idx="0">
                  <c:v>DEFENSA INTERNACIONAL</c:v>
                </c:pt>
              </c:strCache>
            </c:strRef>
          </c:tx>
          <c:spPr>
            <a:solidFill>
              <a:schemeClr val="accent1"/>
            </a:solidFill>
            <a:ln>
              <a:noFill/>
            </a:ln>
            <a:effectLst/>
          </c:spPr>
          <c:invertIfNegative val="0"/>
          <c:dLbls>
            <c:dLbl>
              <c:idx val="0"/>
              <c:layout>
                <c:manualLayout>
                  <c:x val="-2.7778186987618128E-3"/>
                  <c:y val="3.606243956347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F0-44F9-9AC4-AB5DF7237C6B}"/>
                </c:ext>
              </c:extLst>
            </c:dLbl>
            <c:dLbl>
              <c:idx val="1"/>
              <c:layout>
                <c:manualLayout>
                  <c:x val="1.6033455359707727E-3"/>
                  <c:y val="3.6403554818805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F0-44F9-9AC4-AB5DF7237C6B}"/>
                </c:ext>
              </c:extLst>
            </c:dLbl>
            <c:dLbl>
              <c:idx val="2"/>
              <c:layout>
                <c:manualLayout>
                  <c:x val="-6.4338221754086161E-3"/>
                  <c:y val="2.7046829672606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F0-44F9-9AC4-AB5DF7237C6B}"/>
                </c:ext>
              </c:extLst>
            </c:dLbl>
            <c:dLbl>
              <c:idx val="3"/>
              <c:layout>
                <c:manualLayout>
                  <c:x val="-2.6349226225112882E-3"/>
                  <c:y val="4.1081917391904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F0-44F9-9AC4-AB5DF7237C6B}"/>
                </c:ext>
              </c:extLst>
            </c:dLbl>
            <c:dLbl>
              <c:idx val="4"/>
              <c:layout>
                <c:manualLayout>
                  <c:x val="-7.7511914144502677E-3"/>
                  <c:y val="1.7836349403692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F0-44F9-9AC4-AB5DF7237C6B}"/>
                </c:ext>
              </c:extLst>
            </c:dLbl>
            <c:dLbl>
              <c:idx val="5"/>
              <c:layout>
                <c:manualLayout>
                  <c:x val="0"/>
                  <c:y val="3.7426900584795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F0-44F9-9AC4-AB5DF7237C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'CED.PRESUPUESTARIAS'!$F$52:$K$52</c:f>
              <c:numCache>
                <c:formatCode>_ * #,##0_ ;_ * \-#,##0_ ;_ * "-"??_ ;_ @_ </c:formatCode>
                <c:ptCount val="6"/>
                <c:pt idx="0">
                  <c:v>2019</c:v>
                </c:pt>
                <c:pt idx="1">
                  <c:v>2020</c:v>
                </c:pt>
                <c:pt idx="2">
                  <c:v>2021</c:v>
                </c:pt>
                <c:pt idx="3">
                  <c:v>2022</c:v>
                </c:pt>
                <c:pt idx="4">
                  <c:v>2023</c:v>
                </c:pt>
                <c:pt idx="5">
                  <c:v>2024</c:v>
                </c:pt>
              </c:numCache>
            </c:numRef>
          </c:cat>
          <c:val>
            <c:numRef>
              <c:f>'CED.PRESUPUESTARIAS'!$F$53:$K$53</c:f>
              <c:numCache>
                <c:formatCode>_(* #,##0.00_);_(* \(#,##0.00\);_(* "-"??_);_(@_)</c:formatCode>
                <c:ptCount val="6"/>
                <c:pt idx="0">
                  <c:v>47.645651236525524</c:v>
                </c:pt>
                <c:pt idx="1">
                  <c:v>44.249984242692555</c:v>
                </c:pt>
                <c:pt idx="2">
                  <c:v>35.469660835223252</c:v>
                </c:pt>
                <c:pt idx="3">
                  <c:v>48.640928581985726</c:v>
                </c:pt>
                <c:pt idx="4">
                  <c:v>24.718012233824492</c:v>
                </c:pt>
                <c:pt idx="5">
                  <c:v>58.462662943088475</c:v>
                </c:pt>
              </c:numCache>
            </c:numRef>
          </c:val>
          <c:extLst>
            <c:ext xmlns:c16="http://schemas.microsoft.com/office/drawing/2014/chart" uri="{C3380CC4-5D6E-409C-BE32-E72D297353CC}">
              <c16:uniqueId val="{00000006-A6F0-44F9-9AC4-AB5DF7237C6B}"/>
            </c:ext>
          </c:extLst>
        </c:ser>
        <c:ser>
          <c:idx val="1"/>
          <c:order val="1"/>
          <c:tx>
            <c:strRef>
              <c:f>'CED.PRESUPUESTARIAS'!$E$54</c:f>
              <c:strCache>
                <c:ptCount val="1"/>
                <c:pt idx="0">
                  <c:v>OTROS RUBROS</c:v>
                </c:pt>
              </c:strCache>
            </c:strRef>
          </c:tx>
          <c:spPr>
            <a:solidFill>
              <a:schemeClr val="accent2"/>
            </a:solidFill>
            <a:ln>
              <a:noFill/>
            </a:ln>
            <a:effectLst/>
          </c:spPr>
          <c:invertIfNegative val="0"/>
          <c:dLbls>
            <c:dLbl>
              <c:idx val="3"/>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F0-44F9-9AC4-AB5DF7237C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'CED.PRESUPUESTARIAS'!$F$52:$K$52</c:f>
              <c:numCache>
                <c:formatCode>_ * #,##0_ ;_ * \-#,##0_ ;_ * "-"??_ ;_ @_ </c:formatCode>
                <c:ptCount val="6"/>
                <c:pt idx="0">
                  <c:v>2019</c:v>
                </c:pt>
                <c:pt idx="1">
                  <c:v>2020</c:v>
                </c:pt>
                <c:pt idx="2">
                  <c:v>2021</c:v>
                </c:pt>
                <c:pt idx="3">
                  <c:v>2022</c:v>
                </c:pt>
                <c:pt idx="4">
                  <c:v>2023</c:v>
                </c:pt>
                <c:pt idx="5">
                  <c:v>2024</c:v>
                </c:pt>
              </c:numCache>
            </c:numRef>
          </c:cat>
          <c:val>
            <c:numRef>
              <c:f>'CED.PRESUPUESTARIAS'!$F$54:$K$54</c:f>
              <c:numCache>
                <c:formatCode>_(* #,##0.00_);_(* \(#,##0.00\);_(* "-"??_);_(@_)</c:formatCode>
                <c:ptCount val="6"/>
                <c:pt idx="0">
                  <c:v>52.354348763474476</c:v>
                </c:pt>
                <c:pt idx="1">
                  <c:v>55.750015757307445</c:v>
                </c:pt>
                <c:pt idx="2">
                  <c:v>64.530339164776748</c:v>
                </c:pt>
                <c:pt idx="3">
                  <c:v>51.359071418014274</c:v>
                </c:pt>
                <c:pt idx="4">
                  <c:v>75.281987766175504</c:v>
                </c:pt>
                <c:pt idx="5">
                  <c:v>41.537337056911525</c:v>
                </c:pt>
              </c:numCache>
            </c:numRef>
          </c:val>
          <c:extLst>
            <c:ext xmlns:c16="http://schemas.microsoft.com/office/drawing/2014/chart" uri="{C3380CC4-5D6E-409C-BE32-E72D297353CC}">
              <c16:uniqueId val="{00000008-A6F0-44F9-9AC4-AB5DF7237C6B}"/>
            </c:ext>
          </c:extLst>
        </c:ser>
        <c:dLbls>
          <c:showLegendKey val="0"/>
          <c:showVal val="0"/>
          <c:showCatName val="0"/>
          <c:showSerName val="0"/>
          <c:showPercent val="0"/>
          <c:showBubbleSize val="0"/>
        </c:dLbls>
        <c:gapWidth val="219"/>
        <c:overlap val="-27"/>
        <c:axId val="712676463"/>
        <c:axId val="712677423"/>
      </c:barChart>
      <c:catAx>
        <c:axId val="712676463"/>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677423"/>
        <c:crosses val="autoZero"/>
        <c:auto val="1"/>
        <c:lblAlgn val="ctr"/>
        <c:lblOffset val="100"/>
        <c:noMultiLvlLbl val="0"/>
      </c:catAx>
      <c:valAx>
        <c:axId val="712677423"/>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676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7053D6-BD72-4724-8794-4E59CC0A412D}">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65EF2-E7CF-4BF8-9127-994EEA3C5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118</Pages>
  <Words>40908</Words>
  <Characters>224999</Characters>
  <Application>Microsoft Office Word</Application>
  <DocSecurity>0</DocSecurity>
  <Lines>1874</Lines>
  <Paragraphs>530</Paragraphs>
  <ScaleCrop>false</ScaleCrop>
  <HeadingPairs>
    <vt:vector size="4" baseType="variant">
      <vt:variant>
        <vt:lpstr>Título</vt:lpstr>
      </vt:variant>
      <vt:variant>
        <vt:i4>1</vt:i4>
      </vt:variant>
      <vt:variant>
        <vt:lpstr>Títulos</vt:lpstr>
      </vt:variant>
      <vt:variant>
        <vt:i4>34</vt:i4>
      </vt:variant>
    </vt:vector>
  </HeadingPairs>
  <TitlesOfParts>
    <vt:vector size="35" baseType="lpstr">
      <vt:lpstr/>
      <vt:lpstr>    DATOS INICIALES DEL PROYECTO</vt:lpstr>
      <vt:lpstr>    Tipo de solicitud de dictamen: </vt:lpstr>
      <vt:lpstr>    Nombre Proyecto:</vt:lpstr>
      <vt:lpstr>    Entidad (UDAF): </vt:lpstr>
      <vt:lpstr>    Entidad operativa desconcentrada (EOD): </vt:lpstr>
      <vt:lpstr>    Gabinete Sectorial: </vt:lpstr>
      <vt:lpstr>    Sector, subsector y tipo de inversión: </vt:lpstr>
      <vt:lpstr>    Plazo de ejecución: </vt:lpstr>
      <vt:lpstr>    Monto Total: </vt:lpstr>
      <vt:lpstr>    DIAGNÓSTICO Y PROBLEMA</vt:lpstr>
      <vt:lpstr>    Descripción de la situación del sector, área o zona de intervención y de influen</vt:lpstr>
      <vt:lpstr>    Identificación, descripción y diagnóstico del problema</vt:lpstr>
      <vt:lpstr>    Línea base del proyecto</vt:lpstr>
      <vt:lpstr>    Situación actual del proyecto</vt:lpstr>
      <vt:lpstr>    Análisis de oferta y demanda</vt:lpstr>
      <vt:lpstr>    Oferta</vt:lpstr>
      <vt:lpstr>    Demanda</vt:lpstr>
      <vt:lpstr>    </vt:lpstr>
      <vt:lpstr>    Estimación del Déficit o Demanda Insatisfecha (oferta – demanda)</vt:lpstr>
      <vt:lpstr>    Identificación y caracterización de la población objetivo</vt:lpstr>
      <vt:lpstr>    Ubicación Geográfica e impacto territorial. </vt:lpstr>
      <vt:lpstr>    ARTICULACIÓN CON LA PLANIFICACIÓN</vt:lpstr>
      <vt:lpstr>    Alineación objetivo estratégico institucional.</vt:lpstr>
      <vt:lpstr>    Contribución del proyecto a la meta del Plan Nacional de Desarrollo</vt:lpstr>
      <vt:lpstr>    MATRIZ DE MARCO LÓGICO</vt:lpstr>
      <vt:lpstr>    Objetivo general y objetivos específico</vt:lpstr>
      <vt:lpstr>    Indicadores de resultado</vt:lpstr>
      <vt:lpstr>    Marco Lógico</vt:lpstr>
      <vt:lpstr>    Anualización de las metas de los indicadores del propósito</vt:lpstr>
      <vt:lpstr>    </vt:lpstr>
      <vt:lpstr>    ANÁLISIS INTEGRAL</vt:lpstr>
      <vt:lpstr>    Vialidad técnica</vt:lpstr>
      <vt:lpstr>    Descripción de la ingeniería del Proyecto</vt:lpstr>
      <vt:lpstr>    Estrategia Institucional</vt:lpstr>
    </vt:vector>
  </TitlesOfParts>
  <Company/>
  <LinksUpToDate>false</LinksUpToDate>
  <CharactersWithSpaces>265377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Ceron Santiago</dc:creator>
  <cp:keywords/>
  <dc:description/>
  <cp:lastModifiedBy>Cedeno Maira</cp:lastModifiedBy>
  <cp:revision>2</cp:revision>
  <cp:lastPrinted>2024-10-17T17:20:00Z</cp:lastPrinted>
  <dcterms:created xsi:type="dcterms:W3CDTF">2025-04-23T19:29:00Z</dcterms:created>
  <dcterms:modified xsi:type="dcterms:W3CDTF">2025-04-23T19:29:00Z</dcterms:modified>
</cp:coreProperties>
</file>